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b/>
          <w:color w:val="000000"/>
          <w:sz w:val="30"/>
        </w:rPr>
        <w:t>XỬ LÝ NGÔN NGỮ TỰ NHIÊN ĐA NGỮ TRONG PHÂN TÍCH SDG VÀ CẢM XÚC BÁO CÁO PHÁT TRIỂN BỀN VỮNG CỦA DOANH NGHIỆP: BẰNG CHỨNG THỰC NGHIỆM TỪ CÁC DOANH NGHIỆP VIỆT NAM</w:t>
      </w:r>
    </w:p>
    <w:p>
      <w:pPr>
        <w:spacing w:after="240"/>
        <w:jc w:val="center"/>
      </w:pPr>
      <w:r>
        <w:rPr>
          <w:rFonts w:ascii="Times New Roman" w:hAnsi="Times New Roman"/>
          <w:i/>
          <w:color w:val="000000"/>
          <w:sz w:val="24"/>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Lê Đan Sơn, Dương Thị Hoàn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thông tin chủ đạo giúp doanh nghiệp niêm yết giải trình các cam kết Môi trường, Xã hội và Quản trị (ESG) trước cổ đông và các bên liên quan. Kế thừa và ứng dụng khung phương pháp luận xử lý ngôn ngữ tự nhiên (NLP) tiên phong của Kang và Kim (2022), nghiên cứu này thực hiện phân tích văn bản thực nghiệm trên 42 báo cáo phát triển bền vững và báo cáo tích hợp của 7 tập đoàn niêm yết quy mô lớn hàng đầu tại Việt Nam (Bảo Việt, PAN Group, Petrolimex, PNJ, SSI, Vicostone, Vinamilk) trong giai đoạn 6 năm liên tục (2020–2025) với tổng quy mô 96.461 câu văn bản số hóa. Bằng việc kết hợp các mô hình học sâu biến đổi ngôn ngữ đa ngữ (vietnamese-sbert cho tiếng Việt, all-MiniLM-L6-v2 cho tiếng Anh) và mô hình phân tích cảm xúc PhoBERT, nghiên cứu định lượng mức độ tương đồng với 17 Mục tiêu Phát triển Bền vững (SDGs) của Liên Hợp Quốc, quy nạp vào 6 nhóm nhu cầu con người (Đời sống, Kinh tế, Công bằng, Xã hội, Tài nguyên, Môi trường) và phân tích cơ cấu sắc thái ngôn ngữ (Tích cực, Trung tính, Tiêu cực). Kết quả thực nghiệm cho thấy phương pháp của Kang và Kim (2022) hoàn toàn có khả năng thích ứng hiệu quả với ngôn ngữ tiếng Việt và bối cảnh thị trường mới nổi, đồng thời làm sáng tỏ các đặc tính cốt lõi của báo cáo phát triển bền vững tại Việt Nam: (1) Doanh nghiệp thể hiện sự tập trung vượt trội vào nhóm Kinh tế (SDG 8, 9) và Đối tác (SDG 17), trong khi nhóm Công bằng xã hội (SDG 4, 5, 10) liên tục nhận mức điểm thấp nhất; (2) Tồn tại xu hướng thiên lệch lạc quan mang tính cấu trúc với 53,87% câu tích cực, 32,87% câu trung tính và chỉ 13,26% câu tiêu cực (tỷ số Pos/Neg bình quân đạt trên 4 lần), phản ánh chiến lược quản trị ấn tượng định hướng thành tựu; và (3) Dung lượng văn bản cùng độ bao phủ các mục tiêu phát triển bền vững có xu hướng tăng trưởng rõ rệt qua chuỗi thời gian 2020–2025, đặc biệt sau khi Thông tư số 96/2020/TT-BTC có hiệu lực. Nghiên cứu cung cấp một trường hợp ứng dụng thực tế về năng lực của AI trong đánh giá báo cáo phi tài chính tại Việt Nam.</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Quản trị ấn tượng; Doanh nghiệp niêm yết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color w:val="000000"/>
          <w:sz w:val="24"/>
        </w:rPr>
        <w:t xml:space="preserve">Corporate sustainability reports serve as pivotal communication channels for conveying environmental, social, and governance (ESG) commitments to shareholders and diverse stakeholders. Adopting and empirically contextualizing the pioneering natural language processing (NLP) framework established by </w:t>
      </w:r>
      <w:hyperlink w:anchor="ref_kang_2022" w:history="1">
        <w:r>
          <w:rPr>
            <w:rFonts w:ascii="Times New Roman" w:hAnsi="Times New Roman"/>
            <w:color w:val="000000"/>
            <w:u w:val="none"/>
          </w:rPr>
          <w:t>Kang and Kim (2022)</w:t>
        </w:r>
      </w:hyperlink>
      <w:r>
        <w:rPr>
          <w:rFonts w:ascii="Times New Roman" w:hAnsi="Times New Roman"/>
          <w:color w:val="000000"/>
          <w:sz w:val="24"/>
        </w:rPr>
        <w:t>, this study conducts an automated textual analysis of 42 standalone sustainability and integrated reports published by seven prominent Vietnamese listed corporations (Bao Viet Holdings, The PAN Group, Petrolimex, Phu Nhuan Jewelry, SSI Securities, Vicostone, and Vinamilk) across a continuous six-year timeline (2020–2025), encompassing 96,461 digitally extracted sentences. By coupling multilingual Transformer embeddings (vietnamese-sbert for Vietnamese and all-MiniLM-L6-v2 for English) with PhoBERT sentiment classification, we quantify corporate semantic alignment with the 17 UN Sustainable Development Goals (SDGs), aggregate alignments into six core human-needs categories (Life, Economic, Equity, Social, Resources, Environments), and evaluate contextual narrative tone (Positive, Neutral, Negative). Empirical findings demonstrate that Kang and Kim's (2022) methodology generalizes robustly to Vietnamese corporate texts and emerging market disclosures, revealing distinct reporting characteristics: (1) Disclosures exhibit an overwhelming thematic prioritization of Economic development (SDGs 8, 9) and Global Partnerships (SDG 17), alongside persistent under-representation in Equity disclosures (SDGs 4, 5, 10); (2) Disclosures display pronounced structural optimism bias (53.87% positive, 32.87% neutral, and only 13.26% negative sentences; mean Pos/Neg ratio exceeding 4.0), evidencing achievement-oriented impression management; and (3) Textual reporting volume and SDG thematic coverage have steadily expanded over the 2020–2025 observation window following the enactment of Circular 96/2020/TT-BTC. This study establishes a practical empirical use case demonstrating the viability of computational NLP for non-financial audit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Impression management; Vietnamese listed enterprises.</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color w:val="000000"/>
          <w:sz w:val="24"/>
        </w:rPr>
        <w:t xml:space="preserve">Trong xu thế phát triển bền vững toàn cầu, việc công bố thông tin Môi trường, Xã hội và Quản trị (ESG) gắn liền với 17 Mục tiêu Phát triển Bền vững (SDGs) của Liên Hợp Quốc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đã trở thành một chuẩn mực phổ biến đối với các doanh nghiệp niêm yết trên thị trường vốn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Tại Việt Nam, sau các cam kết quốc gia mạnh mẽ về biến đổi khí hậu tại Hội nghị COP26 và việc Bộ Tài chính ban hành Thông tư số 96/2020/TT-BTC </w:t>
      </w:r>
      <w:hyperlink w:anchor="ref_bokehoachvaautu_2023" w:history="1">
        <w:r>
          <w:rPr>
            <w:rFonts w:ascii="Times New Roman" w:hAnsi="Times New Roman"/>
            <w:color w:val="000000"/>
            <w:u w:val="none"/>
          </w:rPr>
          <w:t>(Bộ Tài chính, 2020)</w:t>
        </w:r>
      </w:hyperlink>
      <w:r>
        <w:rPr>
          <w:rFonts w:ascii="Times New Roman" w:hAnsi="Times New Roman"/>
          <w:color w:val="000000"/>
          <w:sz w:val="24"/>
        </w:rPr>
        <w:t xml:space="preserve"> hướng dẫn công bố thông tin trên thị trường chứng khoán, yêu cầu lập báo cáo đánh giá tác động môi trường và xã hội đã chính thức được thể chế hóa. Cùng với sự hỗ trợ hướng dẫn từ Bộ Chỉ số Doanh nghiệp Bền vững (CSI) </w:t>
      </w:r>
      <w:hyperlink w:anchor="ref_hoiongdoanhnghiepvisuphattrienbenvungvietnam_2024" w:history="1">
        <w:r>
          <w:rPr>
            <w:rFonts w:ascii="Times New Roman" w:hAnsi="Times New Roman"/>
            <w:color w:val="000000"/>
            <w:u w:val="none"/>
          </w:rPr>
          <w:t>(Hội đồng Doanh nghiệp vì sự Phát triển Bền vững Việt Nam, 2024)</w:t>
        </w:r>
      </w:hyperlink>
      <w:r>
        <w:rPr>
          <w:rFonts w:ascii="Times New Roman" w:hAnsi="Times New Roman"/>
          <w:color w:val="000000"/>
          <w:sz w:val="24"/>
        </w:rPr>
        <w:t xml:space="preserve"> và Sổ tay thực hành ESG của Ủy ban Chứng khoán Nhà nước </w:t>
      </w:r>
      <w:hyperlink w:anchor="ref_uybanchungkhoannhanuoc_2024" w:history="1">
        <w:r>
          <w:rPr>
            <w:rFonts w:ascii="Times New Roman" w:hAnsi="Times New Roman"/>
            <w:color w:val="000000"/>
            <w:u w:val="none"/>
          </w:rPr>
          <w:t>(Ủy ban Chứng khoán Nhà nước, 2024)</w:t>
        </w:r>
      </w:hyperlink>
      <w:r>
        <w:rPr>
          <w:rFonts w:ascii="Times New Roman" w:hAnsi="Times New Roman"/>
          <w:color w:val="000000"/>
          <w:sz w:val="24"/>
        </w:rPr>
        <w:t>, nhiều tập đoàn đầu ngành tại Việt Nam đã tích cực chuyển dịch sang công bố các Báo cáo Phát triển Bền vững độc lập hoặc Báo cáo Tích hợp hàng năm.</w:t>
      </w:r>
    </w:p>
    <w:p>
      <w:pPr>
        <w:spacing w:line="324" w:lineRule="auto" w:after="80"/>
        <w:ind w:firstLine="567"/>
        <w:jc w:val="both"/>
      </w:pPr>
      <w:r>
        <w:rPr>
          <w:rFonts w:ascii="Times New Roman" w:hAnsi="Times New Roman"/>
          <w:color w:val="000000"/>
          <w:sz w:val="24"/>
        </w:rPr>
        <w:t xml:space="preserve">Tuy nhiên, sự gia tăng nhanh chóng về dung lượng báo cáo—thường kéo dài từ vài chục đến hàng trăm trang văn bản tự do—khiến việc giám sát và đánh giá nội dung theo phương pháp thủ công truyền thống gặp nhiều thách thức về thời gian và chi phí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Ngoài ra, văn phong trong các báo cáo phi tài chính thường mang tính định tính cao và dễ chịu ảnh hưởng bởi động cơ quản trị ấn tượng (impression management), nơi doanh nghiệp có xu hướng nhấn mạnh vào các thành tựu tích cực và hạn chế đề cập đến các rủi ro hay thách thức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Điều này đặt ra nhu cầu cấp thiết về các công cụ phân tích tự động, khách quan và có thể mở rộng quy mô dựa trên Trí tuệ Nhân tạo (AI) và Xử lý Ngôn ngữ Tự nhiên (NLP)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w:t>
      </w:r>
    </w:p>
    <w:p>
      <w:pPr>
        <w:spacing w:line="324" w:lineRule="auto" w:after="80"/>
        <w:ind w:firstLine="567"/>
        <w:jc w:val="both"/>
      </w:pPr>
      <w:r>
        <w:rPr>
          <w:rFonts w:ascii="Times New Roman" w:hAnsi="Times New Roman"/>
          <w:color w:val="000000"/>
          <w:sz w:val="24"/>
        </w:rPr>
        <w:t xml:space="preserve">Trong bối cảnh đó, nghiên cứu tiên phong của Kang và Kim (2022) trên tạp chí Applied Sciences đã đặt nền móng phương pháp luận quan trọng. Các tác giả đã kết hợp mô hình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để đo lường độ tương đồng ngữ nghĩa giữa nội dung báo cáo với 17 mục tiêu SDG, quy nạp vào 6 nhóm nhu cầu con người và phân tích cảm xúc văn bản trên ngữ liệu của các tập đoàn đa quốc gia lớn. Mặc dù khung phân tích của Kang và Kim (2022) đã chứng minh tính hiệu quả vượt trội, phương pháp này chủ yếu được thử nghiệm trên tiếng Anh và các doanh nghiệp toàn cầu. Câu hỏi đặt ra là: Liệu quy trình này có thể áp dụng thành công cho ngữ cảnh ngôn ngữ tiếng Việt và các doanh nghiệp tại một nền kinh tế mới nổi như Việt Nam hay không? Và những đặc tính nổi bật của các báo cáo phát triển bền vững tại Việt Nam được phản ánh như thế nào qua lăng kính NLP?</w:t>
      </w:r>
    </w:p>
    <w:p>
      <w:pPr>
        <w:spacing w:line="324" w:lineRule="auto" w:after="80"/>
        <w:ind w:firstLine="567"/>
        <w:jc w:val="both"/>
      </w:pPr>
      <w:r>
        <w:rPr>
          <w:rFonts w:ascii="Times New Roman" w:hAnsi="Times New Roman"/>
          <w:b w:val="0"/>
          <w:i w:val="0"/>
          <w:color w:val="000000"/>
          <w:sz w:val="24"/>
        </w:rPr>
        <w:t>Xuất phát từ câu hỏi nghiên cứu trên, bài báo này thực hiện một nghiên cứu trường hợp ứng dụng thực nghiệm (empirical use case) nhằm chuyển giao, thích ứng và triển khai phương pháp luận của Kang và Kim (2022) lên ngữ liệu báo cáo phát triển bền vững của 7 tập đoàn niêm yết quy mô lớn hàng đầu tại Việt Nam (Bảo Việt, PAN Group, Petrolimex, PNJ, SSI, Vicostone, Vinamilk) trong giai đoạn 6 năm liên tục từ 2020 đến 2025. Nghiên cứu không hướng tới việc xây dựng các mô hình kinh tế lượng tài chính phức tạp, mà tập trung vào mục tiêu cốt lõi: kiểm chứng tính khả thi của quy trình NLP đa ngữ trong việc định lượng mức độ gắn kết với 17 mục tiêu SDG và phân tích sắc thái cảm xúc, từ đó làm rõ những đặc tính thực tế của báo cáo phát triển bền vững tại Việt Nam.</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Báo cáo Doanh nghiệp</w:t>
      </w:r>
    </w:p>
    <w:p>
      <w:pPr>
        <w:spacing w:line="324" w:lineRule="auto" w:after="80"/>
        <w:ind w:firstLine="567"/>
        <w:jc w:val="both"/>
      </w:pPr>
      <w:r>
        <w:rPr>
          <w:rFonts w:ascii="Times New Roman" w:hAnsi="Times New Roman"/>
          <w:color w:val="000000"/>
          <w:sz w:val="24"/>
        </w:rPr>
        <w:t xml:space="preserve">Khung 17 Mục tiêu Phát triển Bền vững (SDGs) của Liên Hợp Quốc gồm 169 mục tiêu cụ thể hướng tới việc giải quyết đồng bộ các thách thức kinh tế, xã hội và môi trường trên phạm vi toàn cầu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Dưới góc độ Lý thuyết các bên liên quan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và Lý thuyết tính chính danh </w:t>
      </w:r>
      <w:hyperlink w:anchor="ref_deegan_2002" w:history="1">
        <w:r>
          <w:rPr>
            <w:rFonts w:ascii="Times New Roman" w:hAnsi="Times New Roman"/>
            <w:color w:val="000000"/>
            <w:u w:val="none"/>
          </w:rPr>
          <w:t>(Deegan, 2002)</w:t>
        </w:r>
      </w:hyperlink>
      <w:r>
        <w:rPr>
          <w:rFonts w:ascii="Times New Roman" w:hAnsi="Times New Roman"/>
          <w:color w:val="000000"/>
          <w:sz w:val="24"/>
        </w:rPr>
        <w:t>, báo cáo phát triển bền vững là phương tiện giúp doanh nghiệp minh chứng trách nhiệm đối với cộng đồng và xã hội. Tuy nhiên, các nghiên cứu thực nghiệm quốc tế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 xml:space="preserve">') chỉ ra rằng doanh nghiệp thường đối mặt với hiện tượng 'lựa chọn mục tiêu thuận lợi' (SDG cherry-picking)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 tức ưu tiên công bố các mục tiêu gắn liền với tăng trưởng kinh doanh và lợi nhuận trực tiếp, trong khi các mục tiêu mang tính công bằng xã hội hoặc bảo vệ môi trường sâu rộng thường ít được chú trọng tương xứng.</w:t>
      </w:r>
    </w:p>
    <w:p>
      <w:pPr>
        <w:keepNext/>
        <w:spacing w:before="200" w:after="60"/>
      </w:pPr>
      <w:r>
        <w:rPr>
          <w:rFonts w:ascii="Times New Roman" w:hAnsi="Times New Roman"/>
          <w:b/>
          <w:color w:val="000000"/>
          <w:sz w:val="25"/>
        </w:rPr>
        <w:t>2.2 Ứng dụng Xử lý Ngôn ngữ Tự nhiên trong Phân tích Báo cáo Bền vững</w:t>
      </w:r>
    </w:p>
    <w:p>
      <w:pPr>
        <w:spacing w:line="324" w:lineRule="auto" w:after="80"/>
        <w:ind w:firstLine="567"/>
        <w:jc w:val="both"/>
      </w:pPr>
      <w:r>
        <w:rPr>
          <w:rFonts w:ascii="Times New Roman" w:hAnsi="Times New Roman"/>
          <w:color w:val="000000"/>
          <w:sz w:val="24"/>
        </w:rPr>
        <w:t xml:space="preserve">Trước đây, phân tích nội dung báo cáo doanh nghiệp chủ yếu dựa trên các bộ từ điển từ vựng hoặc đếm tần suất từ khóa. Cách tiếp cận này bộc lộ hạn chế lớn do không nắm bắt được trật tự từ và ngữ cảnh ngữ nghĩa đa dạng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 xml:space="preserve">. Sự phát triển của kiến trúc Transformer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và mô hình Sentence-BERT (SBERT)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đã tạo ra bước đột phá khi biểu diễn toàn bộ câu văn thành các vector ngữ nghĩa (sentence embeddings) có độ chính xác cao. Kang và Kim (2022) đã ứng dụng xuất sắc SBERT để so sánh độ tương đồng giữa câu văn báo cáo với tập ngữ liệu định nghĩa các mục tiêu SDG, tạo ra phân phối điểm số liên tục và khách quan. Đối với tiếng Việt, mô hình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và vietnamese-sbert đã mở ra khả năng xử lý ngữ nghĩa chuyên sâu cho các văn bản hành chính và tài chính trong nước.</w:t>
      </w:r>
    </w:p>
    <w:p>
      <w:pPr>
        <w:keepNext/>
        <w:spacing w:before="200" w:after="60"/>
      </w:pPr>
      <w:r>
        <w:rPr>
          <w:rFonts w:ascii="Times New Roman" w:hAnsi="Times New Roman"/>
          <w:b/>
          <w:color w:val="000000"/>
          <w:sz w:val="25"/>
        </w:rPr>
        <w:t>2.3 Phân tích Cảm xúc và Lý thuyết Quản trị Ấn tượng (Impression Management)</w:t>
      </w:r>
    </w:p>
    <w:p>
      <w:pPr>
        <w:spacing w:line="324" w:lineRule="auto" w:after="80"/>
        <w:ind w:firstLine="567"/>
        <w:jc w:val="both"/>
      </w:pPr>
      <w:r>
        <w:rPr>
          <w:rFonts w:ascii="Times New Roman" w:hAnsi="Times New Roman"/>
          <w:color w:val="000000"/>
          <w:sz w:val="24"/>
        </w:rPr>
        <w:t xml:space="preserve">Phân tích cảm xúc văn bản (Sentiment Analysis) trong tài chính bắt đầu từ công trình nền tảng của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chỉ ra tầm quan trọng của ngữ cảnh chuyên ngành khi xác định sắc thái từ ngữ. Trong các báo cáo phát triển bền vững, nghiên cứu của </w:t>
      </w:r>
      <w:hyperlink w:anchor="ref_cho_2010" w:history="1">
        <w:r>
          <w:rPr>
            <w:rFonts w:ascii="Times New Roman" w:hAnsi="Times New Roman"/>
            <w:color w:val="000000"/>
            <w:u w:val="none"/>
          </w:rPr>
          <w:t>(Cho et al., 2010)</w:t>
        </w:r>
      </w:hyperlink>
      <w:r>
        <w:rPr>
          <w:rFonts w:ascii="Times New Roman" w:hAnsi="Times New Roman"/>
          <w:color w:val="000000"/>
          <w:sz w:val="24"/>
        </w:rPr>
        <w:t xml:space="preserve"> và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ghi nhận sự phổ biến của chiến lược quản trị ấn tượng (impression management) thông qua việc sử dụng áp đảo các từ ngữ tích cực (Hiệu ứng Pollyanna). Doanh nghiệp thường định hình thông điệp báo cáo theo hướng ca ngợi thành tích đạt được, trong khi các sự cố hoặc khó khăn thường được diễn đạt giảm nhẹ hoặc bỏ qua. Việc định lượng tỷ số câu tích cực trên tiêu cực (Pos/Neg Ratio) l</w:t>
      </w:r>
      <w:hyperlink w:anchor="ref_arvidsson_2022" w:history="1">
        <w:r>
          <w:rPr>
            <w:rFonts w:ascii="Times New Roman" w:hAnsi="Times New Roman"/>
            <w:color w:val="000000"/>
            <w:u w:val="none"/>
          </w:rPr>
          <w:t>à một chỉ báo quan trọng giúp nhận diện mức độ thiên lệch lạc quan này Kang và Kim (2022)</w:t>
        </w:r>
      </w:hyperlink>
      <w:r>
        <w:rPr>
          <w:rFonts w:ascii="Times New Roman" w:hAnsi="Times New Roman"/>
          <w:color w:val="000000"/>
          <w:sz w:val="24"/>
        </w:rPr>
        <w:t>.</w:t>
      </w:r>
    </w:p>
    <w:p>
      <w:pPr>
        <w:keepNext/>
        <w:spacing w:before="200" w:after="60"/>
      </w:pPr>
      <w:r>
        <w:rPr>
          <w:rFonts w:ascii="Times New Roman" w:hAnsi="Times New Roman"/>
          <w:b/>
          <w:color w:val="000000"/>
          <w:sz w:val="25"/>
        </w:rPr>
        <w:t>2.4 Khung Phân loại 6 Nhóm Nhu cầu Con người của Kang &amp; Kim (2022)</w:t>
      </w:r>
    </w:p>
    <w:p>
      <w:pPr>
        <w:spacing w:line="324" w:lineRule="auto" w:after="80"/>
        <w:ind w:firstLine="567"/>
        <w:jc w:val="both"/>
      </w:pPr>
      <w:r>
        <w:rPr>
          <w:rFonts w:ascii="Times New Roman" w:hAnsi="Times New Roman"/>
          <w:b w:val="0"/>
          <w:i w:val="0"/>
          <w:color w:val="000000"/>
          <w:sz w:val="24"/>
        </w:rPr>
        <w:t>Nhằm giúp việc diễn giải 17 mục tiêu SDG trở nên mạch lạc và có hệ thống hơn, Kang và Kim (2022) đã dựa trên lý thuyết phát triển con người của Manfred Max-Neef (1991) để tổng hợp 17 mục tiêu SDG thành 6 nhóm danh mục nhu cầu cốt lõi: Đời sống (Life), Kinh tế (Economic), Công bằng (Equity), Xã hội (Social), Tài nguyên (Resources), và Môi trường (Environments). Khung phân loại này tạo điều kiện thuận lợi để đối chiếu trọng tâm chiến lược giữa các doanh nghiệp và quan sát sự dịch chuyển ưu tiên phát triển bền vững qua các năm.</w:t>
      </w:r>
    </w:p>
    <w:p>
      <w:pPr>
        <w:keepNext/>
        <w:spacing w:before="280" w:after="80"/>
      </w:pPr>
      <w:r>
        <w:rPr>
          <w:rFonts w:ascii="Times New Roman" w:hAnsi="Times New Roman"/>
          <w:b/>
          <w:color w:val="000000"/>
          <w:sz w:val="26"/>
        </w:rPr>
        <w:t>3. DỮ LIỆU VÀ PHƯƠNG PHÁP NGHIÊN CỨU (DATA AND METHODOLOGY)</w:t>
      </w:r>
    </w:p>
    <w:p>
      <w:pPr>
        <w:keepNext/>
        <w:spacing w:before="200" w:after="60"/>
      </w:pPr>
      <w:r>
        <w:rPr>
          <w:rFonts w:ascii="Times New Roman" w:hAnsi="Times New Roman"/>
          <w:b/>
          <w:color w:val="000000"/>
          <w:sz w:val="25"/>
        </w:rPr>
        <w:t>3.1 Mẫu Nghiên cứu và Thu thập Dữ liệu (Sample Selection)</w:t>
      </w:r>
    </w:p>
    <w:p>
      <w:pPr>
        <w:spacing w:line="324" w:lineRule="auto" w:after="80"/>
        <w:ind w:firstLine="567"/>
        <w:jc w:val="both"/>
      </w:pPr>
      <w:r>
        <w:rPr>
          <w:rFonts w:ascii="Times New Roman" w:hAnsi="Times New Roman"/>
          <w:b w:val="0"/>
          <w:i w:val="0"/>
          <w:color w:val="000000"/>
          <w:sz w:val="24"/>
        </w:rPr>
        <w:t>Để triển khai trường hợp ứng dụng thực nghiệm, nghiên cứu lựa chọn 7 tập đoàn niêm yết lớn trên thị trường chứng khoán Việt Nam (HOSE và HNX) có lịch sử công bố báo cáo phát triển bền vững hoặc báo cáo tích hợp độc lập liên tục trong giai đoạn 6 năm từ 2020 đến 2025 (tổng cộng 42 báo cáo). Mẫu nghiên cứu đại diện cho 7 ngành kinh tế then chốt: Tài chính - Bảo hiểm (BVH), Nông nghiệp - Thực phẩm (PAN), Năng lượng - Dầu khí (PLX), Bán lẻ thời trang kim hoàn (PNJ), Chứng khoán - Ngân hàng đầu tư (SSI), Vật liệu công nghiệp chế tạo (VCS), và Chế biến sữa - Hàng tiêu dùng (VNM). Thông tin chi tiết về các doanh nghiệp được thể hiện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Tổng quan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thu thập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Tiền Xử lý Dữ liệu Văn bản (Text Extraction &amp; Preprocessing)</w:t>
      </w:r>
    </w:p>
    <w:p>
      <w:pPr>
        <w:spacing w:line="324" w:lineRule="auto" w:after="80"/>
        <w:ind w:firstLine="567"/>
        <w:jc w:val="both"/>
      </w:pPr>
      <w:r>
        <w:rPr>
          <w:rFonts w:ascii="Times New Roman" w:hAnsi="Times New Roman"/>
          <w:b w:val="0"/>
          <w:i w:val="0"/>
          <w:color w:val="000000"/>
          <w:sz w:val="24"/>
        </w:rPr>
        <w:t>Quy trình xử lý văn bản tuân thủ chặt chẽ các bước chuẩn hóa của Kang và Kim (2022): (1) Sử dụng thư viện PyMuPDF trích xuất từng trang văn bản từ các tệp PDF báo cáo, tự động loại bỏ trang bìa, mục lục, trang đồ họa trống và các lời tựa thủ tục; (2) Phân tách khối văn bản thành các câu độc lập dựa trên quy tắc ngữ pháp dấu ngắt câu; (3) Áp dụng bộ lọc độ dài loại bỏ các đoạn văn bản gãy khúc, tiêu đề ngắn hoặc câu có độ dài dưới 6 từ; (4) Đối với các trang tài liệu dạng scan hình ảnh (như báo cáo năm 2022 của PNJ), công cụ OCR (Tesseract vie+eng) được sử dụng để nhận dạng và khôi phục văn bản nhằm bảo toàn tính đầy đủ của dữ liệu. Sau khi làm sạch, toàn bộ 42 báo cáo thu được tổng cộng 96.461 câu văn bản hợp lệ từ 4.997 trang tài liệu, đạt mật độ trung bình 20,35 câu/trang (chi tiết từng báo cáo tại Bảng 3).</w:t>
      </w:r>
    </w:p>
    <w:p>
      <w:pPr>
        <w:keepNext/>
        <w:spacing w:before="200" w:after="60"/>
      </w:pPr>
      <w:r>
        <w:rPr>
          <w:rFonts w:ascii="Times New Roman" w:hAnsi="Times New Roman"/>
          <w:b/>
          <w:color w:val="000000"/>
          <w:sz w:val="25"/>
        </w:rPr>
        <w:t>3.3 Mô hình Biểu diễn Câu Đa ngữ và Đo lường Tương đồng SDG</w:t>
      </w:r>
    </w:p>
    <w:p>
      <w:pPr>
        <w:spacing w:line="324" w:lineRule="auto" w:after="80"/>
        <w:ind w:firstLine="567"/>
        <w:jc w:val="both"/>
      </w:pPr>
      <w:r>
        <w:rPr>
          <w:rFonts w:ascii="Times New Roman" w:hAnsi="Times New Roman"/>
          <w:b w:val="0"/>
          <w:i w:val="0"/>
          <w:color w:val="000000"/>
          <w:sz w:val="24"/>
        </w:rPr>
        <w:t>Kế thừa thiết kế của Kang và Kim (2022), nghiên cứu xây dựng tập văn bản ngữ liệu chuẩn cho 17 Mục tiêu Phát triển Bền vững (SDGs) dựa trên định nghĩa 169 mục tiêu của Liên Hợp Quốc được đối chiếu và chuẩn hóa bằng tiếng Việt và tiếng Anh (~400 câu ngữ liệu chuẩn). Ký hiệu S_g là tập hợp các câu chuẩn thuộc mục tiêu SDG thứ g (g = 1, ..., 17).</w:t>
      </w:r>
    </w:p>
    <w:p>
      <w:pPr>
        <w:spacing w:line="324" w:lineRule="auto" w:after="80"/>
        <w:ind w:firstLine="567"/>
        <w:jc w:val="both"/>
      </w:pPr>
      <w:r>
        <w:rPr>
          <w:rFonts w:ascii="Times New Roman" w:hAnsi="Times New Roman"/>
          <w:color w:val="000000"/>
          <w:sz w:val="24"/>
        </w:rPr>
        <w:t xml:space="preserve">Để mã hóa câu văn, nghiên cứu sử dụng mô hình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cho văn bản tiếng Việt và all-MiniLM-L6-v2 cho văn bản tiếng Anh. Mỗi câu báo cáo r và câu chuẩn s trong tập mục tiêu S_g được ánh xạ thành các vector nhúng ngữ nghĩa r_hat và s_hat (kích thước 768 chiều). Điểm tương đồng giữa câu báo cáo r và mục tiêu SDG g được tính bằng trung bình cộng độ tương đồng cosine giữa vector câu báo cáo với tất cả các câu chuẩn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Chuẩn hóa Thang đo Min-Max và Gom nhóm 6 Danh mục Nhu cầu</w:t>
      </w:r>
    </w:p>
    <w:p>
      <w:pPr>
        <w:spacing w:line="324" w:lineRule="auto" w:after="80"/>
        <w:ind w:firstLine="567"/>
        <w:jc w:val="both"/>
      </w:pPr>
      <w:r>
        <w:rPr>
          <w:rFonts w:ascii="Times New Roman" w:hAnsi="Times New Roman"/>
          <w:b w:val="0"/>
          <w:i w:val="0"/>
          <w:color w:val="000000"/>
          <w:sz w:val="24"/>
        </w:rPr>
        <w:t>Do giá trị tương đồng cosine nguyên bản thường dao động trong một dải số hẹp, nghiên cứu áp dụng phép chuẩn hóa tuyến tính Min-Max toàn cục theo đúng quy chuẩn của Kang và Kim (2022) để đưa điểm tương đồng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(r,g)−min(</m:t>
                  </m:r>
                  <m:r>
                    <m:rPr>
                      <m:sty m:val="p"/>
                    </m:rPr>
                    <m:t>sim</m:t>
                  </m:r>
                  <m:r>
                    <m:t>)</m:t>
                  </m:r>
                </m:num>
                <m:den>
                  <m:r>
                    <m:t>max(</m:t>
                  </m:r>
                  <m:r>
                    <m:rPr>
                      <m:sty m:val="p"/>
                    </m:rPr>
                    <m:t>sim</m:t>
                  </m:r>
                  <m:r>
                    <m:t>)−min(</m:t>
                  </m:r>
                  <m:r>
                    <m:rPr>
                      <m:sty m:val="p"/>
                    </m:rPr>
                    <m:t>sim</m:t>
                  </m:r>
                  <m:r>
                    <m:t>)</m:t>
                  </m:r>
                </m:den>
              </m:f>
              <m:r>
                <m:t>×100</m:t>
              </m:r>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Tiếp theo, 17 mục tiêu SDG được quy nạp vào 6 nhóm danh mục nhu cầu con người theo khung phân loại của Kang và Kim (2022) như trình bày tại Bảng 2. Điểm số của nhóm danh mục C_k cho câu báo cáo r là giá trị trung bình điểm số của các SDG thành phần thuộc nhóm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CatScore</m:t>
              </m:r>
              <m:r>
                <m:t>(r,</m:t>
              </m:r>
              <m:sSub>
                <m:e>
                  <m:r>
                    <m:t>C</m:t>
                  </m:r>
                </m:e>
                <m:sub>
                  <m:r>
                    <m:t>k</m:t>
                  </m:r>
                </m:sub>
              </m:sSub>
              <m:r>
                <m:t>)=</m:t>
              </m:r>
              <m:f>
                <m:fPr>
                  <m:type m:val="bar"/>
                </m:fPr>
                <m:num>
                  <m:r>
                    <m:t>1</m:t>
                  </m:r>
                </m:num>
                <m:den>
                  <m:d>
                    <m:dPr>
                      <m:begChr m:val="|"/>
                      <m:sepChr m:val=""/>
                      <m:endChr m:val="|"/>
                    </m:dPr>
                    <m:e>
                      <m:sSub>
                        <m:e>
                          <m:r>
                            <m:t>C</m:t>
                          </m:r>
                        </m:e>
                        <m:sub>
                          <m:r>
                            <m:t>k</m:t>
                          </m:r>
                        </m:sub>
                      </m:sSub>
                    </m:e>
                  </m:d>
                </m:den>
              </m:f>
              <m:nary>
                <m:naryPr>
                  <m:chr m:val="∑"/>
                  <m:limLoc m:val="subSup"/>
                  <m:grow m:val="1"/>
                  <m:subHide m:val="off"/>
                  <m:supHide m:val="on"/>
                </m:naryPr>
                <m:sub>
                  <m:r>
                    <m:t>g∈</m:t>
                  </m:r>
                  <m:sSub>
                    <m:e>
                      <m:r>
                        <m:t>C</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(3)</w:t>
            </w:r>
          </w:p>
        </w:tc>
      </w:tr>
    </w:tbl>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color w:val="000000"/>
          <w:sz w:val="24"/>
        </w:rPr>
        <w:t xml:space="preserve">Phân loại 17 Mục tiêu Phát triển Bền vững theo 6 Nhóm Nhu cầu Con người </w:t>
      </w:r>
      <w:hyperlink w:anchor="ref_kang_2022" w:history="1">
        <w:r>
          <w:rPr>
            <w:rFonts w:ascii="Times New Roman" w:hAnsi="Times New Roman"/>
            <w:color w:val="000000"/>
            <w:u w:val="none"/>
          </w:rPr>
          <w:t>(Kang &amp; Kim, 2022)</w:t>
        </w:r>
      </w:hyperlink>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35"/>
        <w:gridCol w:w="3135"/>
        <w:gridCol w:w="3135"/>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Nhóm nhu cầu (Category)</w:t>
            </w:r>
          </w:p>
        </w:tc>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Mục tiêu thành phần (SDGs)</w:t>
            </w:r>
          </w:p>
        </w:tc>
        <w:tc>
          <w:tcPr>
            <w:tcW w:type="dxa" w:w="5102"/>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8"/>
              </w:rPr>
              <w:t>Định nghĩa và Nội hàm trọng tâm</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Đời sống (Life)</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 2, 3</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Xóa nghèo, Không còn nạn đói, Sức khỏe và có cuộc sống tốt</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Kinh tế (Economic)</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8, 9</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Việc làm tốt và tăng trưởng kinh tế, Công nghiệp sáng tạo và hạ tầng</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Công bằng (Equity)</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4, 5, 10</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Giáo dục chất lượng, Bình đẳng giới, Giảm bất bình đẳng trong xã hội</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Xã hội (Social)</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11, 16, 17</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Đô thị bền vững, Thể chế và công lý vững mạnh, Quan hệ đối tác toàn cầu</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Tài nguyên (Resources)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6, 7, 12</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Nước sạch vệ sinh, Năng lượng sạch khả chi, Tiêu dùng và sản xuất trách nhiệm</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8"/>
              </w:rPr>
              <w:t>Môi trường (Environments)</w:t>
            </w:r>
          </w:p>
        </w:tc>
        <w:tc>
          <w:tcPr>
            <w:tcW w:type="dxa" w:w="1984"/>
            <w:tcMar>
              <w:top w:w="50" w:type="dxa"/>
              <w:bottom w:w="50" w:type="dxa"/>
              <w:left w:w="80" w:type="dxa"/>
              <w:right w:w="80" w:type="dxa"/>
            </w:tcMar>
          </w:tcPr>
          <w:p>
            <w:pPr>
              <w:spacing w:before="20" w:after="20"/>
              <w:jc w:val="center"/>
            </w:pPr>
            <w:r>
              <w:rPr>
                <w:rFonts w:ascii="Times New Roman" w:hAnsi="Times New Roman"/>
                <w:color w:val="000000"/>
                <w:sz w:val="18"/>
              </w:rPr>
              <w:t>SDG 13, 14, 15</w:t>
            </w:r>
          </w:p>
        </w:tc>
        <w:tc>
          <w:tcPr>
            <w:tcW w:type="dxa" w:w="5102"/>
            <w:tcMar>
              <w:top w:w="50" w:type="dxa"/>
              <w:bottom w:w="50" w:type="dxa"/>
              <w:left w:w="80" w:type="dxa"/>
              <w:right w:w="80" w:type="dxa"/>
            </w:tcMar>
          </w:tcPr>
          <w:p>
            <w:pPr>
              <w:spacing w:before="20" w:after="20"/>
              <w:jc w:val="left"/>
            </w:pPr>
            <w:r>
              <w:rPr>
                <w:rFonts w:ascii="Times New Roman" w:hAnsi="Times New Roman"/>
                <w:color w:val="000000"/>
                <w:sz w:val="18"/>
              </w:rPr>
              <w:t>Hành động khí hậu, Bảo tồn tài nguyên biển, Bảo tồn hệ sinh thái trên cạn</w:t>
            </w:r>
          </w:p>
        </w:tc>
      </w:tr>
    </w:tbl>
    <w:p>
      <w:pPr>
        <w:spacing w:before="60" w:after="160"/>
      </w:pPr>
      <w:r>
        <w:rPr>
          <w:rFonts w:ascii="Times New Roman" w:hAnsi="Times New Roman"/>
          <w:i/>
          <w:sz w:val="18"/>
        </w:rPr>
        <w:t xml:space="preserve">Ghi chú. </w:t>
      </w:r>
      <w:r>
        <w:rPr>
          <w:rFonts w:ascii="Times New Roman" w:hAnsi="Times New Roman"/>
          <w:i w:val="0"/>
          <w:sz w:val="18"/>
        </w:rPr>
        <w:t>Khung phân loại 6 nhóm nhu cầu kế thừa nguyên bản từ nghiên cứu của Kang &amp; Kim (2022).</w:t>
      </w:r>
    </w:p>
    <w:p>
      <w:pPr>
        <w:keepNext/>
        <w:spacing w:before="200" w:after="60"/>
      </w:pPr>
      <w:r>
        <w:rPr>
          <w:rFonts w:ascii="Times New Roman" w:hAnsi="Times New Roman"/>
          <w:b/>
          <w:color w:val="000000"/>
          <w:sz w:val="25"/>
        </w:rPr>
        <w:t>3.5 Phân tích Sắc thái Cảm xúc và Tỷ số Pos/Neg</w:t>
      </w:r>
    </w:p>
    <w:p>
      <w:pPr>
        <w:spacing w:line="324" w:lineRule="auto" w:after="80"/>
        <w:ind w:firstLine="567"/>
        <w:jc w:val="both"/>
      </w:pPr>
      <w:r>
        <w:rPr>
          <w:rFonts w:ascii="Times New Roman" w:hAnsi="Times New Roman"/>
          <w:color w:val="000000"/>
          <w:sz w:val="24"/>
        </w:rPr>
        <w:t xml:space="preserve">Khác với mô hình DistilBERT nhị phân 2 lớp (Tích cực / Tiêu cực) trong bài báo gốc của Kang và Kim (2022), đối với ngữ cảnh văn bản hành chính tiếng Việt (vốn chứa nhiều câu báo cáo thông số kỹ thuật trung tính), nghiên cứu sử dụng mô hình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tinh chỉnh cho phân tích cảm xúc (phobert-base-vietnamese-sentiment). Mô hình phân loại mỗi câu văn r thành một trong 3 nhóm: Tích cực (Positive), Trung tính (Neutral), hoặc Tiêu cực (Negative). Kế thừa công thức của Kang và Kim (2022), Tỷ số Cảm xúc (Pos/Neg Ratio) của từng báo cáo được tính bằng số câu tích cực chia cho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Sentiment</m:t>
              </m:r>
              <m:r>
                <m:rPr>
                  <m:sty m:val="p"/>
                </m:rPr>
                <m:t> </m:t>
              </m:r>
              <m:r>
                <m:rPr>
                  <m:sty m:val="p"/>
                </m:rPr>
                <m:t>Ratio</m:t>
              </m:r>
              <m:r>
                <m:t>=</m:t>
              </m:r>
              <m:f>
                <m:fPr>
                  <m:type m:val="bar"/>
                </m:fPr>
                <m:num>
                  <m:sSub>
                    <m:e>
                      <m:r>
                        <m:t>N</m:t>
                      </m:r>
                    </m:e>
                    <m:sub>
                      <m:r>
                        <m:rPr>
                          <m:sty m:val="p"/>
                        </m:rPr>
                        <m:t>Positive</m:t>
                      </m:r>
                    </m:sub>
                  </m:sSub>
                </m:num>
                <m:den>
                  <m:sSub>
                    <m:e>
                      <m:r>
                        <m:t>N</m:t>
                      </m:r>
                    </m:e>
                    <m:sub>
                      <m:r>
                        <m:rPr>
                          <m:sty m:val="p"/>
                        </m:rPr>
                        <m:t>Negative</m:t>
                      </m:r>
                    </m:sub>
                  </m:sSub>
                </m:den>
              </m:f>
            </m:oMath>
          </w:p>
        </w:tc>
        <w:tc>
          <w:tcPr>
            <w:tcW w:type="dxa" w:w="850"/>
          </w:tcPr>
          <w:p>
            <w:pPr>
              <w:spacing w:before="80" w:after="80"/>
              <w:jc w:val="right"/>
            </w:pPr>
            <w:r>
              <w:rPr>
                <w:rFonts w:ascii="Times New Roman" w:hAnsi="Times New Roman"/>
                <w:color w:val="000000"/>
                <w:sz w:val="22"/>
              </w:rPr>
              <w:t>(4)</w:t>
            </w:r>
          </w:p>
        </w:tc>
      </w:tr>
    </w:tbl>
    <w:p>
      <w:pPr>
        <w:spacing w:line="324" w:lineRule="auto" w:after="80"/>
        <w:ind w:firstLine="567"/>
        <w:jc w:val="both"/>
      </w:pPr>
      <w:r>
        <w:rPr>
          <w:rFonts w:ascii="Times New Roman" w:hAnsi="Times New Roman"/>
          <w:b w:val="0"/>
          <w:i w:val="0"/>
          <w:color w:val="000000"/>
          <w:sz w:val="24"/>
        </w:rPr>
        <w:t>Các câu Trung tính (Neutral) mô tả thông tin dữ liệu thuần túy được giữ nguyên trong cơ cấu phân phối nhưng không đưa vào tỷ số Pos/Neg nhằm đảm bảo phản ánh tập trung mức độ thiên lệch giữa thành tích và rủi ro/khó khăn.</w:t>
      </w:r>
    </w:p>
    <w:p>
      <w:pPr>
        <w:keepNext/>
        <w:spacing w:before="280" w:after="80"/>
      </w:pPr>
      <w:r>
        <w:rPr>
          <w:rFonts w:ascii="Times New Roman" w:hAnsi="Times New Roman"/>
          <w:b/>
          <w:color w:val="000000"/>
          <w:sz w:val="26"/>
        </w:rPr>
        <w:t>4. KẾT QUẢ NGHIÊN CỨU THỰC NGHIỆM (EMPIRICAL RESULTS)</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Thống kê quy mô dữ liệu văn bản từ 42 báo cáo phát triển bền vững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4.997 trang tài liệu, 96.461 câu văn bản hợp lệ. Mật độ bình quân toàn mẫu đạt 20,35 câu/trang.</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SDG của 96.461 câu văn bản sau chuẩn hóa Min-Max 0–100</w:t>
      </w:r>
    </w:p>
    <w:p>
      <w:pPr>
        <w:spacing w:line="324" w:lineRule="auto" w:after="80"/>
        <w:ind w:firstLine="567"/>
        <w:jc w:val="both"/>
      </w:pPr>
      <w:r>
        <w:rPr>
          <w:rFonts w:ascii="Times New Roman" w:hAnsi="Times New Roman"/>
          <w:b w:val="0"/>
          <w:i w:val="0"/>
          <w:color w:val="000000"/>
          <w:sz w:val="24"/>
        </w:rPr>
        <w:t>Hình 1 biểu diễn phân phối tần suất của điểm tương đồng ngữ nghĩa SDG trên toàn bộ 96.461 câu văn bản sau khi chuẩn hóa Min-Max toàn cục về thang điểm 0–100. Đồ thị thể hiện dạng phân phối chuẩn hình chuông đối xứng rõ rệt với điểm số trung bình đạt 45,43 điểm và độ lệch chuẩn 11,87 điểm. Phần lớn các câu văn trong báo cáo tập trung trong khoảng từ 35 đến 55 điểm, phản ánh bản chất của ngôn ngữ báo cáo doanh nghiệp: các câu mô tả bối cảnh hoặc quy trình hoạt động chung thường có mức độ tương đồng vừa phải với các mục tiêu SDG cụ thể.</w:t>
      </w:r>
    </w:p>
    <w:p>
      <w:pPr>
        <w:spacing w:line="324" w:lineRule="auto" w:after="80"/>
        <w:ind w:firstLine="567"/>
        <w:jc w:val="both"/>
      </w:pPr>
      <w:r>
        <w:rPr>
          <w:rFonts w:ascii="Times New Roman" w:hAnsi="Times New Roman"/>
          <w:b w:val="0"/>
          <w:i w:val="0"/>
          <w:color w:val="000000"/>
          <w:sz w:val="24"/>
        </w:rPr>
        <w:t>Khoảng 8,5% số câu văn nằm ở phần đuôi phía bên phải của phân phối (đạt từ 65 đến 90 điểm). Đây là những câu văn mang nội hàm thông tin chuyên biệt, mô tả trực tiếp các chỉ tiêu hành động cụ thể gắn liền với từng mục tiêu của Liên Hợp Quốc (như đầu tư dây chuyền sản xuất giảm phát thải, xử lý tuần hoàn nước thải hoặc các cam kết bảo hộ lao động). Hình thái phân phối này hoàn toàn tương đồng với kết quả mà {c_kang} ghi nhận trên các tập đoàn quốc tế, chứng minh rằng Sentence-BERT hoạt động ổn định và nhất quán khi ánh xạ văn bản báo cáo tiếng Việt sang không gian ngữ nghĩa SDG.</w:t>
      </w:r>
    </w:p>
    <w:p>
      <w:pPr>
        <w:keepNext/>
        <w:spacing w:before="200" w:after="60"/>
      </w:pPr>
      <w:r>
        <w:rPr>
          <w:rFonts w:ascii="Times New Roman" w:hAnsi="Times New Roman"/>
          <w:b/>
          <w:color w:val="000000"/>
          <w:sz w:val="25"/>
        </w:rPr>
        <w:t>4.2 Cấu trúc Gắn kết 6 Nhóm SDG và Biểu đồ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Biểu đồ nhiệt (Heatmap) mức độ cam kết 6 nhóm danh mục SDG của 7 doanh nghiệp qua 42 báo cáo (2020–2025)</w:t>
      </w:r>
    </w:p>
    <w:p>
      <w:pPr>
        <w:spacing w:line="324" w:lineRule="auto" w:after="80"/>
        <w:ind w:firstLine="567"/>
        <w:jc w:val="both"/>
      </w:pPr>
      <w:r>
        <w:rPr>
          <w:rFonts w:ascii="Times New Roman" w:hAnsi="Times New Roman"/>
          <w:b w:val="0"/>
          <w:i w:val="0"/>
          <w:color w:val="000000"/>
          <w:sz w:val="24"/>
        </w:rPr>
        <w:t>Hình 2 minh họa biểu đồ nhiệt thể hiện mức độ gắn kết với 6 nhóm danh mục nhu cầu con người của 7 doanh nghiệp qua 42 báo cáo từ năm 2020 đến 2025. Các gam màu chuyển từ vàng nhạt (mức độ gắn kết thấp, ~38 điểm) sang đỏ sẫm (mức độ gắn kết cao, &gt;51 điểm). Chi tiết điểm số trung bình của từng doanh nghiệp qua các năm được tổng hợp tại Bảng 4. Kết quả chỉ ra một cấu trúc ưu tiên rất rõ ràng: Nhóm Kinh tế (Economic) luôn giữ sắc đỏ đậm nhất ở hầu hết các báo cáo, theo sau là nhóm Xã hội (Social) và Tài nguyên (Resources), trong khi nhóm Công bằng (Equity) liên tục hiển thị gam màu vàng nhạt với điểm số thấp nhất.</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Từ Bảng 4, nhóm Kinh tế luôn đạt mức điểm cao nhất trong mọi báo cáo, dao động từ 43,19 điểm đến trên 51,90 điểm. Điều này phản ánh rõ nét đặc thù của doanh nghiệp tại Việt Nam: các mục tiêu về tăng trưởng kinh tế, tạo việc làm (SDG 8) và đổi mới công nghệ hạ tầng (SDG 9) luôn là ưu tiên hàng đầu gắn liền với chiến lược kinh doanh cốt lõi. Ngược lại, nhóm Công bằng (Equity: giáo dục chất lượng, bình đẳng giới, giảm bất bình đẳng) liên tục có điểm số thấp nhất (chỉ đạt từ 38,36 đến 44,94 điểm). Khoảng chênh lệch giữa nhóm Kinh tế và nhóm Công bằng duy trì từ 6 đến 8 điểm ở hầu hết các công ty, thể hiện sự chênh lệch có tính hệ thống trong mức độ quan tâm giữa các mục tiêu phát triển bền vững.</w:t>
      </w:r>
    </w:p>
    <w:p>
      <w:pPr>
        <w:keepNext/>
        <w:spacing w:before="200" w:after="60"/>
      </w:pPr>
      <w:r>
        <w:rPr>
          <w:rFonts w:ascii="Times New Roman" w:hAnsi="Times New Roman"/>
          <w:b/>
          <w:color w:val="000000"/>
          <w:sz w:val="25"/>
        </w:rPr>
        <w:t>4.3 Xu hướng Biến động 6 Nhóm SDG Giai đoạn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số 6 nhóm danh mục SDG giai đoạn 2020–2025 của 7 doanh nghiệp niêm yết</w:t>
      </w:r>
    </w:p>
    <w:p>
      <w:pPr>
        <w:spacing w:line="324" w:lineRule="auto" w:after="80"/>
        <w:ind w:firstLine="567"/>
        <w:jc w:val="both"/>
      </w:pPr>
      <w:r>
        <w:rPr>
          <w:rFonts w:ascii="Times New Roman" w:hAnsi="Times New Roman"/>
          <w:b w:val="0"/>
          <w:i w:val="0"/>
          <w:color w:val="000000"/>
          <w:sz w:val="24"/>
        </w:rPr>
        <w:t>Hình 3 thể hiện diễn biến điểm số của 6 nhóm danh mục SDG theo thời gian cho từng doanh nghiệp. Một xu hướng đáng chú ý là sự cải thiện đồng đều về điểm số của các doanh nghiệp trong giai đoạn 2023–2025. Cụ thể, Tập đoàn Bảo Việt (BVH), Vinamilk (VNM) và Vicostone (VCS) có bước tiến rõ rệt về điểm số ở hầu hết các nhóm. Tại Vinamilk, nhóm Môi trường (Environments) tăng từ 41,23 điểm năm 2020 lên 47,29 điểm năm 2025, phản ánh việc doanh nghiệp đẩy mạnh công bố lộ trình trung hòa carbon Net Zero 2050 và các trang trại sinh thái đạt chứng nhận quốc tế.</w:t>
      </w:r>
    </w:p>
    <w:p>
      <w:pPr>
        <w:spacing w:line="324" w:lineRule="auto" w:after="80"/>
        <w:ind w:firstLine="567"/>
        <w:jc w:val="both"/>
      </w:pPr>
      <w:r>
        <w:rPr>
          <w:rFonts w:ascii="Times New Roman" w:hAnsi="Times New Roman"/>
          <w:b w:val="0"/>
          <w:i w:val="0"/>
          <w:color w:val="000000"/>
          <w:sz w:val="24"/>
        </w:rPr>
        <w:t>Vicostone (VCS) cũng ghi nhận sự gia tăng mạnh mẽ về dung lượng báo cáo vào năm 2025 (đạt gần 6.000 câu), kéo theo điểm số nhóm Kinh tế và Xã hội đạt trên 50 điểm, phản ánh việc doanh nghiệp mở rộng trình bày về kinh tế tuần hoàn và chuỗi cung ứng bền vững. Nhìn chung, xu hướng qua chuỗi thời gian cho thấy chất lượng và độ bao phủ thông tin SDG của các doanh nghiệp Việt Nam ngày càng hoàn thiện hơn qua từng năm.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theo mô hình PhoBERT</w:t>
      </w:r>
    </w:p>
    <w:p>
      <w:pPr>
        <w:spacing w:line="324" w:lineRule="auto" w:after="80"/>
        <w:ind w:firstLine="567"/>
        <w:jc w:val="both"/>
      </w:pPr>
      <w:r>
        <w:rPr>
          <w:rFonts w:ascii="Times New Roman" w:hAnsi="Times New Roman"/>
          <w:b w:val="0"/>
          <w:i w:val="0"/>
          <w:color w:val="000000"/>
          <w:sz w:val="24"/>
        </w:rPr>
        <w:t>Hình 4 minh họa phân phối xác suất độ phân cực cảm xúc của các câu văn bản do mô hình PhoBERT dự báo. Đồ thị thể hiện đặc trưng hai đỉnh (bimodal distribution): một đỉnh tập trung ở vùng trung tính (khoảng 0,45–0,55) tương ứng với các câu văn trình bày số liệu hoạt động, và một đỉnh lớn tập trung ở vùng giá trị tích cực cao (0,90–1,00). Tỷ lệ câu văn rơi vào vùng tiêu cực (&lt; 0,20) là rất thấp. Điều này cho thấy văn phong báo cáo phát triển bền vững của doanh nghiệp Việt Nam chịu sự chi phối mạnh mẽ của các thông điệp mang tính tích cực và định hướng thành tựu.</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của 7 doanh nghiệp qua các năm</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Thống kê cơ cấu cảm xúc và Tỷ số Pos/Neg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5 tổng hợp cơ cấu cảm xúc trên toàn bộ 96.461 câu văn bản. Kết quả cho thấy: câu Tích cực (Positive) chiếm đa số tuyệt đối với 51.966 câu (53,87%), câu Trung tính (Neutral) chiếm 31.706 câu (32,87%), và câu Tiêu cực (Negative) chỉ chiếm 12.789 câu (13,26%). Tỷ số Pos/Neg trung bình toàn mẫu đạt 4,06 lần, nghĩa là cứ mỗi câu đề cập đến rủi ro hoặc thách thức, doanh nghiệp sử dụng hơn 4 câu để diễn đạt các thành tựu và kết quả tích cực.</w:t>
      </w:r>
    </w:p>
    <w:p>
      <w:pPr>
        <w:spacing w:line="324" w:lineRule="auto" w:after="80"/>
        <w:ind w:firstLine="567"/>
        <w:jc w:val="both"/>
      </w:pPr>
      <w:r>
        <w:rPr>
          <w:rFonts w:ascii="Times New Roman" w:hAnsi="Times New Roman"/>
          <w:b w:val="0"/>
          <w:i w:val="0"/>
          <w:color w:val="000000"/>
          <w:sz w:val="24"/>
        </w:rPr>
        <w:t>Hình 6 thể hiện sự biến động của Tỷ số Pos/Neg giữa các doanh nghiệp qua thời gian. Vinamilk (VNM) duy trì tỷ số ổn định ở mức cao (bình quân 5,38 lần), thể hiện phong cách truyền thông phát triển bền vững nhất quán. Bảo Việt (BVH) có tỷ lệ câu trung tính cao trong giai đoạn đầu (do đặc thù báo cáo tích hợp tài chính) trước khi gia tăng tỷ lệ câu tích cực trong giai đoạn 2023–2025. Đối với PNJ, báo cáo năm 2022 sau khi được bổ trợ trích xuất văn bản đầy đủ đạt tỷ số Pos/Neg là 1,21 lần (317 câu tích cực và 261 câu tiêu cực), phản ánh những khó khăn vận hành thực tế sau đợt giãn cách xã hội kéo dài cuối năm 2021 tại TP.HCM, trước khi tỷ số này phục hồi lên mức 4,23 lần vào năm 2023. Nhìn chung, Tỷ số Pos/Neg phản ánh nhạy bén mức độ thiên lệch lạc quan trong văn phong công bố thông tin của từng doanh nghiệp.</w:t>
      </w:r>
    </w:p>
    <w:p>
      <w:pPr>
        <w:keepNext/>
        <w:spacing w:before="280" w:after="80"/>
      </w:pPr>
      <w:r>
        <w:rPr>
          <w:rFonts w:ascii="Times New Roman" w:hAnsi="Times New Roman"/>
          <w:b/>
          <w:color w:val="000000"/>
          <w:sz w:val="26"/>
        </w:rPr>
        <w:t>5. THẢO LUẬN (DISCUSSION)</w:t>
      </w:r>
    </w:p>
    <w:p>
      <w:pPr>
        <w:keepNext/>
        <w:spacing w:before="200" w:after="60"/>
      </w:pPr>
      <w:r>
        <w:rPr>
          <w:rFonts w:ascii="Times New Roman" w:hAnsi="Times New Roman"/>
          <w:b/>
          <w:color w:val="000000"/>
          <w:sz w:val="25"/>
        </w:rPr>
        <w:t>5.1 Các Đặc tính Nổi bật của Báo cáo Phát triển Bền vững tại Việt Nam</w:t>
      </w:r>
    </w:p>
    <w:p>
      <w:pPr>
        <w:spacing w:line="324" w:lineRule="auto" w:after="80"/>
        <w:ind w:firstLine="567"/>
        <w:jc w:val="both"/>
      </w:pPr>
      <w:r>
        <w:rPr>
          <w:rFonts w:ascii="Times New Roman" w:hAnsi="Times New Roman"/>
          <w:b w:val="0"/>
          <w:i w:val="0"/>
          <w:color w:val="000000"/>
          <w:sz w:val="24"/>
        </w:rPr>
        <w:t>Thông qua việc ứng dụng mô hình NLP trên 42 báo cáo, nghiên cứu đã nhận diện ba đặc tính thực nghiệm nổi bật trong văn hóa công bố thông tin bền vững tại Việt Nam: (1) Ưu tiên tăng trưởng kinh tế và liên kết đối tác: Nhóm Kinh tế (SDG 8, 9) và Đối tác (SDG 17) luôn nhận được mức độ tập trung cao nhất, phản ánh định hướng thực tế của các doanh nghiệp tại một nền kinh tế đang phát triển, nơi tăng trưởng doanh thu, đổi mới hạ tầng và tạo việc làm là những yêu cầu trọng tâm của các bên liên quan; (2) Khoảng trống công bố về nhóm Công bằng xã hội: Nhóm Công bằng (SDG 4, 5, 10) nhận điểm số thấp nhất trên toàn bộ mẫu khảo sát, cho thấy các vấn đề về bình đẳng giới, hòa nhập xã hội và thu hẹp khoảng cách thu nhập vẫn chưa được các doanh nghiệp lồng ghép sâu rộng vào thông điệp chiến lược; (3) Xu hướng quản trị ấn tượng tích cực: Tỷ lệ câu văn tích cực áp đảo (chiếm gần 54%) cùng tỷ số Pos/Neg vượt trội (4–8 lần) là bằng chứng rõ ràng cho thấy báo cáo phát triển bền vững tại Việt Nam hiện nay chủ yếu được sử dụng như một công cụ truyền thông xây dựng hình ảnh thương hiệu hơn là một kênh giải trình rủi ro toàn diện.</w:t>
      </w:r>
    </w:p>
    <w:p>
      <w:pPr>
        <w:keepNext/>
        <w:spacing w:before="200" w:after="60"/>
      </w:pPr>
      <w:r>
        <w:rPr>
          <w:rFonts w:ascii="Times New Roman" w:hAnsi="Times New Roman"/>
          <w:b/>
          <w:color w:val="000000"/>
          <w:sz w:val="25"/>
        </w:rPr>
        <w:t>5.2 So sánh Đối chuẩn với Kết quả của Kang &amp; Kim (2022)</w:t>
      </w:r>
    </w:p>
    <w:p>
      <w:pPr>
        <w:spacing w:line="324" w:lineRule="auto" w:after="80"/>
        <w:ind w:firstLine="567"/>
        <w:jc w:val="both"/>
      </w:pPr>
      <w:r>
        <w:rPr>
          <w:rFonts w:ascii="Times New Roman" w:hAnsi="Times New Roman"/>
          <w:b w:val="0"/>
          <w:i w:val="0"/>
          <w:color w:val="000000"/>
          <w:sz w:val="24"/>
        </w:rPr>
        <w:t>Đối chiếu kết quả của nghiên cứu này với công trình gốc của Kang và Kim (2022) trên các tập đoàn quốc tế mang lại những góc nhìn học thuật hữu ích: Thứ nhất, quy trình nhúng câu bằng Sentence-BERT kết hợp chuẩn hóa Min-Max chứng minh tính ổn định cao và khả năng áp dụng hiệu quả đối với ngôn ngữ tiếng Việt, tạo ra phân phối điểm số dạng chuông tương tự như nghiên cứu gốc. Thứ hai, trong khi các tập đoàn quốc tế trong nghiên cứu của Kang và Kim có sự phân hóa mạnh mẽ về điểm số môi trường tùy theo ngành nghề sản xuất (như ngành hóa chất và năng lượng so với ngành công nghệ), các doanh nghiệp Việt Nam lại thể hiện mức độ tương đồng điểm số môi trường khá đồng đều, cho thấy mức độ chuyên sâu về số liệu định lượng phát thải ở các doanh nghiệp trong nước vẫn đang trong giai đoạn hoàn thiện. Thứ ba, việc nâng cấp mô hình cảm xúc lên 3 lớp (bổ sung lớp Trung tính) giúp phản ánh chính xác hơn các câu văn mô tả số liệu thống kê kỹ thuật, khắc phục tình trạng phân loại nhị phân gượng ép trong bài báo gốc.</w:t>
      </w:r>
    </w:p>
    <w:p>
      <w:pPr>
        <w:keepNext/>
        <w:spacing w:before="200" w:after="60"/>
      </w:pPr>
      <w:r>
        <w:rPr>
          <w:rFonts w:ascii="Times New Roman" w:hAnsi="Times New Roman"/>
          <w:b/>
          <w:color w:val="000000"/>
          <w:sz w:val="25"/>
        </w:rPr>
        <w:t>5.3 Hàm ý Thực tiễn và Quản trị</w:t>
      </w:r>
    </w:p>
    <w:p>
      <w:pPr>
        <w:spacing w:line="324" w:lineRule="auto" w:after="80"/>
        <w:ind w:firstLine="567"/>
        <w:jc w:val="both"/>
      </w:pPr>
      <w:r>
        <w:rPr>
          <w:rFonts w:ascii="Times New Roman" w:hAnsi="Times New Roman"/>
          <w:b w:val="0"/>
          <w:i w:val="0"/>
          <w:color w:val="000000"/>
          <w:sz w:val="24"/>
        </w:rPr>
        <w:t>Từ kết quả nghiên cứu, một số hàm ý thực tiễn được rút ra: (1) Đối với Cơ quan Quản lý (UBCKNN và các Sở Giao dịch Chứng khoán): Cần tiếp tục hoàn thiện khung hướng dẫn công bố thông tin ESG theo hướng khuyến khích doanh nghiệp cân bằng nội dung báo cáo, đặc biệt là nâng cao tính minh bạch ở các mục tiêu công bằng xã hội và kiểm kê phát thải thực chất, đồng thời thúc đẩy việc số hóa tài liệu báo cáo dưới định dạng văn bản chuẩn để thuận tiện cho việc giám sát tự động; (2) Đối với Doanh nghiệp Niêm yết: Cần chuyển dần từ tư duy truyền thông thành tích sang việc công bố cân bằng, chủ động chia sẻ các thách thức và lộ trình khắc phục để nâng cao uy tín đối với các tổ chức xếp hạng tín nhiệm và nhà đầu tư có trách nhiệm; (3) Đối với Nhà đầu tư và Giới phân tích: Các công cụ NLP mã nguồn mở mang lại khả năng sàng lọc và định lượng nhanh chóng nội dung báo cáo phi tài chính, giúp nhận diện sớm xu hướng cam kết chiến lược của doanh nghiệp qua chuỗi thời gian.</w:t>
      </w:r>
    </w:p>
    <w:p>
      <w:pPr>
        <w:keepNext/>
        <w:spacing w:before="200" w:after="60"/>
      </w:pPr>
      <w:r>
        <w:rPr>
          <w:rFonts w:ascii="Times New Roman" w:hAnsi="Times New Roman"/>
          <w:b/>
          <w:color w:val="000000"/>
          <w:sz w:val="25"/>
        </w:rPr>
        <w:t>5.4 Hạn chế của Nghiên cứu</w:t>
      </w:r>
    </w:p>
    <w:p>
      <w:pPr>
        <w:spacing w:line="324" w:lineRule="auto" w:after="80"/>
        <w:ind w:firstLine="567"/>
        <w:jc w:val="both"/>
      </w:pPr>
      <w:r>
        <w:rPr>
          <w:rFonts w:ascii="Times New Roman" w:hAnsi="Times New Roman"/>
          <w:b w:val="0"/>
          <w:i w:val="0"/>
          <w:color w:val="000000"/>
          <w:sz w:val="24"/>
        </w:rPr>
        <w:t>Nghiên cứu có một số hạn chế nhất định: Mẫu khảo sát tập trung vào 7 doanh nghiệp quy mô lớn đầu ngành nên chưa khái quát hóa cho toàn bộ các doanh nghiệp vừa và nhỏ; phương pháp tiếp cận hiện tại thuần túy dựa trên phân tích dữ liệu văn bản định tính mà chưa đối chiếu trực tiếp với các chỉ số đo lường vật lý (như lượng phát thải GHG hay lượng tiêu thụ điện năng) trong các bảng biểu phụ lục. Đây là những hướng mở rộng tiềm năng cho các nghiên cứu tiếp theo.</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thực hiện thành công một trường hợp ứng dụng thực nghiệm khung phương pháp luận NLP của Kang và Kim (2022) trên ngữ liệu 42 báo cáo phát triển bền vững của 7 tập đoàn niêm yết lớn tại Việt Nam giai đoạn 2020–2025. Kết quả chứng minh rằng quy trình kết hợp Sentence-BERT và PhoBERT hoàn toàn khả thi và hiệu quả trong việc định lượng mức độ gắn kết với 17 mục tiêu SDG và phân tích cảm xúc văn bản tiếng Việt. Nghiên cứu đã làm sáng tỏ các đặc tính nổi bật của báo cáo phát triển bền vững tại Việt Nam, bao gồm sự ưu tiên vượt trội cho các mục tiêu kinh tế, khoảng trống công bố về nhóm công bằng xã hội, và xu hướng thiên lệch lạc quan trong văn phong truyền thông. Những phát hiện này khẳng định tiềm năng ứng dụng to lớn của Trí tuệ Nhân tạo trong việc tự động hóa đánh giá và giám sát tính minh bạch của thông tin phi tài chính tại thị trường chứng khoán Việt Nam.</w:t>
      </w:r>
    </w:p>
    <w:p>
      <w:pPr>
        <w:keepNext/>
        <w:spacing w:before="280" w:after="80"/>
      </w:pPr>
      <w:r>
        <w:rPr>
          <w:rFonts w:ascii="Times New Roman" w:hAnsi="Times New Roman"/>
          <w:b/>
          <w:color w:val="000000"/>
          <w:sz w:val="26"/>
        </w:rPr>
        <w:t>TÀI LIỆU THAM KHẢO</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okehoachvaautu_2023"/>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bookmarkEnd w:id="201"/>
    </w:p>
    <w:p>
      <w:bookmarkStart w:id="202" w:name="ref_botaichinh_2020"/>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bookmarkEnd w:id="202"/>
    </w:p>
    <w:p>
      <w:bookmarkStart w:id="203"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3"/>
    </w:p>
    <w:p>
      <w:bookmarkStart w:id="204" w:name="ref_cho_2010"/>
      <w:pPr>
        <w:spacing w:after="80"/>
        <w:ind w:left="720" w:hanging="720"/>
        <w:jc w:val="both"/>
      </w:pPr>
      <w:r>
        <w:rPr>
          <w:rFonts w:ascii="Times New Roman" w:hAnsi="Times New Roman"/>
          <w:color w:val="000000"/>
          <w:sz w:val="22"/>
        </w:rPr>
        <w:t>Cho, C. H., Roberts, R. W., &amp; Patten, D. M. (2010). The language of US corporate environmental disclosure. Accounting, Organizations and Society, 35(4), 431–443. https://doi.org/10.1016/j.aos.2009.10.002</w:t>
      </w:r>
      <w:bookmarkEnd w:id="204"/>
    </w:p>
    <w:p>
      <w:bookmarkStart w:id="205"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5"/>
    </w:p>
    <w:p>
      <w:bookmarkStart w:id="206"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6"/>
    </w:p>
    <w:p>
      <w:bookmarkStart w:id="207"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07"/>
    </w:p>
    <w:p>
      <w:bookmarkStart w:id="208" w:name="ref_freeman_1984"/>
      <w:pPr>
        <w:spacing w:after="80"/>
        <w:ind w:left="720" w:hanging="720"/>
        <w:jc w:val="both"/>
      </w:pPr>
      <w:r>
        <w:rPr>
          <w:rFonts w:ascii="Times New Roman" w:hAnsi="Times New Roman"/>
          <w:color w:val="000000"/>
          <w:sz w:val="22"/>
        </w:rPr>
        <w:t>Freeman, R. E. (1984). Strategic management: A stakeholder approach. Pitman.</w:t>
      </w:r>
      <w:bookmarkEnd w:id="208"/>
    </w:p>
    <w:p>
      <w:bookmarkStart w:id="209"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09"/>
    </w:p>
    <w:p>
      <w:bookmarkStart w:id="210"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0"/>
    </w:p>
    <w:p>
      <w:bookmarkStart w:id="211"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1"/>
    </w:p>
    <w:p>
      <w:bookmarkStart w:id="212" w:name="ref_hoiongdoanhnghiepvisuphattrienbenvungvietnam_2024"/>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bookmarkEnd w:id="212"/>
    </w:p>
    <w:p>
      <w:bookmarkStart w:id="213"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3"/>
    </w:p>
    <w:p>
      <w:bookmarkStart w:id="214"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14"/>
    </w:p>
    <w:p>
      <w:bookmarkStart w:id="215"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15"/>
    </w:p>
    <w:p>
      <w:bookmarkStart w:id="216"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16"/>
    </w:p>
    <w:p>
      <w:bookmarkStart w:id="217" w:name="ref_maxneef_1991"/>
      <w:pPr>
        <w:spacing w:after="80"/>
        <w:ind w:left="720" w:hanging="720"/>
        <w:jc w:val="both"/>
      </w:pPr>
      <w:r>
        <w:rPr>
          <w:rFonts w:ascii="Times New Roman" w:hAnsi="Times New Roman"/>
          <w:color w:val="000000"/>
          <w:sz w:val="22"/>
        </w:rPr>
        <w:t>Max-Neef, M. A. (1991). Human scale development: Conception, application and further reflections. Apex Press.</w:t>
      </w:r>
      <w:bookmarkEnd w:id="217"/>
    </w:p>
    <w:p>
      <w:bookmarkStart w:id="218"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18"/>
    </w:p>
    <w:p>
      <w:bookmarkStart w:id="219"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19"/>
    </w:p>
    <w:p>
      <w:bookmarkStart w:id="220"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0"/>
    </w:p>
    <w:p>
      <w:bookmarkStart w:id="221"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1"/>
    </w:p>
    <w:p>
      <w:bookmarkStart w:id="222"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22"/>
    </w:p>
    <w:p>
      <w:bookmarkStart w:id="223"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23"/>
    </w:p>
    <w:p>
      <w:bookmarkStart w:id="224" w:name="ref_pwcvietnam_2022"/>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bookmarkEnd w:id="224"/>
    </w:p>
    <w:p>
      <w:bookmarkStart w:id="225"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25"/>
    </w:p>
    <w:p>
      <w:bookmarkStart w:id="226"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26"/>
    </w:p>
    <w:p>
      <w:bookmarkStart w:id="227"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27"/>
    </w:p>
    <w:p>
      <w:bookmarkStart w:id="228"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28"/>
    </w:p>
    <w:p>
      <w:bookmarkStart w:id="229" w:name="ref_uybanchungkhoannhanuoc_2024"/>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bookmarkEnd w:id="229"/>
    </w:p>
    <w:p>
      <w:bookmarkStart w:id="230"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30"/>
    </w:p>
    <w:p>
      <w:bookmarkStart w:id="231"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31"/>
    </w:p>
    <w:p>
      <w:bookmarkStart w:id="232"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32"/>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