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b/>
          <w:color w:val="000000"/>
          <w:sz w:val="30"/>
        </w:rPr>
        <w:t>XỬ LÝ NGÔN NGỮ TỰ NHIÊN ĐA NGỮ TRONG PHÂN TÍCH SDG VÀ CẢM XÚC BÁO CÁO PHÁT TRIỂN BỀN VỮNG CỦA DOANH NGHIỆP: BẰNG CHỨNG THỰC NGHIỆM TỪ CÁC DOANH NGHIỆP VIỆT NAM</w:t>
      </w:r>
    </w:p>
    <w:p>
      <w:pPr>
        <w:spacing w:after="240"/>
        <w:jc w:val="center"/>
      </w:pPr>
      <w:r>
        <w:rPr>
          <w:rFonts w:ascii="Times New Roman" w:hAnsi="Times New Roman"/>
          <w:i/>
          <w:color w:val="000000"/>
          <w:sz w:val="24"/>
        </w:rPr>
        <w:t>Multilingual NLP for SDG and Sentiment Analysis of Corporate Sustainability Reports: Evidence from Vietnamese Enterprises</w:t>
      </w:r>
    </w:p>
    <w:p>
      <w:pPr>
        <w:spacing w:after="360"/>
        <w:jc w:val="center"/>
      </w:pPr>
      <w:r>
        <w:rPr>
          <w:rFonts w:ascii="Times New Roman" w:hAnsi="Times New Roman"/>
          <w:b/>
          <w:color w:val="000000"/>
          <w:sz w:val="24"/>
        </w:rPr>
        <w:t>Lê Đan Sơn, Dương Thị Hoàn</w:t>
      </w:r>
    </w:p>
    <w:p>
      <w:pPr>
        <w:keepNext/>
        <w:spacing w:before="280" w:after="80"/>
      </w:pPr>
      <w:r>
        <w:rPr>
          <w:rFonts w:ascii="Times New Roman" w:hAnsi="Times New Roman"/>
          <w:b/>
          <w:color w:val="000000"/>
          <w:sz w:val="26"/>
        </w:rPr>
        <w:t>TÓM TẮT</w:t>
      </w:r>
    </w:p>
    <w:p>
      <w:pPr>
        <w:spacing w:line="324" w:lineRule="auto" w:after="80"/>
        <w:ind w:firstLine="567"/>
        <w:jc w:val="both"/>
      </w:pPr>
      <w:r>
        <w:rPr>
          <w:rFonts w:ascii="Times New Roman" w:hAnsi="Times New Roman"/>
          <w:b w:val="0"/>
          <w:i w:val="0"/>
          <w:color w:val="000000"/>
          <w:sz w:val="24"/>
        </w:rPr>
        <w:t>Báo cáo phát triển bền vững đóng vai trò kênh thông tin chủ đạo giúp doanh nghiệp niêm yết giải trình các cam kết Môi trường, Xã hội và Quản trị (ESG) trước cổ đông và các bên liên quan. Kế thừa và ứng dụng khung phương pháp luận xử lý ngôn ngữ tự nhiên (NLP) tiên phong của {Kang, 2022}, nghiên cứu này thực hiện phân tích văn bản thực nghiệm trên 42 báo cáo phát triển bền vững và báo cáo tích hợp của 7 tập đoàn niêm yết quy mô lớn hàng đầu tại Việt Nam (Bảo Việt, PAN Group, Petrolimex, PNJ, SSI, Vicostone, Vinamilk) trong giai đoạn 6 năm liên tục (2020–2025) với tổng quy mô 96.461 câu văn bản số hóa. Bằng việc kết hợp các mô hình học sâu biến đổi ngôn ngữ đa ngữ (vietnamese-sbert cho tiếng Việt, all-MiniLM-L6-v2 cho tiếng Anh) và mô hình phân tích cảm xúc PhoBERT, nghiên cứu định lượng mức độ tương đồng với 17 Mục tiêu Phát triển Bền vững (SDGs) của Liên Hợp Quốc, quy nạp vào 6 nhóm nhu cầu con người (Đời sống, Kinh tế, Công bằng, Xã hội, Tài nguyên, Môi trường) và phân tích cơ cấu sắc thái ngôn ngữ (Tích cực, Trung tính, Tiêu cực). Kết quả thực nghiệm cho thấy phương pháp của Kang và Kim (2022) hoàn toàn có khả năng thích ứng hiệu quả với ngôn ngữ tiếng Việt và bối cảnh thị trường mới nổi, đồng thời làm sáng tỏ các đặc tính cốt lõi của báo cáo phát triển bền vững tại Việt Nam: (1) Doanh nghiệp thể hiện sự tập trung vượt trội vào nhóm Kinh tế (SDG 8, 9) và Đối tác (SDG 17), trong khi nhóm Công bằng xã hội (SDG 4, 5, 10) liên tục nhận mức điểm thấp nhất; (2) Tồn tại xu hướng thiên lệch lạc quan mang tính cấu trúc với 53,87% câu tích cực, 32,87% câu trung tính và chỉ 13,26% câu tiêu cực (tỷ số Pos/Neg bình quân đạt trên 4 lần), phản ánh chiến lược quản trị ấn tượng định hướng thành tựu; và (3) Dung lượng văn bản cùng độ bao phủ các mục tiêu phát triển bền vững có xu hướng tăng trưởng rõ rệt qua chuỗi thời gian 2020–2025, đặc biệt sau khi Thông tư số 96/2020/TT-BTC có hiệu lực. Nghiên cứu cung cấp một trường hợp ứng dụng thực tế về năng lực của AI trong đánh giá báo cáo phi tài chính tại Việt Nam.</w:t>
      </w:r>
    </w:p>
    <w:p>
      <w:pPr>
        <w:spacing w:line="324" w:lineRule="auto" w:after="80"/>
        <w:ind w:firstLine="567"/>
        <w:jc w:val="both"/>
      </w:pPr>
      <w:r>
        <w:rPr>
          <w:rFonts w:ascii="Times New Roman" w:hAnsi="Times New Roman"/>
          <w:b/>
          <w:i w:val="0"/>
          <w:color w:val="000000"/>
          <w:sz w:val="24"/>
        </w:rPr>
        <w:t>Từ khóa: Báo cáo phát triển bền vững; Mục tiêu phát triển bền vững (SDGs); Xử lý ngôn ngữ tự nhiên (NLP); Sentence-BERT; PhoBERT; Phân tích cảm xúc; Quản trị ấn tượng; Doanh nghiệp niêm yết Việt Nam.</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pivotal communication channels for conveying environmental, social, and governance (ESG) commitments to shareholders and diverse stakeholders. Adopting and empirically contextualizing the pioneering natural language processing (NLP) framework established by {Kang, 2022}, this study conducts an automated textual analysis of 42 standalone sustainability and integrated reports published by seven prominent Vietnamese listed corporations (Bao Viet Holdings, The PAN Group, Petrolimex, Phu Nhuan Jewelry, SSI Securities, Vicostone, and Vinamilk) across a continuous six-year timeline (2020–2025), encompassing 96,461 digitally extracted sentences. By coupling multilingual Transformer embeddings (vietnamese-sbert for Vietnamese and all-MiniLM-L6-v2 for English) with PhoBERT sentiment classification, we quantify corporate semantic alignment with the 17 UN Sustainable Development Goals (SDGs), aggregate alignments into six core human-needs categories (Life, Economic, Equity, Social, Resources, Environments), and evaluate contextual narrative tone (Positive, Neutral, Negative). Empirical findings demonstrate that Kang and Kim's (2022) methodology generalizes robustly to Vietnamese corporate texts and emerging market disclosures, revealing distinct reporting characteristics: (1) Disclosures exhibit an overwhelming thematic prioritization of Economic development (SDGs 8, 9) and Global Partnerships (SDG 17), alongside persistent under-representation in Equity disclosures (SDGs 4, 5, 10); (2) Disclosures display pronounced structural optimism bias (53.87% positive, 32.87% neutral, and only 13.26% negative sentences; mean Pos/Neg ratio exceeding 4.0), evidencing achievement-oriented impression management; and (3) Textual reporting volume and SDG thematic coverage have steadily expanded over the 2020–2025 observation window following the enactment of Circular 96/2020/TT-BTC. This study establishes a practical empirical use case demonstrating the viability of computational NLP for non-financial audit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Impression management; Vietnamese listed enterprises.</w:t>
      </w:r>
    </w:p>
    <w:p>
      <w:pPr>
        <w:keepNext/>
        <w:spacing w:before="280" w:after="80"/>
      </w:pPr>
      <w:r>
        <w:rPr>
          <w:rFonts w:ascii="Times New Roman" w:hAnsi="Times New Roman"/>
          <w:b/>
          <w:color w:val="000000"/>
          <w:sz w:val="26"/>
        </w:rPr>
        <w:t>1. GIỚI THIỆU (INTRODUCTION)</w:t>
      </w:r>
    </w:p>
    <w:p>
      <w:pPr>
        <w:spacing w:line="324" w:lineRule="auto" w:after="80"/>
        <w:ind w:firstLine="567"/>
        <w:jc w:val="both"/>
      </w:pPr>
      <w:r>
        <w:rPr>
          <w:rFonts w:ascii="Times New Roman" w:hAnsi="Times New Roman"/>
          <w:b w:val="0"/>
          <w:i w:val="0"/>
          <w:color w:val="000000"/>
          <w:sz w:val="24"/>
        </w:rPr>
        <w:t>Trong xu thế phát triển bền vững toàn cầu, việc công bố thông tin Môi trường, Xã hội và Quản trị (ESG) gắn liền với 17 Mục tiêu Phát triển Bền vững (SDGs) của Liên Hợp Quốc {United Nations, 2015} đã trở thành một chuẩn mực phổ biến đối với các doanh nghiệp niêm yết trên thị trường vốn {Global Reporting Initiative, 2021}. Tại Việt Nam, sau các cam kết quốc gia mạnh mẽ về biến đổi khí hậu tại Hội nghị COP26 và việc Bộ Tài chính ban hành Thông tư số 96/2020/TT-BTC {Bộ Tài chính, 2020} hướng dẫn công bố thông tin trên thị trường chứng khoán, yêu cầu lập báo cáo đánh giá tác động môi trường và xã hội đã chính thức được thể chế hóa. Cùng với sự hỗ trợ hướng dẫn từ Bộ Chỉ số Doanh nghiệp Bền vững (CSI) {Hội đồng Doanh nghiệp vì sự Phát triển Bền vững Việt Nam, 2024} và Sổ tay thực hành ESG của Ủy ban Chứng khoán Nhà nước {Ủy ban Chứng khoán Nhà nước, 2024}, nhiều tập đoàn đầu ngành tại Việt Nam đã tích cực chuyển dịch sang công bố các Báo cáo Phát triển Bền vững độc lập hoặc Báo cáo Tích hợp hàng năm.</w:t>
      </w:r>
    </w:p>
    <w:p>
      <w:pPr>
        <w:spacing w:line="324" w:lineRule="auto" w:after="80"/>
        <w:ind w:firstLine="567"/>
        <w:jc w:val="both"/>
      </w:pPr>
      <w:r>
        <w:rPr>
          <w:rFonts w:ascii="Times New Roman" w:hAnsi="Times New Roman"/>
          <w:b w:val="0"/>
          <w:i w:val="0"/>
          <w:color w:val="000000"/>
          <w:sz w:val="24"/>
        </w:rPr>
        <w:t>Tuy nhiên, sự gia tăng nhanh chóng về dung lượng báo cáo—thường kéo dài từ vài chục đến hàng trăm trang văn bản tự do—khiến việc giám sát và đánh giá nội dung theo phương pháp thủ công truyền thống gặp nhiều thách thức về thời gian và chi phí {Arvidsson &amp; Dumay, 2022}. Ngoài ra, văn phong trong các báo cáo phi tài chính thường mang tính định tính cao và dễ chịu ảnh hưởng bởi động cơ quản trị ấn tượng (impression management), nơi doanh nghiệp có xu hướng nhấn mạnh vào các thành tựu tích cực và hạn chế đề cập đến các rủi ro hay thách thức {Merkl-Davies &amp; Brennan, 2007}. Điều này đặt ra nhu cầu cấp thiết về các công cụ phân tích tự động, khách quan và có thể mở rộng quy mô dựa trên Trí tuệ Nhân tạo (AI) và Xử lý Ngôn ngữ Tự nhiên (NLP) {Luccioni et al., 2020}.</w:t>
      </w:r>
    </w:p>
    <w:p>
      <w:pPr>
        <w:spacing w:line="324" w:lineRule="auto" w:after="80"/>
        <w:ind w:firstLine="567"/>
        <w:jc w:val="both"/>
      </w:pPr>
      <w:r>
        <w:rPr>
          <w:rFonts w:ascii="Times New Roman" w:hAnsi="Times New Roman"/>
          <w:b w:val="0"/>
          <w:i w:val="0"/>
          <w:color w:val="000000"/>
          <w:sz w:val="24"/>
        </w:rPr>
        <w:t>Trong bối cảnh đó, nghiên cứu tiên phong của {Kang, 2022} trên tạp chí Applied Sciences đã đặt nền móng phương pháp luận quan trọng. Các tác giả đã kết hợp mô hình Sentence-BERT {Reimers &amp; Gurevych, 2019} để đo lường độ tương đồng ngữ nghĩa giữa nội dung báo cáo với 17 mục tiêu SDG, quy nạp vào 6 nhóm nhu cầu con người và phân tích cảm xúc văn bản trên ngữ liệu của các tập đoàn đa quốc gia lớn. Mặc dù khung phân tích của Kang và Kim (2022) đã chứng minh tính hiệu quả vượt trội, phương pháp này chủ yếu được thử nghiệm trên tiếng Anh và các doanh nghiệp toàn cầu. Câu hỏi đặt ra là: Liệu quy trình này có thể áp dụng thành công cho ngữ cảnh ngôn ngữ tiếng Việt và các doanh nghiệp tại một nền kinh tế mới nổi như Việt Nam hay không? Và những đặc tính nổi bật của các báo cáo phát triển bền vững tại Việt Nam được phản ánh như thế nào qua lăng kính NLP?</w:t>
      </w:r>
    </w:p>
    <w:p>
      <w:pPr>
        <w:spacing w:line="324" w:lineRule="auto" w:after="80"/>
        <w:ind w:firstLine="567"/>
        <w:jc w:val="both"/>
      </w:pPr>
      <w:r>
        <w:rPr>
          <w:rFonts w:ascii="Times New Roman" w:hAnsi="Times New Roman"/>
          <w:b w:val="0"/>
          <w:i w:val="0"/>
          <w:color w:val="000000"/>
          <w:sz w:val="24"/>
        </w:rPr>
        <w:t>Xuất phát từ câu hỏi nghiên cứu trên, bài báo này thực hiện một nghiên cứu trường hợp ứng dụng thực nghiệm (empirical use case) nhằm chuyển giao, thích ứng và triển khai phương pháp luận của {Kang, 2022} lên ngữ liệu báo cáo phát triển bền vững của 7 tập đoàn niêm yết quy mô lớn hàng đầu tại Việt Nam (Bảo Việt, PAN Group, Petrolimex, PNJ, SSI, Vicostone, Vinamilk) trong giai đoạn 6 năm liên tục từ 2020 đến 2025. Nghiên cứu không hướng tới việc xây dựng các mô hình kinh tế lượng tài chính phức tạp, mà tập trung vào mục tiêu cốt lõi: kiểm chứng tính khả thi của quy trình NLP đa ngữ trong việc định lượng mức độ gắn kết với 17 mục tiêu SDG và phân tích sắc thái cảm xúc, từ đó làm rõ những đặc tính thực tế của báo cáo phát triển bền vững tại Việt Nam.</w:t>
      </w:r>
    </w:p>
    <w:p>
      <w:pPr>
        <w:keepNext/>
        <w:spacing w:before="280" w:after="80"/>
      </w:pPr>
      <w:r>
        <w:rPr>
          <w:rFonts w:ascii="Times New Roman" w:hAnsi="Times New Roman"/>
          <w:b/>
          <w:color w:val="000000"/>
          <w:sz w:val="26"/>
        </w:rPr>
        <w:t>2. TỔNG QUAN NGHIÊN CỨU (LITERATURE REVIEW)</w:t>
      </w:r>
    </w:p>
    <w:p>
      <w:pPr>
        <w:keepNext/>
        <w:spacing w:before="200" w:after="60"/>
      </w:pPr>
      <w:r>
        <w:rPr>
          <w:rFonts w:ascii="Times New Roman" w:hAnsi="Times New Roman"/>
          <w:b/>
          <w:color w:val="000000"/>
          <w:sz w:val="25"/>
        </w:rPr>
        <w:t>2.1 Các Mục tiêu Phát triển Bền vững (SDGs) và Báo cáo Doanh nghiệp</w:t>
      </w:r>
    </w:p>
    <w:p>
      <w:pPr>
        <w:spacing w:line="324" w:lineRule="auto" w:after="80"/>
        <w:ind w:firstLine="567"/>
        <w:jc w:val="both"/>
      </w:pPr>
      <w:r>
        <w:rPr>
          <w:rFonts w:ascii="Times New Roman" w:hAnsi="Times New Roman"/>
          <w:b w:val="0"/>
          <w:i w:val="0"/>
          <w:color w:val="000000"/>
          <w:sz w:val="24"/>
        </w:rPr>
        <w:t>Khung 17 Mục tiêu Phát triển Bền vững (SDGs) của Liên Hợp Quốc gồm 169 mục tiêu cụ thể hướng tới việc giải quyết đồng bộ các thách thức kinh tế, xã hội và môi trường trên phạm vi toàn cầu {United Nations, 2015}. Dưới góc độ Lý thuyết các bên liên quan {Freeman, 1984} và Lý thuyết tính chính danh {Deegan, 2002}, báo cáo phát triển bền vững là phương tiện giúp doanh nghiệp minh chứng trách nhiệm đối với cộng đồng và xã hội. Tuy nhiên, các nghiên cứu thực nghiệm quốc tế ('{Muñoz-Torres et al., 2019}', '{Pizzi et al., 2020}') chỉ ra rằng doanh nghiệp thường đối mặt với hiện tượng 'lựa chọn mục tiêu thuận lợi' (SDG cherry-picking) {Heras-Saizarbitoria et al., 2022}, tức ưu tiên công bố các mục tiêu gắn liền với tăng trưởng kinh doanh và lợi nhuận trực tiếp, trong khi các mục tiêu mang tính công bằng xã hội hoặc bảo vệ môi trường sâu rộng thường ít được chú trọng tương xứng.</w:t>
      </w:r>
    </w:p>
    <w:p>
      <w:pPr>
        <w:keepNext/>
        <w:spacing w:before="200" w:after="60"/>
      </w:pPr>
      <w:r>
        <w:rPr>
          <w:rFonts w:ascii="Times New Roman" w:hAnsi="Times New Roman"/>
          <w:b/>
          <w:color w:val="000000"/>
          <w:sz w:val="25"/>
        </w:rPr>
        <w:t>2.2 Ứng dụng Xử lý Ngôn ngữ Tự nhiên trong Phân tích Báo cáo Bền vững</w:t>
      </w:r>
    </w:p>
    <w:p>
      <w:pPr>
        <w:spacing w:line="324" w:lineRule="auto" w:after="80"/>
        <w:ind w:firstLine="567"/>
        <w:jc w:val="both"/>
      </w:pPr>
      <w:r>
        <w:rPr>
          <w:rFonts w:ascii="Times New Roman" w:hAnsi="Times New Roman"/>
          <w:b w:val="0"/>
          <w:i w:val="0"/>
          <w:color w:val="000000"/>
          <w:sz w:val="24"/>
        </w:rPr>
        <w:t>Trước đây, phân tích nội dung báo cáo doanh nghiệp chủ yếu dựa trên các bộ từ điển từ vựng hoặc đếm tần suất từ khóa. Cách tiếp cận này bộc lộ hạn chế lớn do không nắm bắt được trật tự từ và ngữ cảnh ngữ nghĩa đa dạng {Mercereau &amp; Melin, 2020}. Sự phát triển của kiến trúc Transformer {Devlin et al., 2019} và mô hình Sentence-BERT (SBERT) {Reimers &amp; Gurevych, 2019} đã tạo ra bước đột phá khi biểu diễn toàn bộ câu văn thành các vector ngữ nghĩa (sentence embeddings) có độ chính xác cao. {Kang, 2022} đã ứng dụng xuất sắc SBERT để so sánh độ tương đồng giữa câu văn báo cáo với tập ngữ liệu định nghĩa các mục tiêu SDG, tạo ra phân phối điểm số liên tục và khách quan. Đối với tiếng Việt, mô hình PhoBERT {Nguyen &amp; Nguyen, 2020} và vietnamese-sbert đã mở ra khả năng xử lý ngữ nghĩa chuyên sâu cho các văn bản hành chính và tài chính trong nước.</w:t>
      </w:r>
    </w:p>
    <w:p>
      <w:pPr>
        <w:keepNext/>
        <w:spacing w:before="200" w:after="60"/>
      </w:pPr>
      <w:r>
        <w:rPr>
          <w:rFonts w:ascii="Times New Roman" w:hAnsi="Times New Roman"/>
          <w:b/>
          <w:color w:val="000000"/>
          <w:sz w:val="25"/>
        </w:rPr>
        <w:t>2.3 Phân tích Cảm xúc và Lý thuyết Quản trị Ấn tượng (Impression Management)</w:t>
      </w:r>
    </w:p>
    <w:p>
      <w:pPr>
        <w:spacing w:line="324" w:lineRule="auto" w:after="80"/>
        <w:ind w:firstLine="567"/>
        <w:jc w:val="both"/>
      </w:pPr>
      <w:r>
        <w:rPr>
          <w:rFonts w:ascii="Times New Roman" w:hAnsi="Times New Roman"/>
          <w:b w:val="0"/>
          <w:i w:val="0"/>
          <w:color w:val="000000"/>
          <w:sz w:val="24"/>
        </w:rPr>
        <w:t>Phân tích cảm xúc văn bản (Sentiment Analysis) trong tài chính bắt đầu từ công trình nền tảng của {Loughran &amp; McDonald, 2011}, chỉ ra tầm quan trọng của ngữ cảnh chuyên ngành khi xác định sắc thái từ ngữ. Trong các báo cáo phát triển bền vững, nghiên cứu của {Cho et al., 2010} và {Veenstra &amp; Ellemers, 2020} ghi nhận sự phổ biến của chiến lược quản trị ấn tượng (impression management) thông qua việc sử dụng áp đảo các từ ngữ tích cực (Hiệu ứng Pollyanna). Doanh nghiệp thường định hình thông điệp báo cáo theo hướng ca ngợi thành tích đạt được, trong khi các sự cố hoặc khó khăn thường được diễn đạt giảm nhẹ hoặc bỏ qua. Việc định lượng tỷ số câu tích cực trên tiêu cực (Pos/Neg Ratio) là một chỉ báo quan trọng giúp nhận diện mức độ thiên lệch lạc quan này {Kang, 2022}.</w:t>
      </w:r>
    </w:p>
    <w:p>
      <w:pPr>
        <w:keepNext/>
        <w:spacing w:before="200" w:after="60"/>
      </w:pPr>
      <w:r>
        <w:rPr>
          <w:rFonts w:ascii="Times New Roman" w:hAnsi="Times New Roman"/>
          <w:b/>
          <w:color w:val="000000"/>
          <w:sz w:val="25"/>
        </w:rPr>
        <w:t>2.4 Khung Phân loại 6 Nhóm Nhu cầu Con người của Kang &amp; Kim (2022)</w:t>
      </w:r>
    </w:p>
    <w:p>
      <w:pPr>
        <w:spacing w:line="324" w:lineRule="auto" w:after="80"/>
        <w:ind w:firstLine="567"/>
        <w:jc w:val="both"/>
      </w:pPr>
      <w:r>
        <w:rPr>
          <w:rFonts w:ascii="Times New Roman" w:hAnsi="Times New Roman"/>
          <w:b w:val="0"/>
          <w:i w:val="0"/>
          <w:color w:val="000000"/>
          <w:sz w:val="24"/>
        </w:rPr>
        <w:t>Nhằm giúp việc diễn giải 17 mục tiêu SDG trở nên mạch lạc và có hệ thống hơn, {Kang, 2022} đã dựa trên lý thuyết phát triển con người của {Max-Neef, 1991} để tổng hợp 17 mục tiêu SDG thành 6 nhóm danh mục nhu cầu cốt lõi: Đời sống (Life), Kinh tế (Economic), Công bằng (Equity), Xã hội (Social), Tài nguyên (Resources), và Môi trường (Environments). Khung phân loại này tạo điều kiện thuận lợi để đối chiếu trọng tâm chiến lược giữa các doanh nghiệp và quan sát sự dịch chuyển ưu tiên phát triển bền vững qua các năm.</w:t>
      </w:r>
    </w:p>
    <w:p>
      <w:pPr>
        <w:keepNext/>
        <w:spacing w:before="280" w:after="80"/>
      </w:pPr>
      <w:r>
        <w:rPr>
          <w:rFonts w:ascii="Times New Roman" w:hAnsi="Times New Roman"/>
          <w:b/>
          <w:color w:val="000000"/>
          <w:sz w:val="26"/>
        </w:rPr>
        <w:t>3. DỮ LIỆU VÀ PHƯƠNG PHÁP NGHIÊN CỨU (DATA AND METHODOLOGY)</w:t>
      </w:r>
    </w:p>
    <w:p>
      <w:pPr>
        <w:keepNext/>
        <w:spacing w:before="200" w:after="60"/>
      </w:pPr>
      <w:r>
        <w:rPr>
          <w:rFonts w:ascii="Times New Roman" w:hAnsi="Times New Roman"/>
          <w:b/>
          <w:color w:val="000000"/>
          <w:sz w:val="25"/>
        </w:rPr>
        <w:t>3.1 Mẫu Nghiên cứu và Thu thập Dữ liệu (Sample Selection)</w:t>
      </w:r>
    </w:p>
    <w:p>
      <w:pPr>
        <w:spacing w:line="324" w:lineRule="auto" w:after="80"/>
        <w:ind w:firstLine="567"/>
        <w:jc w:val="both"/>
      </w:pPr>
      <w:r>
        <w:rPr>
          <w:rFonts w:ascii="Times New Roman" w:hAnsi="Times New Roman"/>
          <w:b w:val="0"/>
          <w:i w:val="0"/>
          <w:color w:val="000000"/>
          <w:sz w:val="24"/>
        </w:rPr>
        <w:t>Để triển khai trường hợp ứng dụng thực nghiệm, nghiên cứu lựa chọn 7 tập đoàn niêm yết lớn trên thị trường chứng khoán Việt Nam (HOSE và HNX) có lịch sử công bố báo cáo phát triển bền vững hoặc báo cáo tích hợp độc lập liên tục trong giai đoạn 6 năm từ 2020 đến 2025 (tổng cộng 42 báo cáo). Mẫu nghiên cứu đại diện cho 7 ngành kinh tế then chốt: Tài chính - Bảo hiểm (BVH), Nông nghiệp - Thực phẩm (PAN), Năng lượng - Dầu khí (PLX), Bán lẻ thời trang kim hoàn (PNJ), Chứng khoán - Ngân hàng đầu tư (SSI), Vật liệu công nghiệp chế tạo (VCS), và Chế biến sữa - Hàng tiêu dùng (VNM). Thông tin chi tiết về các doanh nghiệp được thể hiện tại Bảng 1.</w:t>
      </w:r>
    </w:p>
    <w:p>
      <w:pPr>
        <w:keepNext/>
        <w:spacing w:before="240" w:after="20"/>
      </w:pPr>
      <w:r>
        <w:rPr>
          <w:rFonts w:ascii="Times New Roman" w:hAnsi="Times New Roman"/>
          <w:b/>
          <w:color w:val="000000"/>
          <w:sz w:val="21"/>
        </w:rPr>
        <w:t>Bảng 1</w:t>
      </w:r>
    </w:p>
    <w:p>
      <w:pPr>
        <w:keepNext/>
        <w:spacing w:before="0" w:after="80"/>
      </w:pPr>
      <w:r>
        <w:rPr>
          <w:rFonts w:ascii="Times New Roman" w:hAnsi="Times New Roman"/>
          <w:i/>
          <w:color w:val="000000"/>
          <w:sz w:val="21"/>
        </w:rPr>
        <w:t>Tổng quan mẫu nghiên cứu 7 doanh nghiệp niêm yết giai đoạn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Mã CK</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Tên doanh nghiệp</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Ngành hoạt động cốt lõi</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Sàn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Giai đoạn</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Chuẩn mực công bố áp dụng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Bảo Việt (Bao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Tài chính, Bảo hiểm nhân thọ/phi nhân thọ, Quản lý quỹ</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Báo cáo tích hợp quốc tế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Tập đoàn PAN (The PAN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Nông nghiệp công nghệ cao, Thủy sản, Thực phẩm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Ma trận tính trọng yếu chuỗi giá trị</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Xăng dầu Việt Nam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Năng lượng, Kinh doanh xăng dầu, Hóa dầu</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Kiểm kê KNK</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Vàng bạc Đá quý Phú Nhuận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Chế tác kim hoàn, Bán lẻ trang sức thời trang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Trụ cột DE&amp;I, Phát triển nguồn nhân lực</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Chứng khoán 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Dịch vụ tài chính, Môi giới chứng khoán, Ngân hàng đầu tư</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Khung tài chính xanh &amp; Đầu tư có trách nhiệm</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Vicostone (Tập đoàn Phenikaa)</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Sản xuất vật liệu xây dựng cao cấp, Đá thạch anh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Kinh tế tuần hoàn &amp; An toàn hóa chất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Sữa Việt Nam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Chăn nuôi bò sữa, Chế biến sữa và đồ uống dinh dưỡng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(Trung hòa Carbon), CDP</w:t>
            </w:r>
          </w:p>
        </w:tc>
      </w:tr>
    </w:tbl>
    <w:p>
      <w:pPr>
        <w:spacing w:before="60" w:after="160"/>
      </w:pPr>
      <w:r>
        <w:rPr>
          <w:rFonts w:ascii="Times New Roman" w:hAnsi="Times New Roman"/>
          <w:i/>
          <w:sz w:val="18"/>
        </w:rPr>
        <w:t xml:space="preserve">Ghi chú. </w:t>
      </w:r>
      <w:r>
        <w:rPr>
          <w:rFonts w:ascii="Times New Roman" w:hAnsi="Times New Roman"/>
          <w:i w:val="0"/>
          <w:sz w:val="18"/>
        </w:rPr>
        <w:t>Dữ liệu thu thập từ các Báo cáo Phát triển Bền vững và Báo cáo Tích hợp công bố chính thức trên cổng thông tin HOSE, HNX và website doanh nghiệp.</w:t>
      </w:r>
    </w:p>
    <w:p>
      <w:pPr>
        <w:keepNext/>
        <w:spacing w:before="200" w:after="60"/>
      </w:pPr>
      <w:r>
        <w:rPr>
          <w:rFonts w:ascii="Times New Roman" w:hAnsi="Times New Roman"/>
          <w:b/>
          <w:color w:val="000000"/>
          <w:sz w:val="25"/>
        </w:rPr>
        <w:t>3.2 Tiền Xử lý Dữ liệu Văn bản (Text Extraction &amp; Preprocessing)</w:t>
      </w:r>
    </w:p>
    <w:p>
      <w:pPr>
        <w:spacing w:line="324" w:lineRule="auto" w:after="80"/>
        <w:ind w:firstLine="567"/>
        <w:jc w:val="both"/>
      </w:pPr>
      <w:r>
        <w:rPr>
          <w:rFonts w:ascii="Times New Roman" w:hAnsi="Times New Roman"/>
          <w:b w:val="0"/>
          <w:i w:val="0"/>
          <w:color w:val="000000"/>
          <w:sz w:val="24"/>
        </w:rPr>
        <w:t>Quy trình xử lý văn bản tuân thủ chặt chẽ các bước chuẩn hóa của {Kang, 2022}: (1) Sử dụng thư viện PyMuPDF trích xuất từng trang văn bản từ các tệp PDF báo cáo, tự động loại bỏ trang bìa, mục lục, trang đồ họa trống và các lời tựa thủ tục; (2) Phân tách khối văn bản thành các câu độc lập dựa trên quy tắc ngữ pháp dấu ngắt câu; (3) Áp dụng bộ lọc độ dài loại bỏ các đoạn văn bản gãy khúc, tiêu đề ngắn hoặc câu có độ dài dưới 6 từ; (4) Đối với các trang tài liệu dạng scan hình ảnh (như báo cáo năm 2022 của PNJ), công cụ OCR (Tesseract vie+eng) được sử dụng để nhận dạng và khôi phục văn bản nhằm bảo toàn tính đầy đủ của dữ liệu. Sau khi làm sạch, toàn bộ 42 báo cáo thu được tổng cộng 96.461 câu văn bản hợp lệ từ 4.997 trang tài liệu, đạt mật độ trung bình 20,35 câu/trang (chi tiết từng báo cáo tại Bảng 3).</w:t>
      </w:r>
    </w:p>
    <w:p>
      <w:pPr>
        <w:keepNext/>
        <w:spacing w:before="200" w:after="60"/>
      </w:pPr>
      <w:r>
        <w:rPr>
          <w:rFonts w:ascii="Times New Roman" w:hAnsi="Times New Roman"/>
          <w:b/>
          <w:color w:val="000000"/>
          <w:sz w:val="25"/>
        </w:rPr>
        <w:t>3.3 Mô hình Biểu diễn Câu Đa ngữ và Đo lường Tương đồng SDG</w:t>
      </w:r>
    </w:p>
    <w:p>
      <w:pPr>
        <w:spacing w:line="324" w:lineRule="auto" w:after="80"/>
        <w:ind w:firstLine="567"/>
        <w:jc w:val="both"/>
      </w:pPr>
      <w:r>
        <w:rPr>
          <w:rFonts w:ascii="Times New Roman" w:hAnsi="Times New Roman"/>
          <w:b w:val="0"/>
          <w:i w:val="0"/>
          <w:color w:val="000000"/>
          <w:sz w:val="24"/>
        </w:rPr>
        <w:t>Kế thừa thiết kế của {Kang, 2022}, nghiên cứu xây dựng tập văn bản ngữ liệu chuẩn cho 17 Mục tiêu Phát triển Bền vững (SDGs) dựa trên định nghĩa 169 mục tiêu của Liên Hợp Quốc được đối chiếu và chuẩn hóa bằng tiếng Việt và tiếng Anh (~400 câu ngữ liệu chuẩn). Ký hiệu S_g là tập hợp các câu chuẩn thuộc mục tiêu SDG thứ g (g = 1, ..., 17).</w:t>
      </w:r>
    </w:p>
    <w:p>
      <w:pPr>
        <w:spacing w:line="324" w:lineRule="auto" w:after="80"/>
        <w:ind w:firstLine="567"/>
        <w:jc w:val="both"/>
      </w:pPr>
      <w:r>
        <w:rPr>
          <w:rFonts w:ascii="Times New Roman" w:hAnsi="Times New Roman"/>
          <w:b w:val="0"/>
          <w:i w:val="0"/>
          <w:color w:val="000000"/>
          <w:sz w:val="24"/>
        </w:rPr>
        <w:t>Để mã hóa câu văn, nghiên cứu sử dụng mô hình vietnamese-sbert {Reimers &amp; Gurevych, 2019} cho văn bản tiếng Việt và all-MiniLM-L6-v2 cho văn bản tiếng Anh. Mỗi câu báo cáo r và câu chuẩn s trong tập mục tiêu S_g được ánh xạ thành các vector nhúng ngữ nghĩa r_hat và s_hat (kích thước 768 chiều). Điểm tương đồng giữa câu báo cáo r và mục tiêu SDG g được tính bằng trung bình cộng độ tương đồng cosine giữa vector câu báo cáo với tất cả các câu chuẩn thuộc mục tiêu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Chuẩn hóa Thang đo Min-Max và Gom nhóm 6 Danh mục Nhu cầu</w:t>
      </w:r>
    </w:p>
    <w:p>
      <w:pPr>
        <w:spacing w:line="324" w:lineRule="auto" w:after="80"/>
        <w:ind w:firstLine="567"/>
        <w:jc w:val="both"/>
      </w:pPr>
      <w:r>
        <w:rPr>
          <w:rFonts w:ascii="Times New Roman" w:hAnsi="Times New Roman"/>
          <w:b w:val="0"/>
          <w:i w:val="0"/>
          <w:color w:val="000000"/>
          <w:sz w:val="24"/>
        </w:rPr>
        <w:t>Do giá trị tương đồng cosine nguyên bản thường dao động trong một dải số hẹp, nghiên cứu áp dụng phép chuẩn hóa tuyến tính Min-Max toàn cục theo đúng quy chuẩn của {Kang, 2022} để đưa điểm tương đồng về thang đo trực quan từ 0 đến 100: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(r,g)−min(</m:t>
                  </m:r>
                  <m:r>
                    <m:rPr>
                      <m:sty m:val="p"/>
                    </m:rPr>
                    <m:t>sim</m:t>
                  </m:r>
                  <m:r>
                    <m:t>)</m:t>
                  </m:r>
                </m:num>
                <m:den>
                  <m:r>
                    <m:t>max(</m:t>
                  </m:r>
                  <m:r>
                    <m:rPr>
                      <m:sty m:val="p"/>
                    </m:rPr>
                    <m:t>sim</m:t>
                  </m:r>
                  <m:r>
                    <m:t>)−min(</m:t>
                  </m:r>
                  <m:r>
                    <m:rPr>
                      <m:sty m:val="p"/>
                    </m:rPr>
                    <m:t>sim</m:t>
                  </m:r>
                  <m:r>
                    <m:t>)</m:t>
                  </m:r>
                </m:den>
              </m:f>
              <m:r>
                <m:t>×100</m:t>
              </m:r>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Tiếp theo, 17 mục tiêu SDG được quy nạp vào 6 nhóm danh mục nhu cầu con người theo khung phân loại của {Kang, 2022} như trình bày tại Bảng 2. Điểm số của nhóm danh mục C_k cho câu báo cáo r là giá trị trung bình điểm số của các SDG thành phần thuộc nhóm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CatScore</m:t>
              </m:r>
              <m:r>
                <m:t>(r,</m:t>
              </m:r>
              <m:sSub>
                <m:e>
                  <m:r>
                    <m:t>C</m:t>
                  </m:r>
                </m:e>
                <m:sub>
                  <m:r>
                    <m:t>k</m:t>
                  </m:r>
                </m:sub>
              </m:sSub>
              <m:r>
                <m:t>)=</m:t>
              </m:r>
              <m:f>
                <m:fPr>
                  <m:type m:val="bar"/>
                </m:fPr>
                <m:num>
                  <m:r>
                    <m:t>1</m:t>
                  </m:r>
                </m:num>
                <m:den>
                  <m:d>
                    <m:dPr>
                      <m:begChr m:val="|"/>
                      <m:sepChr m:val=""/>
                      <m:endChr m:val="|"/>
                    </m:dPr>
                    <m:e>
                      <m:sSub>
                        <m:e>
                          <m:r>
                            <m:t>C</m:t>
                          </m:r>
                        </m:e>
                        <m:sub>
                          <m:r>
                            <m:t>k</m:t>
                          </m:r>
                        </m:sub>
                      </m:sSub>
                    </m:e>
                  </m:d>
                </m:den>
              </m:f>
              <m:nary>
                <m:naryPr>
                  <m:chr m:val="∑"/>
                  <m:limLoc m:val="subSup"/>
                  <m:grow m:val="1"/>
                  <m:subHide m:val="off"/>
                  <m:supHide m:val="on"/>
                </m:naryPr>
                <m:sub>
                  <m:r>
                    <m:t>g∈</m:t>
                  </m:r>
                  <m:sSub>
                    <m:e>
                      <m:r>
                        <m:t>C</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(3)</w:t>
            </w:r>
          </w:p>
        </w:tc>
      </w:tr>
    </w:tbl>
    <w:p>
      <w:pPr>
        <w:keepNext/>
        <w:spacing w:before="240" w:after="20"/>
      </w:pPr>
      <w:r>
        <w:rPr>
          <w:rFonts w:ascii="Times New Roman" w:hAnsi="Times New Roman"/>
          <w:b/>
          <w:color w:val="000000"/>
          <w:sz w:val="21"/>
        </w:rPr>
        <w:t>Bảng 2</w:t>
      </w:r>
    </w:p>
    <w:p>
      <w:pPr>
        <w:keepNext/>
        <w:spacing w:before="0" w:after="80"/>
      </w:pPr>
      <w:r>
        <w:rPr>
          <w:rFonts w:ascii="Times New Roman" w:hAnsi="Times New Roman"/>
          <w:i/>
          <w:color w:val="000000"/>
          <w:sz w:val="21"/>
        </w:rPr>
        <w:t>Phân loại 17 Mục tiêu Phát triển Bền vững theo 6 Nhóm Nhu cầu Con người (Kang &amp; Kim, 2022)</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3135"/>
        <w:gridCol w:w="3135"/>
        <w:gridCol w:w="3135"/>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Nhóm nhu cầu (Category)</w:t>
            </w:r>
          </w:p>
        </w:tc>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Mục tiêu thành phần (SDGs)</w:t>
            </w:r>
          </w:p>
        </w:tc>
        <w:tc>
          <w:tcPr>
            <w:tcW w:type="dxa" w:w="5102"/>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Định nghĩa và Nội hàm trọng tâm</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Đời sống (Life)</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 2, 3</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Xóa nghèo, Không còn nạn đói, Sức khỏe và có cuộc sống tốt</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Kinh tế (Economic)</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8, 9</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Việc làm tốt và tăng trưởng kinh tế, Công nghiệp sáng tạo và hạ tầng</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Công bằng (Equity)</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4, 5, 10</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Giáo dục chất lượng, Bình đẳng giới, Giảm bất bình đẳng trong xã hội</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Xã hội (Social)</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11, 16, 17</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Đô thị bền vững, Thể chế và công lý vững mạnh, Quan hệ đối tác toàn cầu</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Tài nguyên (Resources)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6, 7, 12</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Nước sạch vệ sinh, Năng lượng sạch khả chi, Tiêu dùng và sản xuất trách nhiệm</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Môi trường (Environments)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13, 14, 15</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Hành động khí hậu, Bảo tồn tài nguyên biển, Bảo tồn hệ sinh thái trên cạn</w:t>
            </w:r>
          </w:p>
        </w:tc>
      </w:tr>
    </w:tbl>
    <w:p>
      <w:pPr>
        <w:spacing w:before="60" w:after="160"/>
      </w:pPr>
      <w:r>
        <w:rPr>
          <w:rFonts w:ascii="Times New Roman" w:hAnsi="Times New Roman"/>
          <w:i/>
          <w:sz w:val="18"/>
        </w:rPr>
        <w:t xml:space="preserve">Ghi chú. </w:t>
      </w:r>
      <w:r>
        <w:rPr>
          <w:rFonts w:ascii="Times New Roman" w:hAnsi="Times New Roman"/>
          <w:i w:val="0"/>
          <w:sz w:val="18"/>
        </w:rPr>
        <w:t>Khung phân loại 6 nhóm nhu cầu kế thừa nguyên bản từ nghiên cứu của Kang &amp; Kim (2022).</w:t>
      </w:r>
    </w:p>
    <w:p>
      <w:pPr>
        <w:keepNext/>
        <w:spacing w:before="200" w:after="60"/>
      </w:pPr>
      <w:r>
        <w:rPr>
          <w:rFonts w:ascii="Times New Roman" w:hAnsi="Times New Roman"/>
          <w:b/>
          <w:color w:val="000000"/>
          <w:sz w:val="25"/>
        </w:rPr>
        <w:t>3.5 Phân tích Sắc thái Cảm xúc và Tỷ số Pos/Neg</w:t>
      </w:r>
    </w:p>
    <w:p>
      <w:pPr>
        <w:spacing w:line="324" w:lineRule="auto" w:after="80"/>
        <w:ind w:firstLine="567"/>
        <w:jc w:val="both"/>
      </w:pPr>
      <w:r>
        <w:rPr>
          <w:rFonts w:ascii="Times New Roman" w:hAnsi="Times New Roman"/>
          <w:b w:val="0"/>
          <w:i w:val="0"/>
          <w:color w:val="000000"/>
          <w:sz w:val="24"/>
        </w:rPr>
        <w:t>Khác với mô hình DistilBERT nhị phân 2 lớp (Tích cực / Tiêu cực) trong bài báo gốc của {Kang, 2022}, đối với ngữ cảnh văn bản hành chính tiếng Việt (vốn chứa nhiều câu báo cáo thông số kỹ thuật trung tính), nghiên cứu sử dụng mô hình PhoBERT-base {Nguyen &amp; Nguyen, 2020} tinh chỉnh cho phân tích cảm xúc (phobert-base-vietnamese-sentiment). Mô hình phân loại mỗi câu văn r thành một trong 3 nhóm: Tích cực (Positive), Trung tính (Neutral), hoặc Tiêu cực (Negative). Kế thừa công thức của {Kang, 2022}, Tỷ số Cảm xúc (Pos/Neg Ratio) của từng báo cáo được tính bằng số câu tích cực chia cho số câu tiêu cực:</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Sentiment</m:t>
              </m:r>
              <m:r>
                <m:rPr>
                  <m:sty m:val="p"/>
                </m:rPr>
                <m:t> </m:t>
              </m:r>
              <m:r>
                <m:rPr>
                  <m:sty m:val="p"/>
                </m:rPr>
                <m:t>Ratio</m:t>
              </m:r>
              <m:r>
                <m:t>=</m:t>
              </m:r>
              <m:f>
                <m:fPr>
                  <m:type m:val="bar"/>
                </m:fPr>
                <m:num>
                  <m:sSub>
                    <m:e>
                      <m:r>
                        <m:t>N</m:t>
                      </m:r>
                    </m:e>
                    <m:sub>
                      <m:r>
                        <m:rPr>
                          <m:sty m:val="p"/>
                        </m:rPr>
                        <m:t>Positive</m:t>
                      </m:r>
                    </m:sub>
                  </m:sSub>
                </m:num>
                <m:den>
                  <m:sSub>
                    <m:e>
                      <m:r>
                        <m:t>N</m:t>
                      </m:r>
                    </m:e>
                    <m:sub>
                      <m:r>
                        <m:rPr>
                          <m:sty m:val="p"/>
                        </m:rPr>
                        <m:t>Negative</m:t>
                      </m:r>
                    </m:sub>
                  </m:sSub>
                </m:den>
              </m:f>
            </m:oMath>
          </w:p>
        </w:tc>
        <w:tc>
          <w:tcPr>
            <w:tcW w:type="dxa" w:w="850"/>
          </w:tcPr>
          <w:p>
            <w:pPr>
              <w:spacing w:before="80" w:after="80"/>
              <w:jc w:val="right"/>
            </w:pPr>
            <w:r>
              <w:rPr>
                <w:rFonts w:ascii="Times New Roman" w:hAnsi="Times New Roman"/>
                <w:color w:val="000000"/>
                <w:sz w:val="22"/>
              </w:rPr>
              <w:t>(4)</w:t>
            </w:r>
          </w:p>
        </w:tc>
      </w:tr>
    </w:tbl>
    <w:p>
      <w:pPr>
        <w:spacing w:line="324" w:lineRule="auto" w:after="80"/>
        <w:ind w:firstLine="567"/>
        <w:jc w:val="both"/>
      </w:pPr>
      <w:r>
        <w:rPr>
          <w:rFonts w:ascii="Times New Roman" w:hAnsi="Times New Roman"/>
          <w:b w:val="0"/>
          <w:i w:val="0"/>
          <w:color w:val="000000"/>
          <w:sz w:val="24"/>
        </w:rPr>
        <w:t>Các câu Trung tính (Neutral) mô tả thông tin dữ liệu thuần túy được giữ nguyên trong cơ cấu phân phối nhưng không đưa vào tỷ số Pos/Neg nhằm đảm bảo phản ánh tập trung mức độ thiên lệch giữa thành tích và rủi ro/khó khăn.</w:t>
      </w:r>
    </w:p>
    <w:p>
      <w:pPr>
        <w:keepNext/>
        <w:spacing w:before="280" w:after="80"/>
      </w:pPr>
      <w:r>
        <w:rPr>
          <w:rFonts w:ascii="Times New Roman" w:hAnsi="Times New Roman"/>
          <w:b/>
          <w:color w:val="000000"/>
          <w:sz w:val="26"/>
        </w:rPr>
        <w:t>4. KẾT QUẢ NGHIÊN CỨU THỰC NGHIỆM (EMPIRICAL RESULTS)</w:t>
      </w:r>
    </w:p>
    <w:p>
      <w:pPr>
        <w:keepNext/>
        <w:spacing w:before="240" w:after="20"/>
      </w:pPr>
      <w:r>
        <w:rPr>
          <w:rFonts w:ascii="Times New Roman" w:hAnsi="Times New Roman"/>
          <w:b/>
          <w:color w:val="000000"/>
          <w:sz w:val="21"/>
        </w:rPr>
        <w:t>Bảng 3</w:t>
      </w:r>
    </w:p>
    <w:p>
      <w:pPr>
        <w:keepNext/>
        <w:spacing w:before="0" w:after="80"/>
      </w:pPr>
      <w:r>
        <w:rPr>
          <w:rFonts w:ascii="Times New Roman" w:hAnsi="Times New Roman"/>
          <w:i/>
          <w:color w:val="000000"/>
          <w:sz w:val="21"/>
        </w:rPr>
        <w:t>Thống kê quy mô dữ liệu văn bản từ 42 báo cáo phát triển bền vững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Tên tệp báo cáo PDF</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câu</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trang</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Mật độ (câu/trang)</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Ghi chú. </w:t>
      </w:r>
      <w:r>
        <w:rPr>
          <w:rFonts w:ascii="Times New Roman" w:hAnsi="Times New Roman"/>
          <w:i w:val="0"/>
          <w:sz w:val="18"/>
        </w:rPr>
        <w:t>Tổng quy mô: 42 báo cáo, 4.997 trang tài liệu, 96.461 câu văn bản hợp lệ. Mật độ bình quân toàn mẫu đạt 20,35 câu/trang.</w:t>
      </w:r>
    </w:p>
    <w:p>
      <w:pPr>
        <w:keepNext/>
        <w:spacing w:before="200" w:after="60"/>
      </w:pPr>
      <w:r>
        <w:rPr>
          <w:rFonts w:ascii="Times New Roman" w:hAnsi="Times New Roman"/>
          <w:b/>
          <w:color w:val="000000"/>
          <w:sz w:val="25"/>
        </w:rPr>
        <w:t>4.1 Phân phối Điểm Tương đồng SDG Toàn cục</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Hình 1. </w:t>
      </w:r>
      <w:r>
        <w:rPr>
          <w:rFonts w:ascii="Times New Roman" w:hAnsi="Times New Roman"/>
          <w:i w:val="0"/>
          <w:sz w:val="20"/>
        </w:rPr>
        <w:t>Phân phối tần suất điểm tương đồng mục tiêu SDG của 96.461 câu văn bản sau chuẩn hóa Min-Max 0–100</w:t>
      </w:r>
    </w:p>
    <w:p>
      <w:pPr>
        <w:spacing w:line="324" w:lineRule="auto" w:after="80"/>
        <w:ind w:firstLine="567"/>
        <w:jc w:val="both"/>
      </w:pPr>
      <w:r>
        <w:rPr>
          <w:rFonts w:ascii="Times New Roman" w:hAnsi="Times New Roman"/>
          <w:b w:val="0"/>
          <w:i w:val="0"/>
          <w:color w:val="000000"/>
          <w:sz w:val="24"/>
        </w:rPr>
        <w:t>Hình 1 biểu diễn phân phối tần suất của điểm tương đồng ngữ nghĩa SDG trên toàn bộ 96.461 câu văn bản sau khi chuẩn hóa Min-Max toàn cục về thang điểm 0–100. Đồ thị thể hiện dạng phân phối chuẩn hình chuông đối xứng rõ rệt với điểm số trung bình đạt 45,43 điểm và độ lệch chuẩn 11,87 điểm. Phần lớn các câu văn trong báo cáo tập trung trong khoảng từ 35 đến 55 điểm, phản ánh bản chất của ngôn ngữ báo cáo doanh nghiệp: các câu mô tả bối cảnh hoặc quy trình hoạt động chung thường có mức độ tương đồng vừa phải với các mục tiêu SDG cụ thể.</w:t>
      </w:r>
    </w:p>
    <w:p>
      <w:pPr>
        <w:spacing w:line="324" w:lineRule="auto" w:after="80"/>
        <w:ind w:firstLine="567"/>
        <w:jc w:val="both"/>
      </w:pPr>
      <w:r>
        <w:rPr>
          <w:rFonts w:ascii="Times New Roman" w:hAnsi="Times New Roman"/>
          <w:b w:val="0"/>
          <w:i w:val="0"/>
          <w:color w:val="000000"/>
          <w:sz w:val="24"/>
        </w:rPr>
        <w:t>Khoảng 8,5% số câu văn nằm ở phần đuôi phía bên phải của phân phối (đạt từ 65 đến 90 điểm). Đây là những câu văn mang nội hàm thông tin chuyên biệt, mô tả trực tiếp các chỉ tiêu hành động cụ thể gắn liền với từng mục tiêu của Liên Hợp Quốc (như đầu tư dây chuyền sản xuất giảm phát thải, xử lý tuần hoàn nước thải hoặc các cam kết bảo hộ lao động). Hình thái phân phối này hoàn toàn tương đồng với kết quả mà {c_kang} ghi nhận trên các tập đoàn quốc tế, chứng minh rằng Sentence-BERT hoạt động ổn định và nhất quán khi ánh xạ văn bản báo cáo tiếng Việt sang không gian ngữ nghĩa SDG.</w:t>
      </w:r>
    </w:p>
    <w:p>
      <w:pPr>
        <w:keepNext/>
        <w:spacing w:before="200" w:after="60"/>
      </w:pPr>
      <w:r>
        <w:rPr>
          <w:rFonts w:ascii="Times New Roman" w:hAnsi="Times New Roman"/>
          <w:b/>
          <w:color w:val="000000"/>
          <w:sz w:val="25"/>
        </w:rPr>
        <w:t>4.2 Cấu trúc Gắn kết 6 Nhóm SDG và Biểu đồ Nhiệt (Heatmap)</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Hình 2. </w:t>
      </w:r>
      <w:r>
        <w:rPr>
          <w:rFonts w:ascii="Times New Roman" w:hAnsi="Times New Roman"/>
          <w:i w:val="0"/>
          <w:sz w:val="20"/>
        </w:rPr>
        <w:t>Biểu đồ nhiệt (Heatmap) mức độ cam kết 6 nhóm danh mục SDG của 7 doanh nghiệp qua 42 báo cáo (2020–2025)</w:t>
      </w:r>
    </w:p>
    <w:p>
      <w:pPr>
        <w:spacing w:line="324" w:lineRule="auto" w:after="80"/>
        <w:ind w:firstLine="567"/>
        <w:jc w:val="both"/>
      </w:pPr>
      <w:r>
        <w:rPr>
          <w:rFonts w:ascii="Times New Roman" w:hAnsi="Times New Roman"/>
          <w:b w:val="0"/>
          <w:i w:val="0"/>
          <w:color w:val="000000"/>
          <w:sz w:val="24"/>
        </w:rPr>
        <w:t>Hình 2 minh họa biểu đồ nhiệt thể hiện mức độ gắn kết với 6 nhóm danh mục nhu cầu con người của 7 doanh nghiệp qua 42 báo cáo từ năm 2020 đến 2025. Các gam màu chuyển từ vàng nhạt (mức độ gắn kết thấp, ~38 điểm) sang đỏ sẫm (mức độ gắn kết cao, &gt;51 điểm). Chi tiết điểm số trung bình của từng doanh nghiệp qua các năm được tổng hợp tại Bảng 4. Kết quả chỉ ra một cấu trúc ưu tiên rất rõ ràng: Nhóm Kinh tế (Economic) luôn giữ sắc đỏ đậm nhất ở hầu hết các báo cáo, theo sau là nhóm Xã hội (Social) và Tài nguyên (Resources), trong khi nhóm Công bằng (Equity) liên tục hiển thị gam màu vàng nhạt với điểm số thấp nhất.</w:t>
      </w:r>
    </w:p>
    <w:p>
      <w:pPr>
        <w:keepNext/>
        <w:spacing w:before="240" w:after="20"/>
      </w:pPr>
      <w:r>
        <w:rPr>
          <w:rFonts w:ascii="Times New Roman" w:hAnsi="Times New Roman"/>
          <w:b/>
          <w:color w:val="000000"/>
          <w:sz w:val="21"/>
        </w:rPr>
        <w:t>Bảng 4</w:t>
      </w:r>
    </w:p>
    <w:p>
      <w:pPr>
        <w:keepNext/>
        <w:spacing w:before="0" w:after="80"/>
      </w:pPr>
      <w:r>
        <w:rPr>
          <w:rFonts w:ascii="Times New Roman" w:hAnsi="Times New Roman"/>
          <w:i/>
          <w:color w:val="000000"/>
          <w:sz w:val="21"/>
        </w:rPr>
        <w:t>Điểm trung bình 6 nhóm danh mục SDG theo doanh nghiệp và năm (thang điểm 0–100)</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Đời sống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Kinh tế</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bằng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Xã hội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Tài nguyên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Môi trường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Ghi chú. </w:t>
      </w:r>
      <w:r>
        <w:rPr>
          <w:rFonts w:ascii="Times New Roman" w:hAnsi="Times New Roman"/>
          <w:i w:val="0"/>
          <w:sz w:val="18"/>
        </w:rPr>
        <w:t>Life: SDG 1, 2, 3; Economic: SDG 8, 9; Equity: SDG 4, 5, 10; Social: SDG 11, 16, 17; Resources: SDG 6, 7, 12, 14; Environments: SDG 13, 15.</w:t>
      </w:r>
    </w:p>
    <w:p>
      <w:pPr>
        <w:spacing w:line="324" w:lineRule="auto" w:after="80"/>
        <w:ind w:firstLine="567"/>
        <w:jc w:val="both"/>
      </w:pPr>
      <w:r>
        <w:rPr>
          <w:rFonts w:ascii="Times New Roman" w:hAnsi="Times New Roman"/>
          <w:b w:val="0"/>
          <w:i w:val="0"/>
          <w:color w:val="000000"/>
          <w:sz w:val="24"/>
        </w:rPr>
        <w:t>Từ Bảng 4, nhóm Kinh tế luôn đạt mức điểm cao nhất trong mọi báo cáo, dao động từ 43,19 điểm đến trên 51,90 điểm. Điều này phản ánh rõ nét đặc thù của doanh nghiệp tại Việt Nam: các mục tiêu về tăng trưởng kinh tế, tạo việc làm (SDG 8) và đổi mới công nghệ hạ tầng (SDG 9) luôn là ưu tiên hàng đầu gắn liền với chiến lược kinh doanh cốt lõi. Ngược lại, nhóm Công bằng (Equity: giáo dục chất lượng, bình đẳng giới, giảm bất bình đẳng) liên tục có điểm số thấp nhất (chỉ đạt từ 38,36 đến 44,94 điểm). Khoảng chênh lệch giữa nhóm Kinh tế và nhóm Công bằng duy trì từ 6 đến 8 điểm ở hầu hết các công ty, thể hiện sự chênh lệch có tính hệ thống trong mức độ quan tâm giữa các mục tiêu phát triển bền vững.</w:t>
      </w:r>
    </w:p>
    <w:p>
      <w:pPr>
        <w:keepNext/>
        <w:spacing w:before="200" w:after="60"/>
      </w:pPr>
      <w:r>
        <w:rPr>
          <w:rFonts w:ascii="Times New Roman" w:hAnsi="Times New Roman"/>
          <w:b/>
          <w:color w:val="000000"/>
          <w:sz w:val="25"/>
        </w:rPr>
        <w:t>4.3 Xu hướng Biến động 6 Nhóm SDG Giai đoạn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Hình 3. </w:t>
      </w:r>
      <w:r>
        <w:rPr>
          <w:rFonts w:ascii="Times New Roman" w:hAnsi="Times New Roman"/>
          <w:i w:val="0"/>
          <w:sz w:val="20"/>
        </w:rPr>
        <w:t>Xu hướng biến động điểm số 6 nhóm danh mục SDG giai đoạn 2020–2025 của 7 doanh nghiệp niêm yết</w:t>
      </w:r>
    </w:p>
    <w:p>
      <w:pPr>
        <w:spacing w:line="324" w:lineRule="auto" w:after="80"/>
        <w:ind w:firstLine="567"/>
        <w:jc w:val="both"/>
      </w:pPr>
      <w:r>
        <w:rPr>
          <w:rFonts w:ascii="Times New Roman" w:hAnsi="Times New Roman"/>
          <w:b w:val="0"/>
          <w:i w:val="0"/>
          <w:color w:val="000000"/>
          <w:sz w:val="24"/>
        </w:rPr>
        <w:t>Hình 3 thể hiện diễn biến điểm số của 6 nhóm danh mục SDG theo thời gian cho từng doanh nghiệp. Một xu hướng đáng chú ý là sự cải thiện đồng đều về điểm số của các doanh nghiệp trong giai đoạn 2023–2025. Cụ thể, Tập đoàn Bảo Việt (BVH), Vinamilk (VNM) và Vicostone (VCS) có bước tiến rõ rệt về điểm số ở hầu hết các nhóm. Tại Vinamilk, nhóm Môi trường (Environments) tăng từ 41,23 điểm năm 2020 lên 47,29 điểm năm 2025, phản ánh việc doanh nghiệp đẩy mạnh công bố lộ trình trung hòa carbon Net Zero 2050 và các trang trại sinh thái đạt chứng nhận quốc tế.</w:t>
      </w:r>
    </w:p>
    <w:p>
      <w:pPr>
        <w:spacing w:line="324" w:lineRule="auto" w:after="80"/>
        <w:ind w:firstLine="567"/>
        <w:jc w:val="both"/>
      </w:pPr>
      <w:r>
        <w:rPr>
          <w:rFonts w:ascii="Times New Roman" w:hAnsi="Times New Roman"/>
          <w:b w:val="0"/>
          <w:i w:val="0"/>
          <w:color w:val="000000"/>
          <w:sz w:val="24"/>
        </w:rPr>
        <w:t>Vicostone (VCS) cũng ghi nhận sự gia tăng mạnh mẽ về dung lượng báo cáo vào năm 2025 (đạt gần 6.000 câu), kéo theo điểm số nhóm Kinh tế và Xã hội đạt trên 50 điểm, phản ánh việc doanh nghiệp mở rộng trình bày về kinh tế tuần hoàn và chuỗi cung ứng bền vững. Nhìn chung, xu hướng qua chuỗi thời gian cho thấy chất lượng và độ bao phủ thông tin SDG của các doanh nghiệp Việt Nam ngày càng hoàn thiện hơn qua từng năm.</w:t>
      </w:r>
    </w:p>
    <w:p>
      <w:pPr>
        <w:keepNext/>
        <w:spacing w:before="200" w:after="60"/>
      </w:pPr>
      <w:r>
        <w:rPr>
          <w:rFonts w:ascii="Times New Roman" w:hAnsi="Times New Roman"/>
          <w:b/>
          <w:color w:val="000000"/>
          <w:sz w:val="25"/>
        </w:rPr>
        <w:t>4.4 Phân tích Cảm xúc Ngôn ngữ Báo cáo</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Hình 4. </w:t>
      </w:r>
      <w:r>
        <w:rPr>
          <w:rFonts w:ascii="Times New Roman" w:hAnsi="Times New Roman"/>
          <w:i w:val="0"/>
          <w:sz w:val="20"/>
        </w:rPr>
        <w:t>Phân phối xác suất độ phân cực cảm xúc của các câu văn bản theo mô hình PhoBERT</w:t>
      </w:r>
    </w:p>
    <w:p>
      <w:pPr>
        <w:spacing w:line="324" w:lineRule="auto" w:after="80"/>
        <w:ind w:firstLine="567"/>
        <w:jc w:val="both"/>
      </w:pPr>
      <w:r>
        <w:rPr>
          <w:rFonts w:ascii="Times New Roman" w:hAnsi="Times New Roman"/>
          <w:b w:val="0"/>
          <w:i w:val="0"/>
          <w:color w:val="000000"/>
          <w:sz w:val="24"/>
        </w:rPr>
        <w:t>Hình 4 minh họa phân phối xác suất độ phân cực cảm xúc của các câu văn bản do mô hình PhoBERT dự báo. Đồ thị thể hiện đặc trưng hai đỉnh (bimodal distribution): một đỉnh tập trung ở vùng trung tính (khoảng 0,45–0,55) tương ứng với các câu văn trình bày số liệu hoạt động, và một đỉnh lớn tập trung ở vùng giá trị tích cực cao (0,90–1,00). Tỷ lệ câu văn rơi vào vùng tiêu cực (&lt; 0,20) là rất thấp. Điều này cho thấy văn phong báo cáo phát triển bền vững của doanh nghiệp Việt Nam chịu sự chi phối mạnh mẽ của các thông điệp mang tính tích cực và định hướng thành tựu.</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Hình 5. </w:t>
      </w:r>
      <w:r>
        <w:rPr>
          <w:rFonts w:ascii="Times New Roman" w:hAnsi="Times New Roman"/>
          <w:i w:val="0"/>
          <w:sz w:val="20"/>
        </w:rPr>
        <w:t>Cơ cấu tỷ lệ các câu Tích cực / Trung tính / Tiêu cực của 7 doanh nghiệp qua các năm</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Hình 6. </w:t>
      </w:r>
      <w:r>
        <w:rPr>
          <w:rFonts w:ascii="Times New Roman" w:hAnsi="Times New Roman"/>
          <w:i w:val="0"/>
          <w:sz w:val="20"/>
        </w:rPr>
        <w:t>Diễn biến Tỷ số Cảm xúc (Pos/Neg Ratio) hàng năm giữa 7 doanh nghiệp giai đoạn 2020–2025</w:t>
      </w:r>
    </w:p>
    <w:p>
      <w:pPr>
        <w:keepNext/>
        <w:spacing w:before="240" w:after="20"/>
      </w:pPr>
      <w:r>
        <w:rPr>
          <w:rFonts w:ascii="Times New Roman" w:hAnsi="Times New Roman"/>
          <w:b/>
          <w:color w:val="000000"/>
          <w:sz w:val="21"/>
        </w:rPr>
        <w:t>Bảng 5</w:t>
      </w:r>
    </w:p>
    <w:p>
      <w:pPr>
        <w:keepNext/>
        <w:spacing w:before="0" w:after="80"/>
      </w:pPr>
      <w:r>
        <w:rPr>
          <w:rFonts w:ascii="Times New Roman" w:hAnsi="Times New Roman"/>
          <w:i/>
          <w:color w:val="000000"/>
          <w:sz w:val="21"/>
        </w:rPr>
        <w:t>Thống kê cơ cấu cảm xúc và Tỷ số Pos/Neg trong 42 báo cáo phát triển bền vững</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Tiêu cực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Trung tính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Tích cực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Tỷ số Pos/Neg</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Ghi chú. </w:t>
      </w:r>
      <w:r>
        <w:rPr>
          <w:rFonts w:ascii="Times New Roman" w:hAnsi="Times New Roman"/>
          <w:i w:val="0"/>
          <w:sz w:val="18"/>
        </w:rPr>
        <w:t>Phân loại cảm xúc tự động bằng mô hình PhoBERT. Tỷ số Pos/Neg = Số câu Tích cực / Số câu Tiêu cực.</w:t>
      </w:r>
    </w:p>
    <w:p>
      <w:pPr>
        <w:spacing w:line="324" w:lineRule="auto" w:after="80"/>
        <w:ind w:firstLine="567"/>
        <w:jc w:val="both"/>
      </w:pPr>
      <w:r>
        <w:rPr>
          <w:rFonts w:ascii="Times New Roman" w:hAnsi="Times New Roman"/>
          <w:b w:val="0"/>
          <w:i w:val="0"/>
          <w:color w:val="000000"/>
          <w:sz w:val="24"/>
        </w:rPr>
        <w:t>Hình 5 và Bảng 5 tổng hợp cơ cấu cảm xúc trên toàn bộ 96.461 câu văn bản. Kết quả cho thấy: câu Tích cực (Positive) chiếm đa số tuyệt đối với 51.966 câu (53,87%), câu Trung tính (Neutral) chiếm 31.706 câu (32,87%), và câu Tiêu cực (Negative) chỉ chiếm 12.789 câu (13,26%). Tỷ số Pos/Neg trung bình toàn mẫu đạt 4,06 lần, nghĩa là cứ mỗi câu đề cập đến rủi ro hoặc thách thức, doanh nghiệp sử dụng hơn 4 câu để diễn đạt các thành tựu và kết quả tích cực.</w:t>
      </w:r>
    </w:p>
    <w:p>
      <w:pPr>
        <w:spacing w:line="324" w:lineRule="auto" w:after="80"/>
        <w:ind w:firstLine="567"/>
        <w:jc w:val="both"/>
      </w:pPr>
      <w:r>
        <w:rPr>
          <w:rFonts w:ascii="Times New Roman" w:hAnsi="Times New Roman"/>
          <w:b w:val="0"/>
          <w:i w:val="0"/>
          <w:color w:val="000000"/>
          <w:sz w:val="24"/>
        </w:rPr>
        <w:t>Hình 6 thể hiện sự biến động của Tỷ số Pos/Neg giữa các doanh nghiệp qua thời gian. Vinamilk (VNM) duy trì tỷ số ổn định ở mức cao (bình quân 5,38 lần), thể hiện phong cách truyền thông phát triển bền vững nhất quán. Bảo Việt (BVH) có tỷ lệ câu trung tính cao trong giai đoạn đầu (do đặc thù báo cáo tích hợp tài chính) trước khi gia tăng tỷ lệ câu tích cực trong giai đoạn 2023–2025. Đối với PNJ, báo cáo năm 2022 sau khi được bổ trợ trích xuất văn bản đầy đủ đạt tỷ số Pos/Neg là 1,21 lần (317 câu tích cực và 261 câu tiêu cực), phản ánh những khó khăn vận hành thực tế sau đợt giãn cách xã hội kéo dài cuối năm 2021 tại TP.HCM, trước khi tỷ số này phục hồi lên mức 4,23 lần vào năm 2023. Nhìn chung, Tỷ số Pos/Neg phản ánh nhạy bén mức độ thiên lệch lạc quan trong văn phong công bố thông tin của từng doanh nghiệp.</w:t>
      </w:r>
    </w:p>
    <w:p>
      <w:pPr>
        <w:keepNext/>
        <w:spacing w:before="280" w:after="80"/>
      </w:pPr>
      <w:r>
        <w:rPr>
          <w:rFonts w:ascii="Times New Roman" w:hAnsi="Times New Roman"/>
          <w:b/>
          <w:color w:val="000000"/>
          <w:sz w:val="26"/>
        </w:rPr>
        <w:t>5. THẢO LUẬN (DISCUSSION)</w:t>
      </w:r>
    </w:p>
    <w:p>
      <w:pPr>
        <w:keepNext/>
        <w:spacing w:before="200" w:after="60"/>
      </w:pPr>
      <w:r>
        <w:rPr>
          <w:rFonts w:ascii="Times New Roman" w:hAnsi="Times New Roman"/>
          <w:b/>
          <w:color w:val="000000"/>
          <w:sz w:val="25"/>
        </w:rPr>
        <w:t>5.1 Các Đặc tính Nổi bật của Báo cáo Phát triển Bền vững tại Việt Nam</w:t>
      </w:r>
    </w:p>
    <w:p>
      <w:pPr>
        <w:spacing w:line="324" w:lineRule="auto" w:after="80"/>
        <w:ind w:firstLine="567"/>
        <w:jc w:val="both"/>
      </w:pPr>
      <w:r>
        <w:rPr>
          <w:rFonts w:ascii="Times New Roman" w:hAnsi="Times New Roman"/>
          <w:b w:val="0"/>
          <w:i w:val="0"/>
          <w:color w:val="000000"/>
          <w:sz w:val="24"/>
        </w:rPr>
        <w:t>Thông qua việc ứng dụng mô hình NLP trên 42 báo cáo, nghiên cứu đã nhận diện ba đặc tính thực nghiệm nổi bật trong văn hóa công bố thông tin bền vững tại Việt Nam: (1) Ưu tiên tăng trưởng kinh tế và liên kết đối tác: Nhóm Kinh tế (SDG 8, 9) và Đối tác (SDG 17) luôn nhận được mức độ tập trung cao nhất, phản ánh định hướng thực tế của các doanh nghiệp tại một nền kinh tế đang phát triển, nơi tăng trưởng doanh thu, đổi mới hạ tầng và tạo việc làm là những yêu cầu trọng tâm của các bên liên quan; (2) Khoảng trống công bố về nhóm Công bằng xã hội: Nhóm Công bằng (SDG 4, 5, 10) nhận điểm số thấp nhất trên toàn bộ mẫu khảo sát, cho thấy các vấn đề về bình đẳng giới, hòa nhập xã hội và thu hẹp khoảng cách thu nhập vẫn chưa được các doanh nghiệp lồng ghép sâu rộng vào thông điệp chiến lược; (3) Xu hướng quản trị ấn tượng tích cực: Tỷ lệ câu văn tích cực áp đảo (chiếm gần 54%) cùng tỷ số Pos/Neg vượt trội (4–8 lần) là bằng chứng rõ ràng cho thấy báo cáo phát triển bền vững tại Việt Nam hiện nay chủ yếu được sử dụng như một công cụ truyền thông xây dựng hình ảnh thương hiệu hơn là một kênh giải trình rủi ro toàn diện.</w:t>
      </w:r>
    </w:p>
    <w:p>
      <w:pPr>
        <w:keepNext/>
        <w:spacing w:before="200" w:after="60"/>
      </w:pPr>
      <w:r>
        <w:rPr>
          <w:rFonts w:ascii="Times New Roman" w:hAnsi="Times New Roman"/>
          <w:b/>
          <w:color w:val="000000"/>
          <w:sz w:val="25"/>
        </w:rPr>
        <w:t>5.2 So sánh Đối chuẩn với Kết quả của Kang &amp; Kim (2022)</w:t>
      </w:r>
    </w:p>
    <w:p>
      <w:pPr>
        <w:spacing w:line="324" w:lineRule="auto" w:after="80"/>
        <w:ind w:firstLine="567"/>
        <w:jc w:val="both"/>
      </w:pPr>
      <w:r>
        <w:rPr>
          <w:rFonts w:ascii="Times New Roman" w:hAnsi="Times New Roman"/>
          <w:b w:val="0"/>
          <w:i w:val="0"/>
          <w:color w:val="000000"/>
          <w:sz w:val="24"/>
        </w:rPr>
        <w:t>Đối chiếu kết quả của nghiên cứu này với công trình gốc của {Kang, 2022} trên các tập đoàn quốc tế mang lại những góc nhìn học thuật hữu ích: Thứ nhất, quy trình nhúng câu bằng Sentence-BERT kết hợp chuẩn hóa Min-Max chứng minh tính ổn định cao và khả năng áp dụng hiệu quả đối với ngôn ngữ tiếng Việt, tạo ra phân phối điểm số dạng chuông tương tự như nghiên cứu gốc. Thứ hai, trong khi các tập đoàn quốc tế trong nghiên cứu của Kang và Kim có sự phân hóa mạnh mẽ về điểm số môi trường tùy theo ngành nghề sản xuất (như ngành hóa chất và năng lượng so với ngành công nghệ), các doanh nghiệp Việt Nam lại thể hiện mức độ tương đồng điểm số môi trường khá đồng đều, cho thấy mức độ chuyên sâu về số liệu định lượng phát thải ở các doanh nghiệp trong nước vẫn đang trong giai đoạn hoàn thiện. Thứ ba, việc nâng cấp mô hình cảm xúc lên 3 lớp (bổ sung lớp Trung tính) giúp phản ánh chính xác hơn các câu văn mô tả số liệu thống kê kỹ thuật, khắc phục tình trạng phân loại nhị phân gượng ép trong bài báo gốc.</w:t>
      </w:r>
    </w:p>
    <w:p>
      <w:pPr>
        <w:keepNext/>
        <w:spacing w:before="200" w:after="60"/>
      </w:pPr>
      <w:r>
        <w:rPr>
          <w:rFonts w:ascii="Times New Roman" w:hAnsi="Times New Roman"/>
          <w:b/>
          <w:color w:val="000000"/>
          <w:sz w:val="25"/>
        </w:rPr>
        <w:t>5.3 Hàm ý Thực tiễn và Quản trị</w:t>
      </w:r>
    </w:p>
    <w:p>
      <w:pPr>
        <w:spacing w:line="324" w:lineRule="auto" w:after="80"/>
        <w:ind w:firstLine="567"/>
        <w:jc w:val="both"/>
      </w:pPr>
      <w:r>
        <w:rPr>
          <w:rFonts w:ascii="Times New Roman" w:hAnsi="Times New Roman"/>
          <w:b w:val="0"/>
          <w:i w:val="0"/>
          <w:color w:val="000000"/>
          <w:sz w:val="24"/>
        </w:rPr>
        <w:t>Từ kết quả nghiên cứu, một số hàm ý thực tiễn được rút ra: (1) Đối với Cơ quan Quản lý (UBCKNN và các Sở Giao dịch Chứng khoán): Cần tiếp tục hoàn thiện khung hướng dẫn công bố thông tin ESG theo hướng khuyến khích doanh nghiệp cân bằng nội dung báo cáo, đặc biệt là nâng cao tính minh bạch ở các mục tiêu công bằng xã hội và kiểm kê phát thải thực chất, đồng thời thúc đẩy việc số hóa tài liệu báo cáo dưới định dạng văn bản chuẩn để thuận tiện cho việc giám sát tự động; (2) Đối với Doanh nghiệp Niêm yết: Cần chuyển dần từ tư duy truyền thông thành tích sang việc công bố cân bằng, chủ động chia sẻ các thách thức và lộ trình khắc phục để nâng cao uy tín đối với các tổ chức xếp hạng tín nhiệm và nhà đầu tư có trách nhiệm; (3) Đối với Nhà đầu tư và Giới phân tích: Các công cụ NLP mã nguồn mở mang lại khả năng sàng lọc và định lượng nhanh chóng nội dung báo cáo phi tài chính, giúp nhận diện sớm xu hướng cam kết chiến lược của doanh nghiệp qua chuỗi thời gian.</w:t>
      </w:r>
    </w:p>
    <w:p>
      <w:pPr>
        <w:keepNext/>
        <w:spacing w:before="200" w:after="60"/>
      </w:pPr>
      <w:r>
        <w:rPr>
          <w:rFonts w:ascii="Times New Roman" w:hAnsi="Times New Roman"/>
          <w:b/>
          <w:color w:val="000000"/>
          <w:sz w:val="25"/>
        </w:rPr>
        <w:t>5.4 Hạn chế của Nghiên cứu</w:t>
      </w:r>
    </w:p>
    <w:p>
      <w:pPr>
        <w:spacing w:line="324" w:lineRule="auto" w:after="80"/>
        <w:ind w:firstLine="567"/>
        <w:jc w:val="both"/>
      </w:pPr>
      <w:r>
        <w:rPr>
          <w:rFonts w:ascii="Times New Roman" w:hAnsi="Times New Roman"/>
          <w:b w:val="0"/>
          <w:i w:val="0"/>
          <w:color w:val="000000"/>
          <w:sz w:val="24"/>
        </w:rPr>
        <w:t>Nghiên cứu có một số hạn chế nhất định: Mẫu khảo sát tập trung vào 7 doanh nghiệp quy mô lớn đầu ngành nên chưa khái quát hóa cho toàn bộ các doanh nghiệp vừa và nhỏ; phương pháp tiếp cận hiện tại thuần túy dựa trên phân tích dữ liệu văn bản định tính mà chưa đối chiếu trực tiếp với các chỉ số đo lường vật lý (như lượng phát thải GHG hay lượng tiêu thụ điện năng) trong các bảng biểu phụ lục. Đây là những hướng mở rộng tiềm năng cho các nghiên cứu tiếp theo.</w:t>
      </w:r>
    </w:p>
    <w:p>
      <w:pPr>
        <w:keepNext/>
        <w:spacing w:before="280" w:after="80"/>
      </w:pPr>
      <w:r>
        <w:rPr>
          <w:rFonts w:ascii="Times New Roman" w:hAnsi="Times New Roman"/>
          <w:b/>
          <w:color w:val="000000"/>
          <w:sz w:val="26"/>
        </w:rPr>
        <w:t>6. KẾT LUẬN (CONCLUSION)</w:t>
      </w:r>
    </w:p>
    <w:p>
      <w:pPr>
        <w:spacing w:line="324" w:lineRule="auto" w:after="80"/>
        <w:ind w:firstLine="567"/>
        <w:jc w:val="both"/>
      </w:pPr>
      <w:r>
        <w:rPr>
          <w:rFonts w:ascii="Times New Roman" w:hAnsi="Times New Roman"/>
          <w:b w:val="0"/>
          <w:i w:val="0"/>
          <w:color w:val="000000"/>
          <w:sz w:val="24"/>
        </w:rPr>
        <w:t>Nghiên cứu này đã thực hiện thành công một trường hợp ứng dụng thực nghiệm khung phương pháp luận NLP của {Kang, 2022} trên ngữ liệu 42 báo cáo phát triển bền vững của 7 tập đoàn niêm yết lớn tại Việt Nam giai đoạn 2020–2025. Kết quả chứng minh rằng quy trình kết hợp Sentence-BERT và PhoBERT hoàn toàn khả thi và hiệu quả trong việc định lượng mức độ gắn kết với 17 mục tiêu SDG và phân tích cảm xúc văn bản tiếng Việt. Nghiên cứu đã làm sáng tỏ các đặc tính nổi bật của báo cáo phát triển bền vững tại Việt Nam, bao gồm sự ưu tiên vượt trội cho các mục tiêu kinh tế, khoảng trống công bố về nhóm công bằng xã hội, và xu hướng thiên lệch lạc quan trong văn phong truyền thông. Những phát hiện này khẳng định tiềm năng ứng dụng to lớn của Trí tuệ Nhân tạo trong việc tự động hóa đánh giá và giám sát tính minh bạch của thông tin phi tài chính tại thị trường chứng khoán Việt Nam.</w:t>
      </w:r>
    </w:p>
    <w:p>
      <w:pPr>
        <w:keepNext/>
        <w:spacing w:before="280" w:after="80"/>
      </w:pPr>
      <w:r>
        <w:rPr>
          <w:rFonts w:ascii="Times New Roman" w:hAnsi="Times New Roman"/>
          <w:b/>
          <w:color w:val="000000"/>
          <w:sz w:val="26"/>
        </w:rPr>
        <w:t>TÀI LIỆU THAM KHẢO</w:t>
      </w:r>
    </w:p>
    <w:p>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p>
    <w:p>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p>
    <w:p>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p>
    <w:p>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p>
    <w:p>
      <w:pPr>
        <w:spacing w:after="80"/>
        <w:ind w:left="720" w:hanging="720"/>
        <w:jc w:val="both"/>
      </w:pPr>
      <w:r>
        <w:rPr>
          <w:rFonts w:ascii="Times New Roman" w:hAnsi="Times New Roman"/>
          <w:color w:val="000000"/>
          <w:sz w:val="22"/>
        </w:rPr>
        <w:t>Cho, C. H., Roberts, R. W., &amp; Patten, D. M. (2010). The language of US corporate environmental disclosure. Accounting, Organizations and Society, 35(4), 431–443. https://doi.org/10.1016/j.aos.2009.10.002</w:t>
      </w:r>
    </w:p>
    <w:p>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p>
    <w:p>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p>
    <w:p>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p>
    <w:p>
      <w:pPr>
        <w:spacing w:after="80"/>
        <w:ind w:left="720" w:hanging="720"/>
        <w:jc w:val="both"/>
      </w:pPr>
      <w:r>
        <w:rPr>
          <w:rFonts w:ascii="Times New Roman" w:hAnsi="Times New Roman"/>
          <w:color w:val="000000"/>
          <w:sz w:val="22"/>
        </w:rPr>
        <w:t>Freeman, R. E. (1984). Strategic management: A stakeholder approach. Pitman.</w:t>
      </w:r>
    </w:p>
    <w:p>
      <w:pPr>
        <w:spacing w:after="80"/>
        <w:ind w:left="720" w:hanging="720"/>
        <w:jc w:val="both"/>
      </w:pPr>
      <w:r>
        <w:rPr>
          <w:rFonts w:ascii="Times New Roman" w:hAnsi="Times New Roman"/>
          <w:color w:val="000000"/>
          <w:sz w:val="22"/>
        </w:rPr>
        <w:t>Global Reporting Initiative. (2021). GRI universal standards 2021. Global Sustainability Standards Board.</w:t>
      </w:r>
    </w:p>
    <w:p>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p>
    <w:p>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p>
    <w:p>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p>
    <w:p>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p>
    <w:p>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p>
    <w:p>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p>
    <w:p>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p>
    <w:p>
      <w:pPr>
        <w:spacing w:after="80"/>
        <w:ind w:left="720" w:hanging="720"/>
        <w:jc w:val="both"/>
      </w:pPr>
      <w:r>
        <w:rPr>
          <w:rFonts w:ascii="Times New Roman" w:hAnsi="Times New Roman"/>
          <w:color w:val="000000"/>
          <w:sz w:val="22"/>
        </w:rPr>
        <w:t>Max-Neef, M. A. (1991). Human scale development: Conception, application and further reflections. Apex Press.</w:t>
      </w:r>
    </w:p>
    <w:p>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p>
    <w:p>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p>
    <w:p>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p>
    <w:p>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p>
    <w:p>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p>
    <w:p>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p>
    <w:p>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p>
    <w:p>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p>
    <w:p>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p>
    <w:p>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p>
    <w:p>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p>
    <w:p>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p>
    <w:p>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p>
    <w:p>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p>
    <w:p>
      <w:pPr>
        <w:spacing w:after="80"/>
        <w:ind w:left="720" w:hanging="720"/>
        <w:jc w:val="both"/>
      </w:pPr>
      <w:r>
        <w:rPr>
          <w:rFonts w:ascii="Times New Roman" w:hAnsi="Times New Roman"/>
          <w:color w:val="000000"/>
          <w:sz w:val="22"/>
        </w:rPr>
        <w:t>World Commission on Environment and Development. (1987). Our common future. Oxford University Press.</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