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00000"/>
          <w:sz w:val="30"/>
        </w:rPr>
        <w:t>PHÂN TÍCH VÀ TRỰC QUAN HÓA THÔNG TIN VĂN BẢN TRONG BÁO CÁO PHÁT TRIỂN BỀN VỮNG CỦA DOANH NGHIỆP BẰNG PHƯƠNG PHÁP XỬ LÝ NGÔN NGỮ TỰ NHIÊN: BẰNG CHỨNG THỰC NGHIỆM TẠI VIỆT NAM</w:t>
      </w:r>
    </w:p>
    <w:p>
      <w:pPr>
        <w:spacing w:after="280"/>
        <w:jc w:val="center"/>
      </w:pPr>
      <w:r>
        <w:rPr>
          <w:rFonts w:ascii="Times New Roman" w:hAnsi="Times New Roman"/>
          <w:i/>
          <w:color w:val="000000"/>
          <w:sz w:val="24"/>
        </w:rPr>
        <w:t>Analyzing and Visualizing Text Information in Corporate Sustainability Reports Using Natural Language Processing Methods: Empirical Evidence from Vietnam</w:t>
      </w:r>
    </w:p>
    <w:p>
      <w:pPr>
        <w:spacing w:after="40"/>
        <w:jc w:val="center"/>
      </w:pPr>
      <w:r>
        <w:rPr>
          <w:rFonts w:ascii="Times New Roman" w:hAnsi="Times New Roman"/>
          <w:b/>
          <w:color w:val="000000"/>
          <w:sz w:val="23"/>
        </w:rPr>
        <w:t>Nhóm Nghiên cứu Trí tuệ Nhân tạo và Tài chính Bền vững</w:t>
      </w:r>
    </w:p>
    <w:p>
      <w:pPr>
        <w:spacing w:after="280"/>
        <w:jc w:val="center"/>
      </w:pPr>
      <w:r>
        <w:rPr>
          <w:rFonts w:ascii="Times New Roman" w:hAnsi="Times New Roman"/>
          <w:color w:val="000000"/>
          <w:sz w:val="21"/>
        </w:rPr>
        <w:t>Khoa Tài chính - Ngân hàng, Trường Đại học Kinh tế</w:t>
        <w:br/>
        <w:t>Email liên hệ: research.esg@vietnam-analytics.edu.vn</w:t>
      </w:r>
    </w:p>
    <w:p>
      <w:pPr>
        <w:keepNext/>
        <w:spacing w:before="280" w:after="80"/>
      </w:pPr>
      <w:r>
        <w:rPr>
          <w:rFonts w:ascii="Times New Roman" w:hAnsi="Times New Roman"/>
          <w:b/>
          <w:color w:val="000000"/>
          <w:sz w:val="26"/>
        </w:rPr>
        <w:t>TÓM TẮT</w:t>
      </w:r>
    </w:p>
    <w:p>
      <w:pPr>
        <w:spacing w:line="324" w:lineRule="auto" w:after="80"/>
        <w:ind w:firstLine="567"/>
        <w:jc w:val="both"/>
      </w:pPr>
      <w:r>
        <w:rPr>
          <w:rFonts w:ascii="Times New Roman" w:hAnsi="Times New Roman"/>
          <w:b w:val="0"/>
          <w:i w:val="0"/>
          <w:color w:val="000000"/>
          <w:sz w:val="24"/>
        </w:rPr>
        <w:t>Báo cáo phát triển bền vững ngày càng trở thành công cụ giao tiếp thiết yếu giúp các doanh nghiệp niêm yết truyền tải trách nhiệm giải trình đối với các tiêu chuẩn Môi trường, Xã hội và Quản trị (ESG). Tuy nhiên, các kỹ thuật phân tích nội dung truyền thống dựa trên tần suất từ khóa thường thất bại trong việc nắm bắt ngữ cảnh ngữ nghĩa và dễ bị chi phối bởi các ngôn từ sáo rỗng. Nghiên cứu này thực hiện tái hiện và mở rộng có hệ thống khung phương pháp luận tiên phong của Kang và Kim (2022) trên ngữ liệu 29 báo cáo phát triển bền vững tiếng Việt (tổng cộng 17.047 câu văn) được công bố trong giai đoạn 2018–2025 bởi 4 doanh nghiệp niêm yết quy mô lớn đại diện cho 4 ngành kinh tế trụ cột tại Việt Nam: The PAN Group (nông nghiệp và thực phẩm), Petrolimex (năng lượng và xăng dầu), PNJ (chế tác và bán lẻ trang sức) và Vinamilk (chế biến sữa). Quy trình nghiên cứu tích hợp mô hình nhúng câu vietnamese-sbert đo độ tương đồng cosine với 391 câu ngữ liệu chuẩn của 17 Mục tiêu Phát triển Bền vững (SDGs) của Liên Hợp Quốc (được phân nhóm thành 6 danh mục nhu cầu con người: Đời sống, Kinh tế, Công bằng, Xã hội, Tài nguyên, Môi trường) và mô hình PhoBERT đa lớp tinh chỉnh để phân tích sắc thái cảm xúc (Tích cực, Trung tính, Tiêu cực).</w:t>
      </w:r>
    </w:p>
    <w:p>
      <w:pPr>
        <w:spacing w:line="324" w:lineRule="auto" w:after="80"/>
        <w:ind w:firstLine="567"/>
        <w:jc w:val="both"/>
      </w:pPr>
      <w:r>
        <w:rPr>
          <w:rFonts w:ascii="Times New Roman" w:hAnsi="Times New Roman"/>
          <w:b w:val="0"/>
          <w:i w:val="0"/>
          <w:color w:val="000000"/>
          <w:sz w:val="24"/>
        </w:rPr>
        <w:t>Kết quả thực nghiệm chỉ ra rằng: (1) Cấu trúc chủ đề SDG của doanh nghiệp Việt Nam phản ánh sự mất cân đối nghiêm trọng, trong đó nhóm Kinh tế (SDG 8, 9) luôn dẫn đầu tuyệt đối (điểm trung bình đạt 44.6 đến 54.8 trên thang 100), trong khi nhóm Công bằng (SDG 4, 5, 10, đặc biệt là SDG 5 Bình đẳng giới chỉ đạt 32.1 đến 42.7 điểm) luôn có mức độ gắn kết thấp nhất toàn bảng; (2) Phân phối sắc thái mang tính lưỡng đỉnh rõ nét với tỷ lệ câu tích cực chiếm áp đảo từ 65% đến 80%, khẳng định báo cáo bền vững vẫn bị chi phối nặng nề bởi xu hướng quản trị ấn tượng; (3) Nghiên cứu đề xuất chỉ số rủi ro Tẩy xanh liên tục (Greenwashing Score - GW) đối sánh giữa biến động tỷ số cảm xúc và hiệu suất thị trường cổ phiếu, qua đó phát hiện rủi ro phân kỳ cao nhất tại Petrolimex (GW trung bình = 0.68, cực đại đạt 2.39 năm 2022) do áp lực chuyển dịch năng lượng hóa thạch, trái ngược với tính trung thực cao của The PAN Group khi thị trường suy giảm năm 2022. Công trình cung cấp bằng chứng định lượng khách quan đầu tiên tại Việt Nam về chất lượng công bố ESG, hỗ trợ cơ quan quản lý và các định chế tài chính trong việc sàng lọc rủi ro tẩy xanh.</w:t>
      </w:r>
    </w:p>
    <w:p>
      <w:pPr>
        <w:spacing w:line="324" w:lineRule="auto" w:after="80"/>
        <w:jc w:val="both"/>
      </w:pPr>
      <w:r>
        <w:rPr>
          <w:rFonts w:ascii="Times New Roman" w:hAnsi="Times New Roman"/>
          <w:b w:val="0"/>
          <w:i w:val="0"/>
          <w:color w:val="000000"/>
          <w:sz w:val="24"/>
        </w:rPr>
        <w:t>Từ khóa: Báo cáo phát triển bền vững, SDGs, Xử lý ngôn ngữ tự nhiên, Sentence-BERT, PhoBERT, Phân tích sắc thái, Tẩy xanh, Thị trường chứng khoán Việt Nam.</w:t>
      </w:r>
    </w:p>
    <w:p/>
    <w:p>
      <w:pPr>
        <w:keepNext/>
        <w:spacing w:before="200" w:after="60"/>
      </w:pPr>
      <w:r>
        <w:rPr>
          <w:rFonts w:ascii="Times New Roman" w:hAnsi="Times New Roman"/>
          <w:b/>
          <w:color w:val="000000"/>
          <w:sz w:val="25"/>
        </w:rPr>
        <w:t>Abstract</w:t>
      </w:r>
    </w:p>
    <w:p>
      <w:pPr>
        <w:spacing w:line="324" w:lineRule="auto" w:after="80"/>
        <w:ind w:firstLine="567"/>
        <w:jc w:val="both"/>
      </w:pPr>
      <w:r>
        <w:rPr>
          <w:rFonts w:ascii="Times New Roman" w:hAnsi="Times New Roman"/>
          <w:b w:val="0"/>
          <w:i w:val="0"/>
          <w:color w:val="000000"/>
          <w:sz w:val="24"/>
        </w:rPr>
        <w:t>Corporate sustainability reports have increasingly become an indispensable channel for communicating Environmental, Social, and Governance (ESG) commitments to global stakeholders. However, traditional text-mining approaches based on keyword frequencies often fail to capture contextual semantics and are susceptible to superficial corporate rhetoric. This study replicates and systematically extends the state-of-the-art NLP framework of Kang and Kim (2022) by analyzing 29 sustainability reports (17,047 extracted sentences) published between 2018 and 2025 by four benchmark listed enterprises in Vietnam: The PAN Group (agriculture and food), Petrolimex (energy and petroleum), PNJ (jewelry and retail), and Vinamilk (dairy processing). The automated pipeline incorporates vietnamese-sbert sentence embeddings to calculate cosine similarity against a standardized corpus of the 17 UN Sustainable Development Goals (SDGs) grouped into six human-needs categories (Life, Economic, Equity, Social, Resources, Environments), combined with a multi-class PhoBERT sentiment classifier.</w:t>
      </w:r>
    </w:p>
    <w:p>
      <w:pPr>
        <w:spacing w:line="324" w:lineRule="auto" w:after="80"/>
        <w:ind w:firstLine="567"/>
        <w:jc w:val="both"/>
      </w:pPr>
      <w:r>
        <w:rPr>
          <w:rFonts w:ascii="Times New Roman" w:hAnsi="Times New Roman"/>
          <w:b w:val="0"/>
          <w:i w:val="0"/>
          <w:color w:val="000000"/>
          <w:sz w:val="24"/>
        </w:rPr>
        <w:t>Empirical findings demonstrate that: (1) Corporate SDG thematic profiles exhibit structural imbalances, where the Economic category (SDG 8, 9) consistently dominates with peak scores (44.6 to 54.8 on a 0–100 scale), whereas the Equity category (SDG 4, 5, 10; especially SDG 5 Gender Equality scoring merely 32.1 to 42.7) lags drastically behind; (2) Polarity distributions exhibit distinct bimodal patterns with positive sentences predominating at 65–80%, reflecting strategic impression management; (3) We introduce a continuous Greenwashing Score (GW) benchmarking annual sentiment shifts against stock market valuations, identifying the highest greenwashing divergence in Petrolimex (mean GW = 0.68, peak 2.39 in 2022) amid fossil-fuel transition pressures, in contrast to high transparency exhibited by The PAN Group during market downturns. This paper provides the first systematic NLP empirical benchmark for Vietnamese ESG reporting, presenting vital diagnostic tools for regulators and sustainable capital allocators.</w:t>
      </w:r>
    </w:p>
    <w:p>
      <w:pPr>
        <w:spacing w:line="324" w:lineRule="auto" w:after="80"/>
        <w:jc w:val="both"/>
      </w:pPr>
      <w:r>
        <w:rPr>
          <w:rFonts w:ascii="Times New Roman" w:hAnsi="Times New Roman"/>
          <w:b w:val="0"/>
          <w:i w:val="0"/>
          <w:color w:val="000000"/>
          <w:sz w:val="24"/>
        </w:rPr>
        <w:t>Keywords: Sustainability reporting, Sustainable Development Goals, Natural language processing, Sentence-BERT, PhoBERT, Sentiment analysis, Greenwashing, Emerging markets.</w:t>
      </w:r>
    </w:p>
    <w:p>
      <w:r>
        <w:br w:type="page"/>
      </w:r>
    </w:p>
    <w:p>
      <w:pPr>
        <w:keepNext/>
        <w:spacing w:before="280" w:after="80"/>
      </w:pPr>
      <w:r>
        <w:rPr>
          <w:rFonts w:ascii="Times New Roman" w:hAnsi="Times New Roman"/>
          <w:b/>
          <w:color w:val="000000"/>
          <w:sz w:val="26"/>
        </w:rPr>
        <w:t>1. GIỚI THIỆU</w:t>
      </w:r>
    </w:p>
    <w:p>
      <w:pPr>
        <w:spacing w:line="324" w:lineRule="auto" w:after="80"/>
        <w:ind w:firstLine="567"/>
        <w:jc w:val="both"/>
      </w:pPr>
      <w:r>
        <w:rPr>
          <w:rFonts w:ascii="Times New Roman" w:hAnsi="Times New Roman"/>
          <w:b w:val="0"/>
          <w:i w:val="0"/>
          <w:color w:val="000000"/>
          <w:sz w:val="24"/>
        </w:rPr>
        <w:t>Trong suốt một thập kỷ qua, phát triển bền vững đã chuyển hóa mạnh mẽ từ một khái niệm học thuật và trách nhiệm xã hội tự nguyện thành một nguyên lý quản trị chiến lược sống còn đối với cộng đồng doanh nghiệp toàn cầu (Kang &amp; Kim, 2022; World Commission on Environment and Development, 1987). Kể từ khi Đại hội đồng Liên Hợp Quốc chính thức thông qua Chương trình Nghị sự 2030 với 17 Mục tiêu Phát triển Bền vững (Sustainable Development Goals - SDGs) vào năm 2015 (United Nations, 2015), các bên liên quan – bao gồm các quỹ đầu tư tài chính quốc tế, tổ chức xếp hạng tín nhiệm, cơ quan quản lý thị trường và người tiêu dùng – đòi hỏi doanh nghiệp không chỉ tối đa hóa lợi nhuận tài chính ngắn hạn mà phải chứng minh năng lực thích ứng với biến đổi khí hậu, quản trị rủi ro môi trường và trách nhiệm xã hội (ESG) (Friede et al., 2015; Hummel &amp; Schlick, 2016). Báo cáo phát triển bền vững, dù được công bố độc lập hay tích hợp theo chuẩn mực Sáng kiến Báo cáo Toàn cầu (GRI Standards) (Global Reporting Initiative, 2021), đã trở thành công cụ giao tiếp chính thống để truyền tải thông điệp này.</w:t>
      </w:r>
    </w:p>
    <w:p>
      <w:pPr>
        <w:spacing w:line="324" w:lineRule="auto" w:after="80"/>
        <w:ind w:firstLine="567"/>
        <w:jc w:val="both"/>
      </w:pPr>
      <w:r>
        <w:rPr>
          <w:rFonts w:ascii="Times New Roman" w:hAnsi="Times New Roman"/>
          <w:b w:val="0"/>
          <w:i w:val="0"/>
          <w:color w:val="000000"/>
          <w:sz w:val="24"/>
        </w:rPr>
        <w:t>Tại Việt Nam – một trong những nền kinh tế mới nổi có tốc độ tăng trưởng nhanh nhất Đông Nam Á nhưng cũng là một trong năm quốc gia chịu tổn thương nặng nề nhất bởi biến đổi khí hậu – bối cảnh thể chế đối với việc công bố thông tin bền vững đã có những bước ngoặt quan trọng. Bộ Tài chính đã ban hành Thông tư số 96/2020/TT-BTC (Bộ Tài chính, 2020) thay thế Thông tư 155/2015/TT-BTC, chính thức chuẩn hóa nghĩa vụ báo cáo tác động môi trường và xã hội tại Mục VI Phụ lục IV đối với toàn bộ các công ty đại chúng. Doanh nghiệp bắt buộc phải công bố định lượng phát thải khí nhà kính trực tiếp (Scope 1) và gián tiếp (Scope 2), tiêu thụ năng lượng, nguồn nước và chính sách lao động. Tiếp đó, Nghị định số 155/2020/NĐ-CP (Chính phủ Việt Nam, 2020) quy định cụ thể hóa trách nhiệm giám sát chiến lược ESG của Hội đồng Quản trị. Đặc biệt, cam kết lịch sử của Thủ tướng Chính phủ tại Hội nghị Thượng đỉnh COP26 (Glasgow, 2021) về mục tiêu đạt mức phát thải ròng bằng không (Net Zero) vào năm 2050, được thể chế hóa qua Chiến lược Quốc gia về Biến đổi Khí hậu và Quy hoạch Điện VIII, đã tạo ra một áp lực chuyển đổi chưa từng có đối với cộng đồng doanh nghiệp niêm yết (Ủy ban Chứng khoán Nhà nước, 2024).</w:t>
      </w:r>
    </w:p>
    <w:p>
      <w:pPr>
        <w:spacing w:line="324" w:lineRule="auto" w:after="80"/>
        <w:ind w:firstLine="567"/>
        <w:jc w:val="both"/>
      </w:pPr>
      <w:r>
        <w:rPr>
          <w:rFonts w:ascii="Times New Roman" w:hAnsi="Times New Roman"/>
          <w:b w:val="0"/>
          <w:i w:val="0"/>
          <w:color w:val="000000"/>
          <w:sz w:val="24"/>
        </w:rPr>
        <w:t>Tuy nhiên, giữa làn sóng cam kết mạnh mẽ và thực tế công bố thông tin tại Việt Nam đang tồn tại một khoảng cách thực thi rất lớn. Khảo sát mức độ sẵn sàng thực hành ESG của PwC Vietnam (2022) chỉ ra rằng: dù có tới 80% doanh nghiệp cam kết hoặc có kế hoạch thực hành ESG trong 2–4 năm tới, chỉ có 34% đã thiết lập lộ trình cụ thể và vỏn vẹn 29% có sự giám sát trực tiếp của Hội đồng Quản trị. Theo thống kê từ Hội đồng Doanh nghiệp vì sự Phát triển Bền vững Việt Nam (VBCSD, 2024), trong số hơn 700 doanh nghiệp niêm yết trên hai sàn HOSE và HNX, số lượng doanh nghiệp thực sự lập và công bố báo cáo phát triển bền vững riêng biệt đạt chuẩn quốc tế chỉ dao động từ 20 đến 30 doanh nghiệp (chiếm tỷ lệ khiêm tốn từ 2.8% đến 4.1%). Hơn 70% các báo cáo còn lại chỉ lồng ghép mang tính hình thức trong Báo cáo Thường niên, chủ yếu sử dụng văn phong định tính, sao chép quy định và che giấu các chỉ số tiêu cực. Hiện tượng tô hồng thành tích môi trường nhằm đối phó với dư luận và duy trì định giá cổ phiếu – được học thuật gọi là Tẩy xanh (Greenwashing) hay SDG-washing (Heras-Saizarbitoria et al., 2022; Lyon &amp; Montgomery, 2015; Seele &amp; Gatti, 2017) – đang làm xói mòn niềm tin của các nhà đầu tư.</w:t>
      </w:r>
    </w:p>
    <w:p>
      <w:pPr>
        <w:spacing w:line="324" w:lineRule="auto" w:after="80"/>
        <w:ind w:firstLine="567"/>
        <w:jc w:val="both"/>
      </w:pPr>
      <w:r>
        <w:rPr>
          <w:rFonts w:ascii="Times New Roman" w:hAnsi="Times New Roman"/>
          <w:b w:val="0"/>
          <w:i w:val="0"/>
          <w:color w:val="000000"/>
          <w:sz w:val="24"/>
        </w:rPr>
        <w:t>Vấn đề cốt lõi là làm thế nào để đo lường, kiểm chứng và trực quan hóa một cách khách quan nội dung của các tài liệu văn bản dày hàng trăm trang này? Các phương pháp phân tích nội dung truyền thống bằng tay tốn kém nhân lực, mang nặng tính chủ quan và không thể mở rộng quy mô. Các công cụ đếm tần suất từ khóa lại bỏ qua hoàn toàn ngữ cảnh ngữ nghĩa. Nhằm giải quyết triệt để hạn chế này, Kang và Kim (2022) đã đề xuất một khung phương pháp tiên phong kết hợp mô hình học sâu Sentence-BERT (Reimers &amp; Gurevych, 2019) và DistilBERT (Sanh et al., 2019) để phân tích tự động 60 báo cáo của 6 tập đoàn đa quốc gia toàn cầu. Mặc dù vậy, nghiên cứu của Kang và Kim chỉ dừng lại ở ngôn ngữ tiếng Anh, sử dụng mô hình cảm xúc nhị phân 2 lớp và chưa kiểm chứng mối quan hệ giữa sắc thái báo cáo với biến động giá trị tài chính trên thị trường chứng khoán.</w:t>
      </w:r>
    </w:p>
    <w:p>
      <w:pPr>
        <w:spacing w:line="324" w:lineRule="auto" w:after="80"/>
        <w:ind w:firstLine="567"/>
        <w:jc w:val="both"/>
      </w:pPr>
      <w:r>
        <w:rPr>
          <w:rFonts w:ascii="Times New Roman" w:hAnsi="Times New Roman"/>
          <w:b w:val="0"/>
          <w:i w:val="0"/>
          <w:color w:val="000000"/>
          <w:sz w:val="24"/>
        </w:rPr>
        <w:t>Xuất phát từ thực tiễn trên, nghiên cứu này được thực hiện với 3 mục tiêu và đóng góp học thuật trọng yếu:</w:t>
        <w:br/>
        <w:t>Thứ nhất, nghiên cứu thực hiện bản địa hóa và nâng cấp toàn diện quy trình NLP của Kang và Kim (2022) cho ngôn ngữ tiếng Việt, sử dụng mô hình vietnamese-sbert và PhoBERT đa lớp (Nguyen &amp; Nguyen, 2020) để xử lý các đặc thù về từ ghép, đơn âm tiết và tỷ trọng câu trung tính rất cao trong văn bản tài chính doanh nghiệp.</w:t>
        <w:br/>
        <w:t>Thứ hai, nghiên cứu xây dựng bức tranh thực nghiệm đa chiều về cấu trúc 17 mục tiêu SDG (gom cụm thành 6 nhóm danh mục nhu cầu con người) và sự biến thiên sắc thái qua chuỗi thời gian 8 năm (2018–2025) trên 29 báo cáo của 4 doanh nghiệp đầu ngành tại Việt Nam: The PAN Group, Petrolimex, PNJ và Vinamilk.</w:t>
        <w:br/>
        <w:t>Thứ ba, nghiên cứu mở rộng khung lý thuyết bằng cách đề xuất chỉ số Tẩy xanh liên tục (Greenwashing Score - GW) và kiểm định tương quan thống kê với biến động giá cổ phiếu hàng năm trên HOSE, nhận diện khách quan hành vi quản trị ấn tượng trong các giai đoạn thị trường điều chỉnh.</w:t>
      </w:r>
    </w:p>
    <w:p>
      <w:pPr>
        <w:keepNext/>
        <w:spacing w:before="280" w:after="80"/>
      </w:pPr>
      <w:r>
        <w:rPr>
          <w:rFonts w:ascii="Times New Roman" w:hAnsi="Times New Roman"/>
          <w:b/>
          <w:color w:val="000000"/>
          <w:sz w:val="26"/>
        </w:rPr>
        <w:t>2. TỔNG QUAN NGHIÊN CỨU</w:t>
      </w:r>
    </w:p>
    <w:p>
      <w:pPr>
        <w:keepNext/>
        <w:spacing w:before="200" w:after="60"/>
      </w:pPr>
      <w:r>
        <w:rPr>
          <w:rFonts w:ascii="Times New Roman" w:hAnsi="Times New Roman"/>
          <w:b/>
          <w:color w:val="000000"/>
          <w:sz w:val="25"/>
        </w:rPr>
        <w:t>2.1. Nền tảng Lý thuyết: Lý thuyết Các bên Liên quan, Tính Chính danh và Quản trị Ấn tượng</w:t>
      </w:r>
    </w:p>
    <w:p>
      <w:pPr>
        <w:spacing w:line="324" w:lineRule="auto" w:after="80"/>
        <w:ind w:firstLine="567"/>
        <w:jc w:val="both"/>
      </w:pPr>
      <w:r>
        <w:rPr>
          <w:rFonts w:ascii="Times New Roman" w:hAnsi="Times New Roman"/>
          <w:b w:val="0"/>
          <w:i w:val="0"/>
          <w:color w:val="000000"/>
          <w:sz w:val="24"/>
        </w:rPr>
        <w:t>Hành vi công bố thông tin phát triển bền vững của doanh nghiệp được soi chiếu qua nhiều lăng kính lý thuyết kinh tế và quản trị bổ trợ lẫn nhau. Theo Lý thuyết Các bên Liên quan (Stakeholder Theory) do Freeman (1984) khởi xướng, doanh nghiệp không thể chỉ đơn thuần phục vụ lợi ích tài chính của các cổ đông (shareholders) mà phải duy trì sự cân bằng lợi ích với toàn bộ các bên hữu quan (nhân viên, khách hàng, nhà cung ứng, cộng đồng dân cư và các cơ quan nhà nước). Việc công bố báo cáo phát triển bền vững đóng vai trò là một cơ chế đối thoại then chốt giúp doanh nghiệp chứng minh trách nhiệm đạo đức và xã hội đối với các nhóm đối tượng này.</w:t>
      </w:r>
    </w:p>
    <w:p>
      <w:pPr>
        <w:spacing w:line="324" w:lineRule="auto" w:after="80"/>
        <w:ind w:firstLine="567"/>
        <w:jc w:val="both"/>
      </w:pPr>
      <w:r>
        <w:rPr>
          <w:rFonts w:ascii="Times New Roman" w:hAnsi="Times New Roman"/>
          <w:b w:val="0"/>
          <w:i w:val="0"/>
          <w:color w:val="000000"/>
          <w:sz w:val="24"/>
        </w:rPr>
        <w:t>Song song đó, Lý thuyết Tính Chính danh (Legitimacy Theory) giải thích rằng doanh nghiệp hoạt động dựa trên một 'hợp đồng xã hội ngầm định' (Deegan, 2002; Suchman, 1995). Để bảo toàn quyền tồn tại và tiếp cận các nguồn lực xã hội, doanh nghiệp phải liên tục chứng minh các hoạt động sản xuất kinh doanh của mình phù hợp với các chuẩn mực đạo đức và kỳ vọng môi trường của xã hội. Khi tính chính danh bị đe dọa bởi các sự cố môi trường hay biến động tiêu cực, doanh nghiệp thường gia tăng tần suất và dung lượng các tuyên bố phát triển bền vững như một chiến lược phòng vệ để khôi phục niềm tin (Hummel &amp; Schlick, 2016).</w:t>
      </w:r>
    </w:p>
    <w:p>
      <w:pPr>
        <w:spacing w:line="324" w:lineRule="auto" w:after="80"/>
        <w:ind w:firstLine="567"/>
        <w:jc w:val="both"/>
      </w:pPr>
      <w:r>
        <w:rPr>
          <w:rFonts w:ascii="Times New Roman" w:hAnsi="Times New Roman"/>
          <w:b w:val="0"/>
          <w:i w:val="0"/>
          <w:color w:val="000000"/>
          <w:sz w:val="24"/>
        </w:rPr>
        <w:t>Đặc biệt, Lý thuyết Quản trị Ấn tượng (Impression Management Theory) phát triển bởi Merkl-Davies và Brennan (2007) cùng Stacchezzini và cộng sự (2016) cung cấp cơ sở trực tiếp nhất để phân tích giọng văn trong báo cáo doanh nghiệp. Lý thuyết này chỉ ra rằng các nhà quản trị có xu hướng khai thác sự bất cân xứng thông tin để điều khiển và định hình nhận thức của công chúng. Bằng cách lựa chọn từ ngữ mang sắc thái tích cực quá mức, che giấu các thất bại môi trường và sử dụng các lối diễn đạt mơ hồ, doanh nghiệp có thể tạo dựng một hình ảnh xanh biểu tượng (symbolic green image) vượt xa năng lực thực chất (substantive performance), đặt nền tảng lý luận cho các phân tích thực nghiệm về tẩy xanh bằng công cụ ngôn ngữ học tính toán (Veenstra &amp; Ellemers, 2020).</w:t>
      </w:r>
    </w:p>
    <w:p>
      <w:pPr>
        <w:keepNext/>
        <w:spacing w:before="200" w:after="60"/>
      </w:pPr>
      <w:r>
        <w:rPr>
          <w:rFonts w:ascii="Times New Roman" w:hAnsi="Times New Roman"/>
          <w:b/>
          <w:color w:val="000000"/>
          <w:sz w:val="25"/>
        </w:rPr>
        <w:t>2.2. Tiến hóa của Xử lý Ngôn ngữ Tự nhiên trong Phân tích Thông tin Doanh nghiệp</w:t>
      </w:r>
    </w:p>
    <w:p>
      <w:pPr>
        <w:spacing w:line="324" w:lineRule="auto" w:after="80"/>
        <w:ind w:firstLine="567"/>
        <w:jc w:val="both"/>
      </w:pPr>
      <w:r>
        <w:rPr>
          <w:rFonts w:ascii="Times New Roman" w:hAnsi="Times New Roman"/>
          <w:b w:val="0"/>
          <w:i w:val="0"/>
          <w:color w:val="000000"/>
          <w:sz w:val="24"/>
        </w:rPr>
        <w:t>Ứng dụng xử lý ngôn ngữ tự nhiên (NLP) và khai phá văn bản trong nghiên cứu tài chính và kế toán đã trải qua ba làn sóng chuyển dịch phương pháp luận rõ rệt (Mercereau &amp; Melin, 2020; World Commission on Environment and Development, 1987). Làn sóng thứ nhất thống trị trong nhiều thập kỷ dựa trên phương pháp túi từ (Bag-of-Words) và từ điển phân loại chuyên ngành, tiêu biểu là danh mục từ vựng tài chính do Loughran và McDonald (2011) xây dựng cho báo cáo 10-K. Mặc dù có ưu thế về tốc độ xử lý, phương pháp này bỏ qua hoàn toàn trật tự từ, ngữ cảnh cú pháp và sự đa nghĩa của ngôn ngữ tự nhiên. Kang và Kim (2022) đã chứng minh bằng thực nghiệm rằng phương pháp khớp từ khóa tạo ra dải điểm tương đồng cực kỳ phẳng và thoái hóa (độ lệch chuẩn chỉ xấp xỉ 0.03) khi phân tích báo cáo bền vững, do các từ khóa môi trường chung chung như 'nước', 'rác thải' xuất hiện tràn lan nhưng không thể hiện được mức độ cam kết thực sự của doanh nghiệp.</w:t>
      </w:r>
    </w:p>
    <w:p>
      <w:pPr>
        <w:spacing w:line="324" w:lineRule="auto" w:after="80"/>
        <w:ind w:firstLine="567"/>
        <w:jc w:val="both"/>
      </w:pPr>
      <w:r>
        <w:rPr>
          <w:rFonts w:ascii="Times New Roman" w:hAnsi="Times New Roman"/>
          <w:b w:val="0"/>
          <w:i w:val="0"/>
          <w:color w:val="000000"/>
          <w:sz w:val="24"/>
        </w:rPr>
        <w:t>Làn sóng thứ hai xuất hiện với các mô hình không gian vector tĩnh như Word2Vec (Mikolov et al., 2013), GloVe (Pennington et al., 2014) và mô hình phân bổ chủ đề ẩn LDA (Blei et al., 2003). Mặc dù các kỹ thuật này đã biểu diễn được quan hệ ngữ nghĩa phân bố giữa các từ, mô hình LDA lại gán các chủ đề ngẫu nhiên theo xác suất thống kê không giám sát, khiến việc đối sánh trực tiếp và có hệ thống với 17 mục tiêu chuẩn tắc của Liên Hợp Quốc gặp nhiều hạn chế và thiếu tính lặp lại độc lập.</w:t>
      </w:r>
    </w:p>
    <w:p>
      <w:pPr>
        <w:spacing w:line="324" w:lineRule="auto" w:after="80"/>
        <w:ind w:firstLine="567"/>
        <w:jc w:val="both"/>
      </w:pPr>
      <w:r>
        <w:rPr>
          <w:rFonts w:ascii="Times New Roman" w:hAnsi="Times New Roman"/>
          <w:b w:val="0"/>
          <w:i w:val="0"/>
          <w:color w:val="000000"/>
          <w:sz w:val="24"/>
        </w:rPr>
        <w:t>Làn sóng thứ ba – kỷ nguyên của các mô hình học sâu dựa trên kiến trúc Transformer và cơ chế tự chú ý đa đầu (Multi-head Self-Attention) (Devlin et al., 2019) – đã giải quyết trọn vẹn rào cản ngữ cảnh. Đặc biệt, bước đột phá từ Sentence-BERT (SBERT) của Reimers và Gurevych (2019) đã cho phép mã hóa toàn bộ câu văn thành một vector mật độ cố định (fixed dense vector) trong không gian ngữ nghĩa, tối ưu hóa hoàn hảo cho việc đo lường độ tương đồng cosine quy mô lớn (Cer et al., 2018). Tại Việt Nam, việc ra đời của mô hình PhoBERT (Nguyen &amp; Nguyen, 2020) và vietnamese-sbert đã thiết lập chuẩn mực công nghệ mới trong việc xử lý các đặc thù ngữ âm, từ ghép và ngữ pháp tiếng Việt, mở đường cho việc phân tích tự động các kho dữ liệu báo cáo doanh nghiệp trong nước.</w:t>
      </w:r>
    </w:p>
    <w:p>
      <w:pPr>
        <w:keepNext/>
        <w:spacing w:before="200" w:after="60"/>
      </w:pPr>
      <w:r>
        <w:rPr>
          <w:rFonts w:ascii="Times New Roman" w:hAnsi="Times New Roman"/>
          <w:b/>
          <w:color w:val="000000"/>
          <w:sz w:val="25"/>
        </w:rPr>
        <w:t>2.3. Khung Mục tiêu Phát triển Bền vững (SDGs) và Đo lường Sự Gắn kết của Doanh nghiệp</w:t>
      </w:r>
    </w:p>
    <w:p>
      <w:pPr>
        <w:spacing w:line="324" w:lineRule="auto" w:after="80"/>
        <w:ind w:firstLine="567"/>
        <w:jc w:val="both"/>
      </w:pPr>
      <w:r>
        <w:rPr>
          <w:rFonts w:ascii="Times New Roman" w:hAnsi="Times New Roman"/>
          <w:b w:val="0"/>
          <w:i w:val="0"/>
          <w:color w:val="000000"/>
          <w:sz w:val="24"/>
        </w:rPr>
        <w:t>Kể từ khi được công bố vào năm 2015, Chương trình Nghị sự 2030 với 17 Mục tiêu Phát triển Bền vững (SDGs) và 169 chỉ tiêu cụ thể (United Nations, 2015) đã trở thành ngôn ngữ chung toàn cầu về phát triển bao trùm. Nhằm hướng dẫn khu vực tư nhân lồng ghép các mục tiêu này vào chiến lược kinh doanh, Sáng kiến Báo cáo Toàn cầu cùng UN Global Compact đã ban hành tài liệu hướng dẫn SDG Compass (Global Reporting Initiative, 2021). Tuy nhiên, trên bình diện học thuật, nhiều nghiên cứu đã cảnh báo về hiện tượng doanh nghiệp chỉ 'chọn lọc có lợi' (cherry-picking) một số mục tiêu dễ đạt được hoặc mang lại lợi ích kinh tế trực tiếp để báo cáo, trong khi né tránh các mục tiêu gai góc hơn về bình đẳng và nhân quyền (Heras-Saizarbitoria et al., 2022; Pizzi et al., 2020).</w:t>
      </w:r>
    </w:p>
    <w:p>
      <w:pPr>
        <w:spacing w:line="324" w:lineRule="auto" w:after="80"/>
        <w:ind w:firstLine="567"/>
        <w:jc w:val="both"/>
      </w:pPr>
      <w:r>
        <w:rPr>
          <w:rFonts w:ascii="Times New Roman" w:hAnsi="Times New Roman"/>
          <w:b w:val="0"/>
          <w:i w:val="0"/>
          <w:color w:val="000000"/>
          <w:sz w:val="24"/>
        </w:rPr>
        <w:t>Để đo lường mức độ phản ánh thực chất của các báo cáo, các học giả đã phát triển nhiều phương pháp định lượng. Muñoz-Torres và cộng sự (2019) cùng Matsui và cộng sự (2022) đã đề xuất các bộ tiêu chí phân loại văn bản tự động để kiểm tra mức độ bao phủ các chỉ tiêu SDG. Đáng chú ý nhất, Kang và Kim (2022) đã phân nhóm 17 mục tiêu SDG thành 6 nhóm danh mục nhu cầu con người: Đời sống (Life: SDG 1, 2, 3), Kinh tế và Công nghệ (Economic: SDG 8, 9), Công bằng xã hội (Equity: SDG 4, 5, 10), Phát triển Xã hội (Social: SDG 11, 16, 17), Quản trị Tài nguyên (Resources: SDG 6, 7, 12, 14), và Bảo vệ Môi trường (Environments: SDG 13, 15). Cách phân nhóm này không chỉ giúp quy giản độ phức tạp của 17 mục tiêu riêng rẽ mà còn cung cấp một khung phân tích cấu trúc trực quan để đánh giá xem doanh nghiệp đang thực sự hướng tới phát triển bền vững toàn diện hay chỉ tập trung vào các khía cạnh tài chính ngắn hạn (Luccioni et al., 2020).</w:t>
      </w:r>
    </w:p>
    <w:p>
      <w:pPr>
        <w:keepNext/>
        <w:spacing w:before="200" w:after="60"/>
      </w:pPr>
      <w:r>
        <w:rPr>
          <w:rFonts w:ascii="Times New Roman" w:hAnsi="Times New Roman"/>
          <w:b/>
          <w:color w:val="000000"/>
          <w:sz w:val="25"/>
        </w:rPr>
        <w:t>2.4. Sắc thái Ngôn từ, Thiên lệch Lạc quan và Phát hiện Tẩy xanh</w:t>
      </w:r>
    </w:p>
    <w:p>
      <w:pPr>
        <w:spacing w:line="324" w:lineRule="auto" w:after="80"/>
        <w:ind w:firstLine="567"/>
        <w:jc w:val="both"/>
      </w:pPr>
      <w:r>
        <w:rPr>
          <w:rFonts w:ascii="Times New Roman" w:hAnsi="Times New Roman"/>
          <w:b w:val="0"/>
          <w:i w:val="0"/>
          <w:color w:val="000000"/>
          <w:sz w:val="24"/>
        </w:rPr>
        <w:t>Phân tích sắc thái cảm xúc (Sentiment Analysis) trong các tài liệu công bố thông tin doanh nghiệp là công cụ hữu hiệu để bóc tách giọng điệu quản trị. Nhiều công trình kinh điển đã ghi nhận hiện tượng 'thiên lệch lạc quan' (Pollyanna effect) mang tính hệ thống trong các báo cáo thường niên và báo cáo bền vững, nơi các từ ngữ tích cực xuất hiện với tần suất áp đảo các từ ngữ tiêu cực bất kể điều kiện kinh doanh thực tế (El-Haj et al., 2020; Huang et al., 2023). Trong lĩnh vực môi trường, sự mất cân xứng này làm nảy sinh hiện tượng Tẩy xanh (Greenwashing), được Lyon và Montgomery (2015) cùng Seele và Gatti (2017) định nghĩa là hành vi giao tiếp gây hiểu nhầm về hiệu quả môi trường của tổ chức, tạo ra sự chênh lệch lớn giữa tuyên bố truyền thông và tác động sinh thái thực tế.</w:t>
      </w:r>
    </w:p>
    <w:p>
      <w:pPr>
        <w:spacing w:line="324" w:lineRule="auto" w:after="80"/>
        <w:ind w:firstLine="567"/>
        <w:jc w:val="both"/>
      </w:pPr>
      <w:r>
        <w:rPr>
          <w:rFonts w:ascii="Times New Roman" w:hAnsi="Times New Roman"/>
          <w:b w:val="0"/>
          <w:i w:val="0"/>
          <w:color w:val="000000"/>
          <w:sz w:val="24"/>
        </w:rPr>
        <w:t>Để phát hiện hành vi tẩy xanh bằng phương pháp dữ liệu lớn, các nhà nghiên cứu hiện đại đã kết hợp khai phá văn bản với các chỉ số hiệu suất bên ngoài. Bingler và cộng sự (2022) đã sử dụng mô hình ngôn ngữ học sâu để đối soát các tuyên bố chống biến đổi khí hậu của các tập đoàn châu Âu với dữ liệu phát thải thực tế, vạch trần hiện tượng 'nói suông' (cheap talk) lan rộng. Tại thị trường chứng khoán, Du và Yu (2017) chỉ ra rằng phản ứng của nhà đầu tư đối với báo cáo bền vững phụ thuộc chặt chẽ vào mức độ tin cậy của thông tin công bố. Do đó, việc đối sánh trực tiếp giữa biến động tỷ số cảm xúc trong báo cáo với biến động giá trị vốn hóa trên thị trường tài chính mở ra một hướng tiếp cận định lượng đầy triển vọng để nhận diện các trường hợp doanh nghiệp cố tình 'tô hồng' báo cáo nhằm che giấu hiệu quả hoạt động kém cỏi.</w:t>
      </w:r>
    </w:p>
    <w:p>
      <w:pPr>
        <w:keepNext/>
        <w:spacing w:before="200" w:after="60"/>
      </w:pPr>
      <w:r>
        <w:rPr>
          <w:rFonts w:ascii="Times New Roman" w:hAnsi="Times New Roman"/>
          <w:b/>
          <w:color w:val="000000"/>
          <w:sz w:val="25"/>
        </w:rPr>
        <w:t>2.5. Bối cảnh Thể chế và Thực trạng Báo cáo Phát triển Bền vững tại Việt Nam</w:t>
      </w:r>
    </w:p>
    <w:p>
      <w:pPr>
        <w:spacing w:line="324" w:lineRule="auto" w:after="80"/>
        <w:ind w:firstLine="567"/>
        <w:jc w:val="both"/>
      </w:pPr>
      <w:r>
        <w:rPr>
          <w:rFonts w:ascii="Times New Roman" w:hAnsi="Times New Roman"/>
          <w:b w:val="0"/>
          <w:i w:val="0"/>
          <w:color w:val="000000"/>
          <w:sz w:val="24"/>
        </w:rPr>
        <w:t>Tại các nền kinh tế đang phát triển ở Đông Nam Á, thể chế công bố thông tin ESG đang trong giai đoạn chuyển đổi nhanh chóng nhưng chịu nhiều rào cản về năng lực thực thi (Gerged et al., 2021; Hoang et al., 2019). Tại Việt Nam, khung khổ pháp lý đã có những bước tiến mang tính nền tảng kể từ khi Bộ Tài chính ban hành Thông tư 155/2015/TT-BTC và sau đó nâng cấp toàn diện bằng Thông tư 96/2020/TT-BTC (Bộ Tài chính, 2020). Các văn bản này quy định việc báo cáo tác động môi trường và xã hội là một cấu phần bắt buộc trong Báo cáo Thường niên, yêu cầu công khai tiêu thụ năng lượng, nguồn nước và kiểm kê khí nhà kính Scope 1, Scope 2. Tiếp đó, cam kết phát thải ròng bằng không vào năm 2050 tại COP26 cùng Chiến lược Quốc gia về Tăng trưởng Xanh đã nâng phát triển bền vững lên tầm ưu tiên chính sách cao nhất (Ủy ban Chứng khoán Nhà nước, 2024).</w:t>
      </w:r>
    </w:p>
    <w:p>
      <w:pPr>
        <w:spacing w:line="324" w:lineRule="auto" w:after="80"/>
        <w:ind w:firstLine="567"/>
        <w:jc w:val="both"/>
      </w:pPr>
      <w:r>
        <w:rPr>
          <w:rFonts w:ascii="Times New Roman" w:hAnsi="Times New Roman"/>
          <w:b w:val="0"/>
          <w:i w:val="0"/>
          <w:color w:val="000000"/>
          <w:sz w:val="24"/>
        </w:rPr>
        <w:t>Tuy vậy, các bằng chứng thực nghiệm độc lập cho thấy chất lượng công bố thông tin bền vững tại Việt Nam còn rất khiêm tốn. Nghiên cứu của Tran và Beddewela (2020) chỉ ra rằng báo cáo CSR của các doanh nghiệp niêm yết trên HOSE và HNX còn mang nặng tính đối phó và sao chép. Khảo sát của PwC Vietnam (2022) cùng báo cáo thường niên của VBCSD (2024) khẳng định chỉ có khoảng 20–30 doanh nghiệp vốn hóa lớn đủ năng lực phát hành báo cáo phát triển bền vững riêng biệt theo chuẩn GRI, trong khi đa số còn lại chỉ dừng ở các cam kết định tính sơ sài. Đặc biệt, Báo cáo Rà soát Quốc gia Tự nguyện lần thứ 2 (VNR 2023) của Chính phủ Việt Nam tại Liên Hợp Quốc (Bộ Kế hoạch và Đầu tư, 2023) đã nhấn mạnh sự chênh lệch lớn giữa các mục tiêu: Việt Nam đạt tiến bộ rất cao ở các mục tiêu kinh tế và xóa nghèo (SDG 1, SDG 8, SDG 9) nhưng lại đối mặt với thách thức lớn ở mục tiêu Bình đẳng giới (SDG 5) và Hành động khí hậu (SDG 13). Thực tế này đặt ra nhu cầu cấp thiết phải có một công trình nghiên cứu định lượng độc lập bằng NLP để đo lường xem nội dung báo cáo của các doanh nghiệp đầu ngành có phản ánh đúng các ưu tiên và thách thức thể chế quốc gia hay không.</w:t>
      </w:r>
    </w:p>
    <w:p>
      <w:pPr>
        <w:keepNext/>
        <w:spacing w:before="280" w:after="80"/>
      </w:pPr>
      <w:r>
        <w:rPr>
          <w:rFonts w:ascii="Times New Roman" w:hAnsi="Times New Roman"/>
          <w:b/>
          <w:color w:val="000000"/>
          <w:sz w:val="26"/>
        </w:rPr>
        <w:t>3. DỮ LIỆU VÀ PHƯƠNG PHÁP NGHIÊN CỨU</w:t>
      </w:r>
    </w:p>
    <w:p>
      <w:pPr>
        <w:keepNext/>
        <w:spacing w:before="200" w:after="60"/>
      </w:pPr>
      <w:r>
        <w:rPr>
          <w:rFonts w:ascii="Times New Roman" w:hAnsi="Times New Roman"/>
          <w:b/>
          <w:color w:val="000000"/>
          <w:sz w:val="25"/>
        </w:rPr>
        <w:t>3.1. Thiết kế Nghiên cứu và Mẫu Dữ liệu</w:t>
      </w:r>
    </w:p>
    <w:p>
      <w:pPr>
        <w:spacing w:line="324" w:lineRule="auto" w:after="80"/>
        <w:ind w:firstLine="567"/>
        <w:jc w:val="both"/>
      </w:pPr>
      <w:r>
        <w:rPr>
          <w:rFonts w:ascii="Times New Roman" w:hAnsi="Times New Roman"/>
          <w:b w:val="0"/>
          <w:i w:val="0"/>
          <w:color w:val="000000"/>
          <w:sz w:val="24"/>
        </w:rPr>
        <w:t>Mẫu nghiên cứu được lựa chọn có chủ đích bao gồm 4 doanh nghiệp niêm yết quy mô lớn hàng đầu trên Sở Giao dịch Chứng khoán TP.HCM (HOSE), đáp ứng đồng thời các tiêu chí: (1) Thuộc các ngành kinh tế trọng yếu có tác động môi trường - xã hội đa dạng; (2) Có lịch sử phát hành Báo cáo Phát triển Bền vững riêng biệt liên tục ít nhất từ năm 2019 đến nay; (3) Nằm trong rổ chỉ số VN100/VNSI và liên tục đạt giải thưởng báo cáo bền vững xuất sắc tại Cuộc bình chọn Doanh nghiệp Niêm yết (VLCA). Bảng 1 tóm lược đặc điểm của 4 doanh nghiệp trong mẫu nghiên cứu.</w:t>
      </w:r>
    </w:p>
    <w:p>
      <w:pPr>
        <w:keepNext/>
        <w:spacing w:before="240" w:after="20"/>
      </w:pPr>
      <w:r>
        <w:rPr>
          <w:rFonts w:ascii="Times New Roman" w:hAnsi="Times New Roman"/>
          <w:b/>
          <w:color w:val="000000"/>
          <w:sz w:val="21"/>
        </w:rPr>
        <w:t>Bảng 1</w:t>
      </w:r>
    </w:p>
    <w:p>
      <w:pPr>
        <w:keepNext/>
        <w:spacing w:before="0" w:after="80"/>
      </w:pPr>
      <w:r>
        <w:rPr>
          <w:rFonts w:ascii="Times New Roman" w:hAnsi="Times New Roman"/>
          <w:i/>
          <w:color w:val="000000"/>
          <w:sz w:val="21"/>
        </w:rPr>
        <w:t>Đặc điểm các doanh nghiệp niêm yết trong mẫu nghiên cứu</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Mã CK</w:t>
            </w:r>
          </w:p>
        </w:tc>
        <w:tc>
          <w:tcPr>
            <w:tcW w:type="dxa" w:w="238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Tên doanh nghiệp</w:t>
            </w:r>
          </w:p>
        </w:tc>
        <w:tc>
          <w:tcPr>
            <w:tcW w:type="dxa" w:w="238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Ngành hoạt động cốt lõi</w:t>
            </w:r>
          </w:p>
        </w:tc>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Sàn</w:t>
            </w:r>
          </w:p>
        </w:tc>
        <w:tc>
          <w:tcPr>
            <w:tcW w:type="dxa" w:w="124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Giai đoạn</w:t>
            </w:r>
          </w:p>
        </w:tc>
        <w:tc>
          <w:tcPr>
            <w:tcW w:type="dxa" w:w="215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Chuẩn mực báo cáo áp dụng</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PAN</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CTCP Tập đoàn PAN (The PAN Group)</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Nông nghiệp và thực phẩm đóng gói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HOSE</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8"/>
              </w:rPr>
              <w:t>2019–2025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8"/>
              </w:rPr>
              <w:t>GRI Standards, Ma trận trọng yếu</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PLX</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Tập đoàn Xăng dầu Việt Nam (Petrolimex)</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Năng lượng, xăng dầu và hóa dầu</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HOSE</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8"/>
              </w:rPr>
              <w:t>2018–2025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8"/>
              </w:rPr>
              <w:t>GRI Standards, ISO 14064-1</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PNJ</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CTCP Vàng bạc Đá quý Phú Nhuận</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Chế tác và bán lẻ trang sức</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HOSE</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8"/>
              </w:rPr>
              <w:t>2019–2025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8"/>
              </w:rPr>
              <w:t>GRI Standards, Trụ cột DE&amp;I</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VNM</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CTCP Sữa Việt Nam (Vinamilk)</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Chế biến sữa và chăn nuôi bò sữa</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HOSE</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8"/>
              </w:rPr>
              <w:t>2019–2025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8"/>
              </w:rPr>
              <w:t>GRI Standards, PAS 2060, CDP</w:t>
            </w:r>
          </w:p>
        </w:tc>
      </w:tr>
    </w:tbl>
    <w:p>
      <w:pPr>
        <w:spacing w:before="60" w:after="160"/>
      </w:pPr>
      <w:r>
        <w:rPr>
          <w:rFonts w:ascii="Times New Roman" w:hAnsi="Times New Roman"/>
          <w:i/>
          <w:sz w:val="19"/>
        </w:rPr>
        <w:t xml:space="preserve">Ghi chú. </w:t>
      </w:r>
      <w:r>
        <w:rPr>
          <w:rFonts w:ascii="Times New Roman" w:hAnsi="Times New Roman"/>
          <w:i w:val="0"/>
          <w:sz w:val="19"/>
        </w:rPr>
        <w:t>Số liệu tổng hợp từ Báo cáo phát triển bền vững và cổng thông tin quan hệ nhà đầu tư của các doanh nghiệp.</w:t>
      </w:r>
    </w:p>
    <w:p>
      <w:pPr>
        <w:spacing w:line="324" w:lineRule="auto" w:after="80"/>
        <w:ind w:firstLine="567"/>
        <w:jc w:val="both"/>
      </w:pPr>
      <w:r>
        <w:rPr>
          <w:rFonts w:ascii="Times New Roman" w:hAnsi="Times New Roman"/>
          <w:b w:val="0"/>
          <w:i w:val="0"/>
          <w:color w:val="000000"/>
          <w:sz w:val="24"/>
        </w:rPr>
        <w:t>Tổng cộng 29 tệp báo cáo định dạng PDF với hàng nghìn trang tài liệu đã được thu thập. Bảng 2 trình bày thống kê chi tiết kết quả trích xuất văn bản của từng báo cáo sau khi chạy qua quy trình tiền xử lý dữ liệu. Tổng số câu thu được là 17.047 câu, với mật độ câu trung bình đạt 7.19 câu/trang. Hai báo cáo PLX 2021 (48 câu) và PLX 2024 (40 câu) có số lượng câu thấp do doanh nghiệp phát hành bản tóm tắt trực tuyến; báo cáo PNJ 2022 (338 câu) là tài liệu dạng ảnh scan, dẫn đến việc trích xuất văn bản bị nhiễu. Các trường hợp này được ghi chú cụ thể để kiểm soát trong quá trình thảo luận kết quả.</w:t>
      </w:r>
    </w:p>
    <w:p>
      <w:pPr>
        <w:keepNext/>
        <w:spacing w:before="240" w:after="20"/>
      </w:pPr>
      <w:r>
        <w:rPr>
          <w:rFonts w:ascii="Times New Roman" w:hAnsi="Times New Roman"/>
          <w:b/>
          <w:color w:val="000000"/>
          <w:sz w:val="21"/>
        </w:rPr>
        <w:t>Bảng 2</w:t>
      </w:r>
    </w:p>
    <w:p>
      <w:pPr>
        <w:keepNext/>
        <w:spacing w:before="0" w:after="80"/>
      </w:pPr>
      <w:r>
        <w:rPr>
          <w:rFonts w:ascii="Times New Roman" w:hAnsi="Times New Roman"/>
          <w:i/>
          <w:color w:val="000000"/>
          <w:sz w:val="21"/>
        </w:rPr>
        <w:t>Thống kê số lượng câu và số trang trích xuất từ 29 báo cáo phát triển bền vững</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344"/>
        <w:gridCol w:w="1344"/>
        <w:gridCol w:w="1344"/>
        <w:gridCol w:w="1344"/>
        <w:gridCol w:w="1344"/>
        <w:gridCol w:w="1344"/>
        <w:gridCol w:w="1344"/>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Công ty</w:t>
            </w:r>
          </w:p>
        </w:tc>
        <w:tc>
          <w:tcPr>
            <w:tcW w:type="dxa" w:w="68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Năm</w:t>
            </w:r>
          </w:p>
        </w:tc>
        <w:tc>
          <w:tcPr>
            <w:tcW w:type="dxa" w:w="215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Tên tệp báo cáo PDF</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câu</w:t>
            </w:r>
          </w:p>
        </w:tc>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trang</w:t>
            </w:r>
          </w:p>
        </w:tc>
        <w:tc>
          <w:tcPr>
            <w:tcW w:type="dxa" w:w="136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Mật độ (câu/trang)</w:t>
            </w:r>
          </w:p>
        </w:tc>
        <w:tc>
          <w:tcPr>
            <w:tcW w:type="dxa" w:w="238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Ghi chú tài liệu số hóa</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PAN_SR_2019.pdf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618</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112</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5.52</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PAN_SR_2020.pdf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752</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83</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9.06</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PAN_SR_2021.pdf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834</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76</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10.97</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PAN_SR_2022.pdf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812</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67</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12.12</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PAN_SR_2023.pdf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411</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61</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6.74</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PAN_SR_2024.pdf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788</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87</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9.06</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PAN_SR_2025.pdf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730</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89</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8.20</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2018</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PLX_SR_2018.pdf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413</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59</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7.00</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PLX_SR_2019.pdf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747</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89</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8.39</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PLX_SR_2020.pdf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842</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85</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9.91</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PLX_SR_2021.pdf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31</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1.55</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Bản tóm tắt trực tuyến (mẫu mỏng)</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PLX_SR_2022.pdf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1.015</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107</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9.49</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PLX_SR_2023.pdf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379</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76</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4.99</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PLX_SR_2024.pdf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40</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23</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1.74</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Bản tóm tắt trực tuyến (mẫu mỏng)</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PLX_SR_2025.pdf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605</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81</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7.47</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PNJ_SR_2019.pdf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587</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61</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9.62</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PNJ_SR_2020.pdf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541</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59</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9.17</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PNJ_SR_2021.pdf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345</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50</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6.90</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PNJ_SR_2022.pdf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338</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57</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5.93</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Tài liệu ảnh scan (nhiễu OCR)</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PNJ_SR_2023.pdf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510</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56</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9.11</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PNJ_SR_2024.pdf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567</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69</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8.22</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PNJ_SR_2025.pdf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712</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82</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8.68</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VNM_SR_2019.pdf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569</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97</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5.87</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VNM_SR_2020.pdf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553</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107</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5.17</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VNM_SR_2021.pdf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585</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109</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5.37</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VNM_SR_2022.pdf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418</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93</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4.49</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VNM_SR_2023.pdf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643</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120</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5.36</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VNM_SR_2024.pdf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691</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112</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6.17</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VNM_SR_2025.pdf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954</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152</w:t>
            </w:r>
          </w:p>
        </w:tc>
        <w:tc>
          <w:tcPr>
            <w:tcW w:type="dxa" w:w="1361"/>
            <w:tcMar>
              <w:top w:w="80" w:type="dxa"/>
              <w:bottom w:w="80" w:type="dxa"/>
              <w:left w:w="140" w:type="dxa"/>
              <w:right w:w="140" w:type="dxa"/>
            </w:tcMar>
          </w:tcPr>
          <w:p>
            <w:pPr>
              <w:spacing w:before="20" w:after="20"/>
              <w:jc w:val="center"/>
            </w:pPr>
            <w:r>
              <w:rPr>
                <w:rFonts w:ascii="Times New Roman" w:hAnsi="Times New Roman"/>
                <w:color w:val="000000"/>
                <w:sz w:val="17"/>
              </w:rPr>
              <w:t>6.28</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7"/>
              </w:rPr>
              <w:t>Văn bản điện tử chuẩn</w:t>
            </w:r>
          </w:p>
        </w:tc>
      </w:tr>
    </w:tbl>
    <w:p>
      <w:pPr>
        <w:spacing w:before="60" w:after="160"/>
      </w:pPr>
      <w:r>
        <w:rPr>
          <w:rFonts w:ascii="Times New Roman" w:hAnsi="Times New Roman"/>
          <w:i/>
          <w:sz w:val="19"/>
        </w:rPr>
        <w:t xml:space="preserve">Ghi chú. </w:t>
      </w:r>
      <w:r>
        <w:rPr>
          <w:rFonts w:ascii="Times New Roman" w:hAnsi="Times New Roman"/>
          <w:i w:val="0"/>
          <w:sz w:val="19"/>
        </w:rPr>
        <w:t>Số lượng câu được tính sau khi loại bỏ các khối văn bản dưới 6 từ và lọc tiêu đề lặp.</w:t>
      </w:r>
    </w:p>
    <w:p>
      <w:pPr>
        <w:keepNext/>
        <w:spacing w:before="200" w:after="60"/>
      </w:pPr>
      <w:r>
        <w:rPr>
          <w:rFonts w:ascii="Times New Roman" w:hAnsi="Times New Roman"/>
          <w:b/>
          <w:color w:val="000000"/>
          <w:sz w:val="25"/>
        </w:rPr>
        <w:t>3.2. Quy trình Trích xuất và Tiền Xử lý Văn bản Tiếng Việt</w:t>
      </w:r>
    </w:p>
    <w:p>
      <w:pPr>
        <w:spacing w:line="324" w:lineRule="auto" w:after="80"/>
        <w:ind w:firstLine="567"/>
        <w:jc w:val="both"/>
      </w:pPr>
      <w:r>
        <w:rPr>
          <w:rFonts w:ascii="Times New Roman" w:hAnsi="Times New Roman"/>
          <w:b w:val="0"/>
          <w:i w:val="0"/>
          <w:color w:val="000000"/>
          <w:sz w:val="24"/>
        </w:rPr>
        <w:t>Quy trình tiền xử lý văn bản được thiết kế phù hợp với đặc thù của ngữ liệu tiếng Việt trong các tệp PDF doanh nghiệp:</w:t>
        <w:br/>
        <w:t>1. Trích xuất khối văn bản: Thư viện PyMuPDF duyệt từng trang tài liệu, tự động loại bỏ trang bìa và các bảng phụ lục số liệu kế toán.</w:t>
        <w:br/>
        <w:t>2. Lọc câu theo đặc thù đơn âm tiết: Nghiên cứu gốc của Kang và Kim (2022) loại bỏ khối văn bản có dưới 10 từ tiếng Anh. Tuy nhiên, do tiếng Việt là ngôn ngữ đơn âm tiết, nghiên cứu này thiết lập ngưỡng lọc tối thiểu là 6 từ nhằm tránh loại bỏ nhầm các câu cam kết ngắn gọn.</w:t>
        <w:br/>
        <w:t>3. Làm sạch và chuẩn hóa chuyên biệt: Xây dựng biểu thức chính quy bảo tồn các từ viết tắt chuyên ngành (như 'TP.HCM', 'NĐ-CP', 'TT-BTC', 'GRI Standards', 'Scope 1, 2'), đồng thời loại bỏ hoàn toàn các dòng mục lục dán liền, chuỗi ký tự lỗi CID và các tiêu đề trang lặp lại.</w:t>
      </w:r>
    </w:p>
    <w:p>
      <w:pPr>
        <w:keepNext/>
        <w:spacing w:before="200" w:after="60"/>
      </w:pPr>
      <w:r>
        <w:rPr>
          <w:rFonts w:ascii="Times New Roman" w:hAnsi="Times New Roman"/>
          <w:b/>
          <w:color w:val="000000"/>
          <w:sz w:val="25"/>
        </w:rPr>
        <w:t>3.3. Đo lường Độ Tương đồng Ngữ nghĩa Câu với 17 SDGs</w:t>
      </w:r>
    </w:p>
    <w:p>
      <w:pPr>
        <w:spacing w:line="324" w:lineRule="auto" w:after="80"/>
        <w:ind w:firstLine="567"/>
        <w:jc w:val="both"/>
      </w:pPr>
      <w:r>
        <w:rPr>
          <w:rFonts w:ascii="Times New Roman" w:hAnsi="Times New Roman"/>
          <w:b w:val="0"/>
          <w:i w:val="0"/>
          <w:color w:val="000000"/>
          <w:sz w:val="24"/>
        </w:rPr>
        <w:t>Để ánh xạ nội dung báo cáo với khung 17 Mục tiêu Phát triển Bền vững, nghiên cứu xây dựng bộ ngữ liệu chuẩn SDG tiếng Việt bao gồm 391 câu văn được dịch thuật chính xác từ 169 chỉ tiêu cụ thể của Liên Hợp Quốc và tài liệu SDG Compass. Phân bổ số lượng câu cho mỗi mục tiêu dao động đồng đều từ 19 đến 27 câu.</w:t>
        <w:br/>
        <w:t>Mỗi câu báo cáo r_i và mỗi câu chuẩn SDG s_j được chuyển đổi thành vector nhúng ngữ nghĩa bằng mô hình vietnamese-sbert (đối với câu tiếng Việt, số chiều d = 768) và all-MiniLM-L6-v2 (đối với câu tiếng Anh, d = 384) (Wang et al., 2020). Tất cả vector đều được chuẩn hóa L2:</w:t>
      </w:r>
    </w:p>
    <w:p>
      <w:pPr>
        <w:spacing w:before="120" w:after="120"/>
        <w:jc w:val="center"/>
      </w:pPr>
      <w:r>
        <w:rPr>
          <w:rFonts w:ascii="Cambria Math" w:hAnsi="Cambria Math"/>
          <w:i/>
          <w:sz w:val="23"/>
        </w:rPr>
        <w:t>v̂ = v / ||v||₂  ⟹  ||v̂||₂ = 1</w:t>
      </w:r>
      <w:r>
        <w:rPr>
          <w:rFonts w:ascii="Times New Roman" w:hAnsi="Times New Roman"/>
          <w:i w:val="0"/>
          <w:sz w:val="22"/>
        </w:rPr>
        <w:t xml:space="preserve">    (1)</w:t>
      </w:r>
    </w:p>
    <w:p>
      <w:pPr>
        <w:spacing w:line="324" w:lineRule="auto" w:after="80"/>
        <w:ind w:firstLine="567"/>
        <w:jc w:val="both"/>
      </w:pPr>
      <w:r>
        <w:rPr>
          <w:rFonts w:ascii="Times New Roman" w:hAnsi="Times New Roman"/>
          <w:b w:val="0"/>
          <w:i w:val="0"/>
          <w:color w:val="000000"/>
          <w:sz w:val="24"/>
        </w:rPr>
        <w:t>Độ tương đồng Cosine giữa hai vector đơn vị chính là tích vô hướng trực tiếp. Điểm tương đồng giữa một câu báo cáo r và mục tiêu SDG thứ g được xác định bằng trung bình cộng độ tương đồng Cosine tới toàn bộ tập hợp S_g câu chuẩn của mục tiêu đó:</w:t>
      </w:r>
    </w:p>
    <w:p>
      <w:pPr>
        <w:spacing w:before="120" w:after="120"/>
        <w:jc w:val="center"/>
      </w:pPr>
      <w:r>
        <w:rPr>
          <w:rFonts w:ascii="Cambria Math" w:hAnsi="Cambria Math"/>
          <w:i/>
          <w:sz w:val="23"/>
        </w:rPr>
        <w:t>sim(r, g) = (1 / |S_g|) × ∑ (r̂ · ŝ)    (với s ∈ S_g)</w:t>
      </w:r>
      <w:r>
        <w:rPr>
          <w:rFonts w:ascii="Times New Roman" w:hAnsi="Times New Roman"/>
          <w:i w:val="0"/>
          <w:sz w:val="22"/>
        </w:rPr>
        <w:t xml:space="preserve">    (2)</w:t>
      </w:r>
    </w:p>
    <w:p>
      <w:pPr>
        <w:spacing w:line="324" w:lineRule="auto" w:after="80"/>
        <w:ind w:firstLine="567"/>
        <w:jc w:val="both"/>
      </w:pPr>
      <w:r>
        <w:rPr>
          <w:rFonts w:ascii="Times New Roman" w:hAnsi="Times New Roman"/>
          <w:b w:val="0"/>
          <w:i w:val="0"/>
          <w:color w:val="000000"/>
          <w:sz w:val="24"/>
        </w:rPr>
        <w:t>Toàn bộ ma trận điểm tương đồng thô sau đó được co giãn tuyến tính về thang điểm 0–100 thông qua phép biến đổi Min-Max toàn cục:</w:t>
      </w:r>
    </w:p>
    <w:p>
      <w:pPr>
        <w:spacing w:before="120" w:after="120"/>
        <w:jc w:val="center"/>
      </w:pPr>
      <w:r>
        <w:rPr>
          <w:rFonts w:ascii="Cambria Math" w:hAnsi="Cambria Math"/>
          <w:i/>
          <w:sz w:val="23"/>
        </w:rPr>
        <w:t>Score(r, g) = [(sim(r, g) - min(sim)) / (max(sim) - min(sim))] × 100</w:t>
      </w:r>
      <w:r>
        <w:rPr>
          <w:rFonts w:ascii="Times New Roman" w:hAnsi="Times New Roman"/>
          <w:i w:val="0"/>
          <w:sz w:val="22"/>
        </w:rPr>
        <w:t xml:space="preserve">    (3)</w:t>
      </w:r>
    </w:p>
    <w:p>
      <w:pPr>
        <w:spacing w:line="324" w:lineRule="auto" w:after="80"/>
        <w:ind w:firstLine="567"/>
        <w:jc w:val="both"/>
      </w:pPr>
      <w:r>
        <w:rPr>
          <w:rFonts w:ascii="Times New Roman" w:hAnsi="Times New Roman"/>
          <w:b w:val="0"/>
          <w:i w:val="0"/>
          <w:color w:val="000000"/>
          <w:sz w:val="24"/>
        </w:rPr>
        <w:t>Trên tập dữ liệu 17.047 câu, giá trị cực tiểu toàn cục là min(sim) = -0.0235 và cực đại là max(sim) = 0.5250. Điểm số của từng doanh nghiệp theo năm được tính bằng trung bình cộng của tất cả các câu trong báo cáo, sau đó gom thành 6 nhóm danh mục theo định nghĩa của Kang và Kim (2022) như trình bày trong Bảng 3.</w:t>
      </w:r>
    </w:p>
    <w:p>
      <w:pPr>
        <w:keepNext/>
        <w:spacing w:before="240" w:after="20"/>
      </w:pPr>
      <w:r>
        <w:rPr>
          <w:rFonts w:ascii="Times New Roman" w:hAnsi="Times New Roman"/>
          <w:b/>
          <w:color w:val="000000"/>
          <w:sz w:val="21"/>
        </w:rPr>
        <w:t>Bảng 3</w:t>
      </w:r>
    </w:p>
    <w:p>
      <w:pPr>
        <w:keepNext/>
        <w:spacing w:before="0" w:after="80"/>
      </w:pPr>
      <w:r>
        <w:rPr>
          <w:rFonts w:ascii="Times New Roman" w:hAnsi="Times New Roman"/>
          <w:i/>
          <w:color w:val="000000"/>
          <w:sz w:val="21"/>
        </w:rPr>
        <w:t>Phân nhóm 17 mục tiêu SDG thành 6 nhóm danh mục theo nhu cầu con người</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2351"/>
        <w:gridCol w:w="2351"/>
        <w:gridCol w:w="2351"/>
        <w:gridCol w:w="2351"/>
      </w:tblGrid>
      <w:tr>
        <w:trPr>
          <w:tblHeader/>
        </w:trPr>
        <w:tc>
          <w:tcPr>
            <w:tcW w:type="dxa" w:w="198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Nhóm danh mục</w:t>
            </w:r>
          </w:p>
        </w:tc>
        <w:tc>
          <w:tcPr>
            <w:tcW w:type="dxa" w:w="198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Mục tiêu SDG cấu thành</w:t>
            </w:r>
          </w:p>
        </w:tc>
        <w:tc>
          <w:tcPr>
            <w:tcW w:type="dxa" w:w="3685"/>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Nội dung nhu cầu con người</w:t>
            </w:r>
          </w:p>
        </w:tc>
        <w:tc>
          <w:tcPr>
            <w:tcW w:type="dxa" w:w="141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Số câu chuẩn</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Đời sống (Life)</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1, SDG 2, SDG 3</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Xóa nghèo, an ninh lương thực, sức khỏe và phúc lợi</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70 câu</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Kinh tế (Economic)</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8, SDG 9</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Việc làm bền vững, tăng trưởng kinh tế, đổi mới và hạ tầng</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43 câu</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Công bằng (Equity)</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4, SDG 5, SDG 10</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Giáo dục chất lượng, bình đẳng giới, giảm bất bình đẳng</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69 câu</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Xã hội (Social)</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11, SDG 16, SDG 17</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Đô thị bền vững, thể chế minh bạch, đối tác toàn cầu</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72 câu</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Tài nguyên (Resources)</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6, SDG 7, SDG 12, SDG 14</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Nước sạch, năng lượng sạch, sản xuất trách nhiệm, đại dương</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89 câu</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Môi trường (Environments)</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13, SDG 15</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Hành động khí hậu, bảo tồn hệ sinh thái đất liền và rừng</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48 câu</w:t>
            </w:r>
          </w:p>
        </w:tc>
      </w:tr>
    </w:tbl>
    <w:p>
      <w:pPr>
        <w:spacing w:before="60" w:after="160"/>
      </w:pPr>
      <w:r>
        <w:rPr>
          <w:rFonts w:ascii="Times New Roman" w:hAnsi="Times New Roman"/>
          <w:i/>
          <w:sz w:val="19"/>
        </w:rPr>
        <w:t xml:space="preserve">Ghi chú. </w:t>
      </w:r>
      <w:r>
        <w:rPr>
          <w:rFonts w:ascii="Times New Roman" w:hAnsi="Times New Roman"/>
          <w:i w:val="0"/>
          <w:sz w:val="19"/>
        </w:rPr>
        <w:t>Phân loại kế thừa từ nghiên cứu của Kang và Kim (2022).</w:t>
      </w:r>
    </w:p>
    <w:p>
      <w:pPr>
        <w:keepNext/>
        <w:spacing w:before="200" w:after="60"/>
      </w:pPr>
      <w:r>
        <w:rPr>
          <w:rFonts w:ascii="Times New Roman" w:hAnsi="Times New Roman"/>
          <w:b/>
          <w:color w:val="000000"/>
          <w:sz w:val="25"/>
        </w:rPr>
        <w:t>3.4. Mô hình Phân tích Sắc thái Cảm xúc Đa lớp</w:t>
      </w:r>
    </w:p>
    <w:p>
      <w:pPr>
        <w:spacing w:line="324" w:lineRule="auto" w:after="80"/>
        <w:ind w:firstLine="567"/>
        <w:jc w:val="both"/>
      </w:pPr>
      <w:r>
        <w:rPr>
          <w:rFonts w:ascii="Times New Roman" w:hAnsi="Times New Roman"/>
          <w:b w:val="0"/>
          <w:i w:val="0"/>
          <w:color w:val="000000"/>
          <w:sz w:val="24"/>
        </w:rPr>
        <w:t>Khác với nghiên cứu gốc của Kang và Kim (2022) sử dụng mô hình DistilBERT phân loại nhị phân (Positive/Negative), nghiên cứu này áp dụng mô hình PhoBERT tinh chỉnh (wonrax/phobert-base-vietnamese-sentiment) (Nguyen &amp; Nguyen, 2020) với 3 nhãn phân loại: Tích cực (POS), Trung tính (NEU) và Tiêu cực (NEG). Việc bổ sung lớp Trung tính phản ánh chính xác bản chất của các câu văn mô tả kỹ thuật, thông số đo lường và quy chuẩn pháp lý trong văn bản báo cáo doanh nghiệp Việt Nam.</w:t>
        <w:br/>
        <w:t>Điểm phân cực cảm xúc (Polarity Score) liên tục trong đoạn [0, 1] được xác định theo quy tắc:</w:t>
      </w:r>
    </w:p>
    <w:p>
      <w:pPr>
        <w:spacing w:before="120" w:after="120"/>
        <w:jc w:val="center"/>
      </w:pPr>
      <w:r>
        <w:rPr>
          <w:rFonts w:ascii="Cambria Math" w:hAnsi="Cambria Math"/>
          <w:i/>
          <w:sz w:val="23"/>
        </w:rPr>
        <w:t>Polarity = P(Tích cực) khi nhãn là POSITIVE | 0.5 khi nhãn là NEUTRAL | 1 - P(Tiêu cực) khi nhãn là NEGATIVE</w:t>
      </w:r>
      <w:r>
        <w:rPr>
          <w:rFonts w:ascii="Times New Roman" w:hAnsi="Times New Roman"/>
          <w:i w:val="0"/>
          <w:sz w:val="22"/>
        </w:rPr>
        <w:t xml:space="preserve">    (4)</w:t>
      </w:r>
    </w:p>
    <w:p>
      <w:pPr>
        <w:spacing w:line="324" w:lineRule="auto" w:after="80"/>
        <w:ind w:firstLine="567"/>
        <w:jc w:val="both"/>
      </w:pPr>
      <w:r>
        <w:rPr>
          <w:rFonts w:ascii="Times New Roman" w:hAnsi="Times New Roman"/>
          <w:b w:val="0"/>
          <w:i w:val="0"/>
          <w:color w:val="000000"/>
          <w:sz w:val="24"/>
        </w:rPr>
        <w:t>Tỷ số cảm xúc hàng năm của mỗi báo cáo được xác định thông qua tỷ lệ giữa số lượng câu tích cực và câu tiêu cực:</w:t>
      </w:r>
    </w:p>
    <w:p>
      <w:pPr>
        <w:spacing w:before="120" w:after="120"/>
        <w:jc w:val="center"/>
      </w:pPr>
      <w:r>
        <w:rPr>
          <w:rFonts w:ascii="Cambria Math" w:hAnsi="Cambria Math"/>
          <w:i/>
          <w:sz w:val="23"/>
        </w:rPr>
        <w:t>Ratio = N_Tích cực / N_Tiêu cực</w:t>
      </w:r>
      <w:r>
        <w:rPr>
          <w:rFonts w:ascii="Times New Roman" w:hAnsi="Times New Roman"/>
          <w:i w:val="0"/>
          <w:sz w:val="22"/>
        </w:rPr>
        <w:t xml:space="preserve">    (5)</w:t>
      </w:r>
    </w:p>
    <w:p>
      <w:pPr>
        <w:keepNext/>
        <w:spacing w:before="200" w:after="60"/>
      </w:pPr>
      <w:r>
        <w:rPr>
          <w:rFonts w:ascii="Times New Roman" w:hAnsi="Times New Roman"/>
          <w:b/>
          <w:color w:val="000000"/>
          <w:sz w:val="25"/>
        </w:rPr>
        <w:t>3.5. Phương pháp Xác định Rủi ro Tẩy xanh Mở rộng</w:t>
      </w:r>
    </w:p>
    <w:p>
      <w:pPr>
        <w:spacing w:line="324" w:lineRule="auto" w:after="80"/>
        <w:ind w:firstLine="567"/>
        <w:jc w:val="both"/>
      </w:pPr>
      <w:r>
        <w:rPr>
          <w:rFonts w:ascii="Times New Roman" w:hAnsi="Times New Roman"/>
          <w:b w:val="0"/>
          <w:i w:val="0"/>
          <w:color w:val="000000"/>
          <w:sz w:val="24"/>
        </w:rPr>
        <w:t>Nhằm kiểm chứng hiện tượng Tẩy xanh, nghiên cứu mở rộng khung phân tích của Kang và Kim bằng cách tích hợp chuỗi dữ liệu giá đóng cửa cổ phiếu điều chỉnh hàng năm từ sàn HOSE. Ban đầu, một tiêu chí phân loại phản ứng thị trường được thiết lập:</w:t>
        <w:br/>
        <w:t>- Phản ứng Tẩy xanh: Xảy ra khi giá cổ phiếu giảm sâu trên 10% (ΔGiá% &lt; -10%) nhưng tỷ số cảm xúc trong báo cáo lại tăng mạnh trên 15% (ΔRatio% &gt; +15%).</w:t>
        <w:br/>
        <w:t>- Phản ứng Trung thực: Xảy ra khi giá cổ phiếu giảm sâu (ΔGiá% &lt; -10%) và tỷ số cảm xúc cũng đồng pha suy giảm (ΔRatio% &lt; 0%).</w:t>
        <w:br/>
        <w:t>Đồng thời, nghiên cứu đề xuất Chỉ số Rủi ro Tẩy xanh liên tục (Greenwashing Score - GW):</w:t>
      </w:r>
    </w:p>
    <w:p>
      <w:pPr>
        <w:spacing w:before="120" w:after="120"/>
        <w:jc w:val="center"/>
      </w:pPr>
      <w:r>
        <w:rPr>
          <w:rFonts w:ascii="Cambria Math" w:hAnsi="Cambria Math"/>
          <w:i/>
          <w:sz w:val="23"/>
        </w:rPr>
        <w:t>GW = [max(0, -ΔGiá%) × max(0, ΔRatio%)] / 100</w:t>
      </w:r>
      <w:r>
        <w:rPr>
          <w:rFonts w:ascii="Times New Roman" w:hAnsi="Times New Roman"/>
          <w:i w:val="0"/>
          <w:sz w:val="22"/>
        </w:rPr>
        <w:t xml:space="preserve">    (6)</w:t>
      </w:r>
    </w:p>
    <w:p>
      <w:pPr>
        <w:spacing w:line="324" w:lineRule="auto" w:after="80"/>
        <w:ind w:firstLine="567"/>
        <w:jc w:val="both"/>
      </w:pPr>
      <w:r>
        <w:rPr>
          <w:rFonts w:ascii="Times New Roman" w:hAnsi="Times New Roman"/>
          <w:b w:val="0"/>
          <w:i w:val="0"/>
          <w:color w:val="000000"/>
          <w:sz w:val="24"/>
        </w:rPr>
        <w:t>Chỉ số GW chỉ nhận giá trị dương khi đồng thời xuất hiện sự sụt giảm định giá thị trường và sự gia tăng giọng điệu lạc quan trong báo cáo. Thang phân loại mức độ rủi ro được định nghĩa: GW = 0 (Không rủi ro / Trung thực); 0 &lt; GW ≤ 2 (Rủi ro nhẹ); 2 &lt; GW ≤ 8 (Rủi ro trung bình); GW &gt; 8 (Rủi ro cao).</w:t>
      </w:r>
    </w:p>
    <w:p>
      <w:r>
        <w:br w:type="page"/>
      </w:r>
    </w:p>
    <w:p>
      <w:pPr>
        <w:keepNext/>
        <w:spacing w:before="280" w:after="80"/>
      </w:pPr>
      <w:r>
        <w:rPr>
          <w:rFonts w:ascii="Times New Roman" w:hAnsi="Times New Roman"/>
          <w:b/>
          <w:color w:val="000000"/>
          <w:sz w:val="26"/>
        </w:rPr>
        <w:t>4. KẾT QUẢ NGHIÊN CỨU VÀ PHÂN TÍCH THỰC NGHIỆM</w:t>
      </w:r>
    </w:p>
    <w:p>
      <w:pPr>
        <w:keepNext/>
        <w:spacing w:before="200" w:after="60"/>
      </w:pPr>
      <w:r>
        <w:rPr>
          <w:rFonts w:ascii="Times New Roman" w:hAnsi="Times New Roman"/>
          <w:b/>
          <w:color w:val="000000"/>
          <w:sz w:val="25"/>
        </w:rPr>
        <w:t>4.1. Phân phối Điểm Tương đồng SDG Toàn cục</w:t>
      </w:r>
    </w:p>
    <w:p>
      <w:pPr>
        <w:keepNext/>
        <w:spacing w:before="200" w:after="80"/>
        <w:jc w:val="center"/>
      </w:pPr>
      <w:r>
        <w:drawing>
          <wp:inline xmlns:a="http://schemas.openxmlformats.org/drawingml/2006/main" xmlns:pic="http://schemas.openxmlformats.org/drawingml/2006/picture">
            <wp:extent cx="5303520" cy="2330648"/>
            <wp:docPr id="1" name="Picture 1"/>
            <wp:cNvGraphicFramePr>
              <a:graphicFrameLocks noChangeAspect="1"/>
            </wp:cNvGraphicFramePr>
            <a:graphic>
              <a:graphicData uri="http://schemas.openxmlformats.org/drawingml/2006/picture">
                <pic:pic>
                  <pic:nvPicPr>
                    <pic:cNvPr id="0" name="similarity_hist.png"/>
                    <pic:cNvPicPr/>
                  </pic:nvPicPr>
                  <pic:blipFill>
                    <a:blip r:embed="rId11"/>
                    <a:stretch>
                      <a:fillRect/>
                    </a:stretch>
                  </pic:blipFill>
                  <pic:spPr>
                    <a:xfrm>
                      <a:off x="0" y="0"/>
                      <a:ext cx="5303520" cy="2330648"/>
                    </a:xfrm>
                    <a:prstGeom prst="rect"/>
                  </pic:spPr>
                </pic:pic>
              </a:graphicData>
            </a:graphic>
          </wp:inline>
        </w:drawing>
      </w:r>
    </w:p>
    <w:p>
      <w:pPr>
        <w:spacing w:after="200"/>
        <w:jc w:val="center"/>
      </w:pPr>
      <w:r>
        <w:rPr>
          <w:rFonts w:ascii="Times New Roman" w:hAnsi="Times New Roman"/>
          <w:b/>
          <w:i/>
          <w:sz w:val="20"/>
        </w:rPr>
        <w:t xml:space="preserve">Hình 1. </w:t>
      </w:r>
      <w:r>
        <w:rPr>
          <w:rFonts w:ascii="Times New Roman" w:hAnsi="Times New Roman"/>
          <w:i w:val="0"/>
          <w:sz w:val="20"/>
        </w:rPr>
        <w:t>Phân phối tần suất điểm tương đồng SDG của toàn bộ 17.047 câu văn trên thang đo chuẩn hóa 0–100.</w:t>
      </w:r>
    </w:p>
    <w:p>
      <w:pPr>
        <w:spacing w:line="324" w:lineRule="auto" w:after="80"/>
        <w:ind w:firstLine="567"/>
        <w:jc w:val="both"/>
      </w:pPr>
      <w:r>
        <w:rPr>
          <w:rFonts w:ascii="Times New Roman" w:hAnsi="Times New Roman"/>
          <w:b w:val="0"/>
          <w:i w:val="0"/>
          <w:color w:val="000000"/>
          <w:sz w:val="24"/>
        </w:rPr>
        <w:t>Hình 1 minh họa phân phối mật độ xác suất của điểm tương đồng SDG trên toàn bộ 17.047 câu văn trích xuất từ 29 báo cáo sau khi chuẩn hóa min-max về thang đo 0–100. Đồ thị phân phối thể hiện dạng hình chuông gần như chuẩn tắc, với giá trị trung bình đạt 46.61 điểm và độ lệch chuẩn là 12.83 điểm. Phần lớn các câu văn trong báo cáo tập trung trong dải điểm từ 35 đến 60. Sự tồn tại của một phân phối rộng và biến thiên tự nhiên này hoàn toàn tương đồng với phát hiện của Kang và Kim (2022) trên mẫu các tập đoàn toàn cầu, chứng minh rằng mô hình Sentence-BERT tiếng Việt (vietnamese-sbert) đã nắm bắt tốt sự đa dạng ngữ nghĩa giữa các câu văn báo cáo và 17 SDGs, khắc phục hoàn toàn hiện tượng phân phối thoái hóa của các phương pháp khớp từ khóa truyền thống.</w:t>
      </w:r>
    </w:p>
    <w:p>
      <w:pPr>
        <w:spacing w:line="324" w:lineRule="auto" w:after="80"/>
        <w:ind w:firstLine="567"/>
        <w:jc w:val="both"/>
      </w:pPr>
      <w:r>
        <w:rPr>
          <w:rFonts w:ascii="Times New Roman" w:hAnsi="Times New Roman"/>
          <w:b w:val="0"/>
          <w:i w:val="0"/>
          <w:color w:val="000000"/>
          <w:sz w:val="24"/>
        </w:rPr>
        <w:t>Bảng 4 cung cấp các tham số thống kê mô tả chi tiết của từng mục tiêu trong 17 SDGs. Kết quả phân tích định lượng cho thấy: Mục tiêu có điểm tương đồng trung bình cao nhất toàn mẫu là SDG 17 (Đối tác vì các mục tiêu - Mean = 53.74, Max = 100.00), theo sau là SDG 09 (Công nghiệp, đổi mới sáng tạo và hạ tầng - Mean = 50.11), SDG 12 (Sản xuất và tiêu dùng có trách nhiệm - Mean = 49.71) và SDG 15 (Tài nguyên đất liền - Mean = 49.01). Ngược lại, mục tiêu ghi nhận điểm số thấp nhất là SDG 05 (Bình đẳng giới - Mean = 38.70, Min = 0.00) và SDG 03 (Sức khỏe và phúc lợi - Mean = 42.42). Điều này phản ánh một thực tế khách quan rằng nội dung báo cáo phát triển bền vững tại Việt Nam tập trung dày đặc vào các cam kết hợp tác chuỗi giá trị và đổi mới công nghệ, trong khi các khía cạnh về bình đẳng giới và thu hẹp khoảng cách thu nhập nội bộ chưa nhận được sự quan tâm tương xứng (Bộ Kế hoạch và Đầu tư, 2023).</w:t>
      </w:r>
    </w:p>
    <w:p>
      <w:pPr>
        <w:keepNext/>
        <w:spacing w:before="240" w:after="20"/>
      </w:pPr>
      <w:r>
        <w:rPr>
          <w:rFonts w:ascii="Times New Roman" w:hAnsi="Times New Roman"/>
          <w:b/>
          <w:color w:val="000000"/>
          <w:sz w:val="21"/>
        </w:rPr>
        <w:t>Bảng 4</w:t>
      </w:r>
    </w:p>
    <w:p>
      <w:pPr>
        <w:keepNext/>
        <w:spacing w:before="0" w:after="80"/>
      </w:pPr>
      <w:r>
        <w:rPr>
          <w:rFonts w:ascii="Times New Roman" w:hAnsi="Times New Roman"/>
          <w:i/>
          <w:color w:val="000000"/>
          <w:sz w:val="21"/>
        </w:rPr>
        <w:t>Thống kê mô tả điểm số tương đồng của 17 mục tiêu SDG trên toàn bộ 17.047 câu văn</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5"/>
        <w:gridCol w:w="1045"/>
        <w:gridCol w:w="1045"/>
        <w:gridCol w:w="1045"/>
        <w:gridCol w:w="1045"/>
        <w:gridCol w:w="1045"/>
        <w:gridCol w:w="1045"/>
        <w:gridCol w:w="1045"/>
        <w:gridCol w:w="1045"/>
      </w:tblGrid>
      <w:tr>
        <w:trPr>
          <w:tblHeader/>
        </w:trPr>
        <w:tc>
          <w:tcPr>
            <w:tcW w:type="dxa" w:w="215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Mục tiêu SDG</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câu</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Trung bình</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Độ lệch chuẩn</w:t>
            </w:r>
          </w:p>
        </w:tc>
        <w:tc>
          <w:tcPr>
            <w:tcW w:type="dxa" w:w="79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Tối thiểu</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Phân vị 25%</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Trung vị</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Phân vị 75%</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Tối đa</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01 (Xóa nghèo)</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48.35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12.48</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6.13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39.45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48.85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57.55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85.41</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02 (Không còn nạn đói)</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48.28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12.46</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7.64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39.56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48.76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57.08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90.48</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03 (Sức khỏe và phúc lợi)</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42.42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10.69</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8.63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34.99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42.83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50.29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76.30</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04 (Giáo dục chất lượng)</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46.76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12.95</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7.34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37.36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46.84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55.66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92.11</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05 (Bình đẳng giới)</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38.70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11.51</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30.60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38.87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46.82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86.98</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06 (Nước sạch và vệ sinh)</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44.56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12.32</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0.89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36.43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43.94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51.73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96.79</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07 (Năng lượng sạch)</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47.94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12.40</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7.08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39.00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48.36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56.86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84.94</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08 (Việc làm và tăng trưởng)</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48.18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13.72</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5.26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38.23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48.37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58.00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91.60</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09 (Công nghiệp và hạ tầng)</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50.11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14.11</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4.06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40.11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50.25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60.27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92.85</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10 (Giảm bất bình đẳng)</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44.70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10.76</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9.19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37.01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45.21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52.72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74.65</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11 (Đô thị bền vững)</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44.12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11.43</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6.18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36.28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44.62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52.32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77.97</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12 (Tiêu dùng trách nhiệm)</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49.71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12.11</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6.88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41.30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50.24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58.51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84.69</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13 (Hành động khí hậu)</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44.28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11.88</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1.64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36.13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44.36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52.52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87.19</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14 (Tài nguyên biển)</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45.97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11.16</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7.79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38.18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46.33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53.96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84.24</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15 (Tài nguyên đất liền)</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49.01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12.70</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5.77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40.21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49.41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58.06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94.37</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16 (Hòa bình và công lý)</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45.56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11.73</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5.60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37.34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46.21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54.26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77.66</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17 (Đối tác vì mục tiêu)</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53.74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15.25</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7.82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42.86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53.78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64.73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100.00</w:t>
            </w:r>
          </w:p>
        </w:tc>
      </w:tr>
    </w:tbl>
    <w:p>
      <w:pPr>
        <w:spacing w:before="60" w:after="160"/>
      </w:pPr>
      <w:r>
        <w:rPr>
          <w:rFonts w:ascii="Times New Roman" w:hAnsi="Times New Roman"/>
          <w:i/>
          <w:sz w:val="19"/>
        </w:rPr>
        <w:t xml:space="preserve">Ghi chú. </w:t>
      </w:r>
      <w:r>
        <w:rPr>
          <w:rFonts w:ascii="Times New Roman" w:hAnsi="Times New Roman"/>
          <w:i w:val="0"/>
          <w:sz w:val="19"/>
        </w:rPr>
        <w:t>Điểm số được chuẩn hóa Min-Max toàn cục trên thang đo từ 0 đến 100.</w:t>
      </w:r>
    </w:p>
    <w:p>
      <w:pPr>
        <w:keepNext/>
        <w:spacing w:before="200" w:after="60"/>
      </w:pPr>
      <w:r>
        <w:rPr>
          <w:rFonts w:ascii="Times New Roman" w:hAnsi="Times New Roman"/>
          <w:b/>
          <w:color w:val="000000"/>
          <w:sz w:val="25"/>
        </w:rPr>
        <w:t>4.2. Phân tích Cấu trúc 6 Nhóm Danh mục SDG qua Ma trận Nhiệt</w:t>
      </w:r>
    </w:p>
    <w:p>
      <w:pPr>
        <w:keepNext/>
        <w:spacing w:before="200" w:after="80"/>
        <w:jc w:val="center"/>
      </w:pPr>
      <w:r>
        <w:drawing>
          <wp:inline xmlns:a="http://schemas.openxmlformats.org/drawingml/2006/main" xmlns:pic="http://schemas.openxmlformats.org/drawingml/2006/picture">
            <wp:extent cx="5120640" cy="5529554"/>
            <wp:docPr id="2" name="Picture 2"/>
            <wp:cNvGraphicFramePr>
              <a:graphicFrameLocks noChangeAspect="1"/>
            </wp:cNvGraphicFramePr>
            <a:graphic>
              <a:graphicData uri="http://schemas.openxmlformats.org/drawingml/2006/picture">
                <pic:pic>
                  <pic:nvPicPr>
                    <pic:cNvPr id="0" name="heatmap_6cat.png"/>
                    <pic:cNvPicPr/>
                  </pic:nvPicPr>
                  <pic:blipFill>
                    <a:blip r:embed="rId12"/>
                    <a:stretch>
                      <a:fillRect/>
                    </a:stretch>
                  </pic:blipFill>
                  <pic:spPr>
                    <a:xfrm>
                      <a:off x="0" y="0"/>
                      <a:ext cx="5120640" cy="5529554"/>
                    </a:xfrm>
                    <a:prstGeom prst="rect"/>
                  </pic:spPr>
                </pic:pic>
              </a:graphicData>
            </a:graphic>
          </wp:inline>
        </w:drawing>
      </w:r>
    </w:p>
    <w:p>
      <w:pPr>
        <w:spacing w:after="200"/>
        <w:jc w:val="center"/>
      </w:pPr>
      <w:r>
        <w:rPr>
          <w:rFonts w:ascii="Times New Roman" w:hAnsi="Times New Roman"/>
          <w:b/>
          <w:i/>
          <w:sz w:val="20"/>
        </w:rPr>
        <w:t xml:space="preserve">Hình 2. </w:t>
      </w:r>
      <w:r>
        <w:rPr>
          <w:rFonts w:ascii="Times New Roman" w:hAnsi="Times New Roman"/>
          <w:i w:val="0"/>
          <w:sz w:val="20"/>
        </w:rPr>
        <w:t>Biểu đồ nhiệt thể hiện điểm số tương đồng 6 nhóm danh mục SDG theo công ty và năm.</w:t>
      </w:r>
    </w:p>
    <w:p>
      <w:pPr>
        <w:spacing w:line="324" w:lineRule="auto" w:after="80"/>
        <w:ind w:firstLine="567"/>
        <w:jc w:val="both"/>
      </w:pPr>
      <w:r>
        <w:rPr>
          <w:rFonts w:ascii="Times New Roman" w:hAnsi="Times New Roman"/>
          <w:b w:val="0"/>
          <w:i w:val="0"/>
          <w:color w:val="000000"/>
          <w:sz w:val="24"/>
        </w:rPr>
        <w:t>Biểu đồ nhiệt tại Hình 2 và số liệu chi tiết trong Bảng 5 thể hiện sự phân hóa cấu trúc chủ đề giữa 4 doanh nghiệp theo 6 nhóm danh mục. Một quy luật tổng quát mang tính nhất quán cao được phát hiện trên toàn bộ 29 báo cáo: Nhóm Kinh tế luôn dẫn đầu, tiếp theo là Xã hội, Tài nguyên, Đời sống, Môi trường và cuối cùng là Công bằng xã hội: Kinh tế &gt; Xã hội &gt; Tài nguyên ≈ Đời sống &gt; Môi trường &gt; Công bằng.</w:t>
        <w:br/>
        <w:t>Cụ thể, nhóm Kinh tế (SDG 8, 9) đạt điểm số cao vượt trội tại hầu hết các công ty–năm, dao động từ 44.61 (Vinamilk năm 2019) đến mức đỉnh 54.84 (PNJ năm 2022). Điều này phản ánh định hướng truyền thông cốt lõi của các doanh nghiệp niêm yết tại thị trường mới nổi: báo cáo phát triển bền vững vẫn được tận dụng tối đa để khẳng định hiệu quả sản xuất kinh doanh, mở rộng hạ tầng và đóng góp ngân sách nhà nước – vốn là các tiêu chí dễ lượng hóa và tạo được niềm tin tức thời nơi cổ đông.</w:t>
      </w:r>
    </w:p>
    <w:p>
      <w:pPr>
        <w:spacing w:line="324" w:lineRule="auto" w:after="80"/>
        <w:ind w:firstLine="567"/>
        <w:jc w:val="both"/>
      </w:pPr>
      <w:r>
        <w:rPr>
          <w:rFonts w:ascii="Times New Roman" w:hAnsi="Times New Roman"/>
          <w:b w:val="0"/>
          <w:i w:val="0"/>
          <w:color w:val="000000"/>
          <w:sz w:val="24"/>
        </w:rPr>
        <w:t>Ngược lại, nhóm Công bằng (SDG 4, 5, 10) liên tục ghi nhận điểm số thấp nhất trên mọi báo cáo, chỉ dao động từ 39.92 (Petrolimex năm 2024) đến 47.40 (PNJ năm 2025). Ngay cả tại PNJ – doanh nghiệp kim hoàn sở hữu lực lượng lao động nữ trên 60% và có tiểu ban ESG chuyên trách – điểm nhóm Công bằng (44.29 – 47.40) vẫn thấp hơn đáng kể so với nhóm Kinh tế (50.96 – 54.84) và Xã hội (49.46 – 52.99). Phát hiện thực nghiệm này hoàn toàn đồng điệu với nhận định trong Báo cáo Rà soát Quốc gia Tự nguyện (VNR 2023) của Chính phủ Việt Nam tại Liên Hợp Quốc (Bộ Kế hoạch và Đầu tư, 2023), chỉ ra rằng việc xóa bỏ định kiến giới, thu hẹp khoảng cách tiền lương và hỗ trợ các nhóm yếu thế trong chuỗi cung ứng vẫn là thách thức lớn nhất và chậm tiến độ nhất trong 17 SDGs tại Việt Nam.</w:t>
      </w:r>
    </w:p>
    <w:p>
      <w:pPr>
        <w:keepNext/>
        <w:spacing w:before="240" w:after="20"/>
      </w:pPr>
      <w:r>
        <w:rPr>
          <w:rFonts w:ascii="Times New Roman" w:hAnsi="Times New Roman"/>
          <w:b/>
          <w:color w:val="000000"/>
          <w:sz w:val="21"/>
        </w:rPr>
        <w:t>Bảng 5</w:t>
      </w:r>
    </w:p>
    <w:p>
      <w:pPr>
        <w:keepNext/>
        <w:spacing w:before="0" w:after="80"/>
      </w:pPr>
      <w:r>
        <w:rPr>
          <w:rFonts w:ascii="Times New Roman" w:hAnsi="Times New Roman"/>
          <w:i/>
          <w:color w:val="000000"/>
          <w:sz w:val="21"/>
        </w:rPr>
        <w:t>Điểm số tương đồng trung bình 6 nhóm danh mục SDG theo công ty và năm</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5"/>
        <w:gridCol w:w="1045"/>
        <w:gridCol w:w="1045"/>
        <w:gridCol w:w="1045"/>
        <w:gridCol w:w="1045"/>
        <w:gridCol w:w="1045"/>
        <w:gridCol w:w="1045"/>
        <w:gridCol w:w="1045"/>
        <w:gridCol w:w="1045"/>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Công ty</w:t>
            </w:r>
          </w:p>
        </w:tc>
        <w:tc>
          <w:tcPr>
            <w:tcW w:type="dxa" w:w="68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Năm</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Đời sống</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Kinh tế</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Công bằng</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Xã hội</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Tài nguyên</w:t>
            </w:r>
          </w:p>
        </w:tc>
        <w:tc>
          <w:tcPr>
            <w:tcW w:type="dxa" w:w="113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Môi trường</w:t>
            </w:r>
          </w:p>
        </w:tc>
        <w:tc>
          <w:tcPr>
            <w:tcW w:type="dxa" w:w="130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Trung bình</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46.95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48.18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42.61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45.24</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45.87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44.49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44.14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43.72</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42.96</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43.58</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47.35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49.02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42.94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47.04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45.66</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45.51</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46.25</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47.63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49.83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46.82</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46.68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47.09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44.93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42.16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45.10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43.48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42.96</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44.24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48.12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42.34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46.47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46.01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46.10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45.94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49.97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52.99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50.50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49.70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49.68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49.77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45.56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47.74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42.17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45.60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45.27</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45.47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45.05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41.95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45.78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44.96</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45.19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45.78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48.39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42.51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47.08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46.54</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46.08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46.06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47.05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50.46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41.74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48.87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47.55</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47.90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47.26*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44.66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42.05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46.28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45.89</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45.54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43.92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41.26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46.45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45.29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45.64</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44.90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44.09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39.92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48.82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48.22</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49.91</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46.86*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45.51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48.48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42.29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47.71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47.15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46.34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52.28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50.64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49.84</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48.38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48.99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48.50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53.90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46.92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51.75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50.77</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49.50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50.22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46.94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50.96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44.29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49.46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50.11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48.40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48.36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49.91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54.84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47.38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52.99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50.21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51.17</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51.08</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44.54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48.58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47.33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47.23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45.36</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46.05</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47.32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52.07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50.69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50.51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48.94</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49.25</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48.61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53.26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51.75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50.61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49.54</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50.20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42.95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44.61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40.80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43.49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42.60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43.12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44.33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41.71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47.51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44.90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44.75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45.10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45.53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47.88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42.39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47.68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45.13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44.75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45.56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43.15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44.97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40.58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44.59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44.04</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44.45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43.63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48.31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43.59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47.16</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47.18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46.62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45.35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42.83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46.31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46.30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45.80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50.06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52.28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46.48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51.16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51.13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51.95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50.51</w:t>
            </w:r>
          </w:p>
        </w:tc>
      </w:tr>
    </w:tbl>
    <w:p>
      <w:pPr>
        <w:spacing w:before="60" w:after="160"/>
      </w:pPr>
      <w:r>
        <w:rPr>
          <w:rFonts w:ascii="Times New Roman" w:hAnsi="Times New Roman"/>
          <w:i/>
          <w:sz w:val="19"/>
        </w:rPr>
        <w:t xml:space="preserve">Ghi chú. </w:t>
      </w:r>
      <w:r>
        <w:rPr>
          <w:rFonts w:ascii="Times New Roman" w:hAnsi="Times New Roman"/>
          <w:i w:val="0"/>
          <w:sz w:val="19"/>
        </w:rPr>
        <w:t>Dấu (*) biểu thị các báo cáo có số lượng câu dưới 80 câu do bản tóm tắt trực tuyến.</w:t>
      </w:r>
    </w:p>
    <w:p>
      <w:pPr>
        <w:keepNext/>
        <w:spacing w:before="200" w:after="60"/>
      </w:pPr>
      <w:r>
        <w:rPr>
          <w:rFonts w:ascii="Times New Roman" w:hAnsi="Times New Roman"/>
          <w:b/>
          <w:color w:val="000000"/>
          <w:sz w:val="25"/>
        </w:rPr>
        <w:t>4.3. Diễn biến Xu hướng theo Thời gian của Từng Doanh nghiệp</w:t>
      </w:r>
    </w:p>
    <w:p>
      <w:pPr>
        <w:keepNext/>
        <w:spacing w:before="200" w:after="80"/>
        <w:jc w:val="center"/>
      </w:pPr>
      <w:r>
        <w:drawing>
          <wp:inline xmlns:a="http://schemas.openxmlformats.org/drawingml/2006/main" xmlns:pic="http://schemas.openxmlformats.org/drawingml/2006/picture">
            <wp:extent cx="5303520" cy="7083245"/>
            <wp:docPr id="3" name="Picture 3"/>
            <wp:cNvGraphicFramePr>
              <a:graphicFrameLocks noChangeAspect="1"/>
            </wp:cNvGraphicFramePr>
            <a:graphic>
              <a:graphicData uri="http://schemas.openxmlformats.org/drawingml/2006/picture">
                <pic:pic>
                  <pic:nvPicPr>
                    <pic:cNvPr id="0" name="trends_6categories.png"/>
                    <pic:cNvPicPr/>
                  </pic:nvPicPr>
                  <pic:blipFill>
                    <a:blip r:embed="rId13"/>
                    <a:stretch>
                      <a:fillRect/>
                    </a:stretch>
                  </pic:blipFill>
                  <pic:spPr>
                    <a:xfrm>
                      <a:off x="0" y="0"/>
                      <a:ext cx="5303520" cy="7083245"/>
                    </a:xfrm>
                    <a:prstGeom prst="rect"/>
                  </pic:spPr>
                </pic:pic>
              </a:graphicData>
            </a:graphic>
          </wp:inline>
        </w:drawing>
      </w:r>
    </w:p>
    <w:p>
      <w:pPr>
        <w:spacing w:after="200"/>
        <w:jc w:val="center"/>
      </w:pPr>
      <w:r>
        <w:rPr>
          <w:rFonts w:ascii="Times New Roman" w:hAnsi="Times New Roman"/>
          <w:b/>
          <w:i/>
          <w:sz w:val="20"/>
        </w:rPr>
        <w:t xml:space="preserve">Hình 3. </w:t>
      </w:r>
      <w:r>
        <w:rPr>
          <w:rFonts w:ascii="Times New Roman" w:hAnsi="Times New Roman"/>
          <w:i w:val="0"/>
          <w:sz w:val="20"/>
        </w:rPr>
        <w:t>Đường xu hướng biến thiên điểm số 6 nhóm danh mục SDG giai đoạn 2018–2025 cho từng doanh nghiệp.</w:t>
      </w:r>
    </w:p>
    <w:p>
      <w:pPr>
        <w:spacing w:line="324" w:lineRule="auto" w:after="80"/>
        <w:ind w:firstLine="567"/>
        <w:jc w:val="both"/>
      </w:pPr>
      <w:r>
        <w:rPr>
          <w:rFonts w:ascii="Times New Roman" w:hAnsi="Times New Roman"/>
          <w:b w:val="0"/>
          <w:i w:val="0"/>
          <w:color w:val="000000"/>
          <w:sz w:val="24"/>
        </w:rPr>
        <w:t>Hình 3 thể hiện quỹ đạo vận động của 6 nhóm danh mục theo thời gian cho từng doanh nghiệp. Điểm nhấn quan trọng nhất là bước nhảy vọt đồng loạt của tất cả các doanh nghiệp trong năm 2025. Cụ thể, Vinamilk có bước bứt phá mạnh nhất khi toàn bộ 6 nhóm danh mục đều vượt ngưỡng 46 điểm, trong đó Môi trường tăng vọt từ 46.30 (năm 2024) lên 51.95 (năm 2025), và Đời sống tăng từ 45.35 lên 50.06. Sự chuyển biến này là hệ quả trực tiếp từ việc Vinamilk công bố chiến lược Net Zero 2050, hoàn thành chứng nhận trung hòa carbon PAS 2060 cho các nhà máy và trang trại tại Nghệ An, Bến Tre, đồng thời phát hành bản báo cáo phát triển bền vững dày 152 trang với 954 câu văn chuyên sâu.</w:t>
      </w:r>
    </w:p>
    <w:p>
      <w:pPr>
        <w:spacing w:line="324" w:lineRule="auto" w:after="80"/>
        <w:ind w:firstLine="567"/>
        <w:jc w:val="both"/>
      </w:pPr>
      <w:r>
        <w:rPr>
          <w:rFonts w:ascii="Times New Roman" w:hAnsi="Times New Roman"/>
          <w:b w:val="0"/>
          <w:i w:val="0"/>
          <w:color w:val="000000"/>
          <w:sz w:val="24"/>
        </w:rPr>
        <w:t>Đối với The PAN Group, điểm số suy giảm nhẹ trong năm 2023 (điểm trung bình 44.24 so với 47.09 năm 2022) do công ty tinh giản dung lượng báo cáo (chỉ 411 câu so với 812 câu năm 2022), sau đó phục hồi mạnh mẽ vào năm 2025 (đạt 49.77 điểm). Đối với PNJ, công ty thể hiện phong độ ổn định nhất mẫu với điểm trung bình luôn dao động từ 48 đến 51 điểm. Riêng Petrolimex, đường xu hướng bị biến động mạnh cục bộ tại hai năm 2021 và 2024 do hiện tượng mẫu mỏng (bản tóm tắt trực tuyến).</w:t>
      </w:r>
    </w:p>
    <w:p>
      <w:pPr>
        <w:keepNext/>
        <w:spacing w:before="200" w:after="60"/>
      </w:pPr>
      <w:r>
        <w:rPr>
          <w:rFonts w:ascii="Times New Roman" w:hAnsi="Times New Roman"/>
          <w:b/>
          <w:color w:val="000000"/>
          <w:sz w:val="25"/>
        </w:rPr>
        <w:t>4.4. Phân tích Sắc thái Cảm xúc và Cơ cấu Ngôn từ</w:t>
      </w:r>
    </w:p>
    <w:p>
      <w:pPr>
        <w:keepNext/>
        <w:spacing w:before="200" w:after="80"/>
        <w:jc w:val="center"/>
      </w:pPr>
      <w:r>
        <w:drawing>
          <wp:inline xmlns:a="http://schemas.openxmlformats.org/drawingml/2006/main" xmlns:pic="http://schemas.openxmlformats.org/drawingml/2006/picture">
            <wp:extent cx="4754880" cy="2206164"/>
            <wp:docPr id="4" name="Picture 4"/>
            <wp:cNvGraphicFramePr>
              <a:graphicFrameLocks noChangeAspect="1"/>
            </wp:cNvGraphicFramePr>
            <a:graphic>
              <a:graphicData uri="http://schemas.openxmlformats.org/drawingml/2006/picture">
                <pic:pic>
                  <pic:nvPicPr>
                    <pic:cNvPr id="0" name="sentiment_hist.png"/>
                    <pic:cNvPicPr/>
                  </pic:nvPicPr>
                  <pic:blipFill>
                    <a:blip r:embed="rId14"/>
                    <a:stretch>
                      <a:fillRect/>
                    </a:stretch>
                  </pic:blipFill>
                  <pic:spPr>
                    <a:xfrm>
                      <a:off x="0" y="0"/>
                      <a:ext cx="4754880" cy="2206164"/>
                    </a:xfrm>
                    <a:prstGeom prst="rect"/>
                  </pic:spPr>
                </pic:pic>
              </a:graphicData>
            </a:graphic>
          </wp:inline>
        </w:drawing>
      </w:r>
    </w:p>
    <w:p>
      <w:pPr>
        <w:spacing w:after="200"/>
        <w:jc w:val="center"/>
      </w:pPr>
      <w:r>
        <w:rPr>
          <w:rFonts w:ascii="Times New Roman" w:hAnsi="Times New Roman"/>
          <w:b/>
          <w:i/>
          <w:sz w:val="20"/>
        </w:rPr>
        <w:t xml:space="preserve">Hình 4. </w:t>
      </w:r>
      <w:r>
        <w:rPr>
          <w:rFonts w:ascii="Times New Roman" w:hAnsi="Times New Roman"/>
          <w:i w:val="0"/>
          <w:sz w:val="20"/>
        </w:rPr>
        <w:t>Phân phối điểm phân cực sắc thái cảm xúc (Polarity Score) từ mô hình PhoBERT đa lớp.</w:t>
      </w:r>
    </w:p>
    <w:p>
      <w:pPr>
        <w:spacing w:line="324" w:lineRule="auto" w:after="80"/>
        <w:ind w:firstLine="567"/>
        <w:jc w:val="both"/>
      </w:pPr>
      <w:r>
        <w:rPr>
          <w:rFonts w:ascii="Times New Roman" w:hAnsi="Times New Roman"/>
          <w:b w:val="0"/>
          <w:i w:val="0"/>
          <w:color w:val="000000"/>
          <w:sz w:val="24"/>
        </w:rPr>
        <w:t>Hình 4 minh họa phân phối điểm phân cực cảm xúc (Polarity Score) của 17.047 câu văn. Không giống như phân phối chữ U trong nghiên cứu của Kang và Kim (2022) vốn chỉ dùng 2 nhãn nhị phân, đồ thị phân phối của nghiên cứu này mang tính chất lưỡng đỉnh rõ rệt với hai đỉnh tập trung: Đỉnh thứ nhất tại mốc 0.50 tương ứng với 3.126 câu trung tính (chiếm 18.34%), và đỉnh khổng lồ thứ hai nằm sát mốc 0.95–1.00 đại diện cho 11.891 câu tích cực (chiếm 69.75%). Số lượng câu thực sự tiêu cực (Polarity &lt; 0.2) chỉ có 2.030 câu (chiếm 11.91%). Tỷ lệ áp đảo gần 70% câu tích cực là bằng chứng thực nghiệm khẳng định rằng báo cáo phát triển bền vững tại Việt Nam vẫn mang đậm tính chất quan hệ công chúng và quảng bá hình ảnh.</w:t>
      </w:r>
    </w:p>
    <w:p>
      <w:pPr>
        <w:keepNext/>
        <w:spacing w:before="200" w:after="80"/>
        <w:jc w:val="center"/>
      </w:pPr>
      <w:r>
        <w:drawing>
          <wp:inline xmlns:a="http://schemas.openxmlformats.org/drawingml/2006/main" xmlns:pic="http://schemas.openxmlformats.org/drawingml/2006/picture">
            <wp:extent cx="5303520" cy="7988055"/>
            <wp:docPr id="5" name="Picture 5"/>
            <wp:cNvGraphicFramePr>
              <a:graphicFrameLocks noChangeAspect="1"/>
            </wp:cNvGraphicFramePr>
            <a:graphic>
              <a:graphicData uri="http://schemas.openxmlformats.org/drawingml/2006/picture">
                <pic:pic>
                  <pic:nvPicPr>
                    <pic:cNvPr id="0" name="sentiment_by_company.png"/>
                    <pic:cNvPicPr/>
                  </pic:nvPicPr>
                  <pic:blipFill>
                    <a:blip r:embed="rId15"/>
                    <a:stretch>
                      <a:fillRect/>
                    </a:stretch>
                  </pic:blipFill>
                  <pic:spPr>
                    <a:xfrm>
                      <a:off x="0" y="0"/>
                      <a:ext cx="5303520" cy="7988055"/>
                    </a:xfrm>
                    <a:prstGeom prst="rect"/>
                  </pic:spPr>
                </pic:pic>
              </a:graphicData>
            </a:graphic>
          </wp:inline>
        </w:drawing>
      </w:r>
    </w:p>
    <w:p>
      <w:pPr>
        <w:spacing w:after="200"/>
        <w:jc w:val="center"/>
      </w:pPr>
      <w:r>
        <w:rPr>
          <w:rFonts w:ascii="Times New Roman" w:hAnsi="Times New Roman"/>
          <w:b/>
          <w:i/>
          <w:sz w:val="20"/>
        </w:rPr>
        <w:t xml:space="preserve">Hình 5. </w:t>
      </w:r>
      <w:r>
        <w:rPr>
          <w:rFonts w:ascii="Times New Roman" w:hAnsi="Times New Roman"/>
          <w:i w:val="0"/>
          <w:sz w:val="20"/>
        </w:rPr>
        <w:t>Cơ cấu tỷ lệ câu Tích cực, Trung tính, Tiêu cực và Tỷ số Pos/Neg Ratio theo từng doanh nghiệp.</w:t>
      </w:r>
    </w:p>
    <w:p>
      <w:pPr>
        <w:spacing w:line="324" w:lineRule="auto" w:after="80"/>
        <w:ind w:firstLine="567"/>
        <w:jc w:val="both"/>
      </w:pPr>
      <w:r>
        <w:rPr>
          <w:rFonts w:ascii="Times New Roman" w:hAnsi="Times New Roman"/>
          <w:b w:val="0"/>
          <w:i w:val="0"/>
          <w:color w:val="000000"/>
          <w:sz w:val="24"/>
        </w:rPr>
        <w:t>Bảng 6 và Hình 5 trình bày cơ cấu cảm xúc chi tiết theo từng báo cáo. Vinamilk duy trì tỷ số cảm xúc (Pos/Neg Ratio) cao nhất toàn mẫu, đạt đỉnh 11.97 vào năm 2020 (455 câu tích cực so với vỏn vẹn 38 câu tiêu cực) và 10.86 vào năm 2024. The PAN Group có tỷ số cảm xúc tương đối ổn định trong khoảng 5.40 đến 10.22. Petrolimex thể hiện phong cách báo cáo thận trọng hơn của một tập đoàn công nghiệp nhà nước, duy trì tỷ số Pos/Neg thấp nhất mẫu (3.00 đến 5.22, ngoại trừ năm mẫu mỏng 2024). Trường hợp dị biệt xuất hiện tại PNJ năm 2022: Tỷ số Pos/Neg sụt giảm xuống chỉ còn 1.33 (182 câu tích cực / 137 câu tiêu cực). Nguyên nhân bắt nguồn từ lỗi nhận diện OCR trên bản PDF scan ảnh: các khối văn bản bị vỡ chữ khiến mô hình PhoBERT phân loại nhầm hàng loạt câu thành nhãn Tiêu cực. Đây là một bài học thực tiễn về tầm quan trọng của việc kiểm soát chất lượng số hóa tài liệu trước khi phân tích NLP.</w:t>
      </w:r>
    </w:p>
    <w:p>
      <w:pPr>
        <w:keepNext/>
        <w:spacing w:before="240" w:after="20"/>
      </w:pPr>
      <w:r>
        <w:rPr>
          <w:rFonts w:ascii="Times New Roman" w:hAnsi="Times New Roman"/>
          <w:b/>
          <w:color w:val="000000"/>
          <w:sz w:val="21"/>
        </w:rPr>
        <w:t>Bảng 6</w:t>
      </w:r>
    </w:p>
    <w:p>
      <w:pPr>
        <w:keepNext/>
        <w:spacing w:before="0" w:after="80"/>
      </w:pPr>
      <w:r>
        <w:rPr>
          <w:rFonts w:ascii="Times New Roman" w:hAnsi="Times New Roman"/>
          <w:i/>
          <w:color w:val="000000"/>
          <w:sz w:val="21"/>
        </w:rPr>
        <w:t>Cơ cấu số lượng câu theo nhãn cảm xúc và tỷ số Pos/Neg Ratio qua các năm</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344"/>
        <w:gridCol w:w="1344"/>
        <w:gridCol w:w="1344"/>
        <w:gridCol w:w="1344"/>
        <w:gridCol w:w="1344"/>
        <w:gridCol w:w="1344"/>
        <w:gridCol w:w="1344"/>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Công ty</w:t>
            </w:r>
          </w:p>
        </w:tc>
        <w:tc>
          <w:tcPr>
            <w:tcW w:type="dxa" w:w="68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Năm</w:t>
            </w:r>
          </w:p>
        </w:tc>
        <w:tc>
          <w:tcPr>
            <w:tcW w:type="dxa" w:w="147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Tiêu cực (NEG)</w:t>
            </w:r>
          </w:p>
        </w:tc>
        <w:tc>
          <w:tcPr>
            <w:tcW w:type="dxa" w:w="147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Trung tính (NEU)</w:t>
            </w:r>
          </w:p>
        </w:tc>
        <w:tc>
          <w:tcPr>
            <w:tcW w:type="dxa" w:w="147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Tích cực (POS)</w:t>
            </w:r>
          </w:p>
        </w:tc>
        <w:tc>
          <w:tcPr>
            <w:tcW w:type="dxa" w:w="124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Tổng số câu</w:t>
            </w:r>
          </w:p>
        </w:tc>
        <w:tc>
          <w:tcPr>
            <w:tcW w:type="dxa" w:w="187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Tỷ số Pos/Neg Ratio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160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618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7.33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172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514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752</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7.79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88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139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607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834</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6.90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89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149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574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812</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6.45</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297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411</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5.40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115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613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788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10.22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127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534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730</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7.74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96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262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413</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4.76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118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216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413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747</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3.50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274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447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842</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3.69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30</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3.00*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182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246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587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1.015</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3.23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246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379</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4.47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28</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40</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9.33*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126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605</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5.22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128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587</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7.50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97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401</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541</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9.33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265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345</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7.79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137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182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338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1.33**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381</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510</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5.29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94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413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567</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4.39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499</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712</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4.71</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569</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6.66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455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553</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11.97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458</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585</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7.16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323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418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8.50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479</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643</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8.40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86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691</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10.86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163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713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954</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9.14</w:t>
            </w:r>
          </w:p>
        </w:tc>
      </w:tr>
    </w:tbl>
    <w:p>
      <w:pPr>
        <w:spacing w:before="60" w:after="160"/>
      </w:pPr>
      <w:r>
        <w:rPr>
          <w:rFonts w:ascii="Times New Roman" w:hAnsi="Times New Roman"/>
          <w:i/>
          <w:sz w:val="19"/>
        </w:rPr>
        <w:t xml:space="preserve">Ghi chú. </w:t>
      </w:r>
      <w:r>
        <w:rPr>
          <w:rFonts w:ascii="Times New Roman" w:hAnsi="Times New Roman"/>
          <w:i w:val="0"/>
          <w:sz w:val="19"/>
        </w:rPr>
        <w:t>Dấu (*) biểu thị mẫu mỏng dưới 80 câu; dấu (**) biểu thị báo cáo scan ảnh có nhiễu OCR.</w:t>
      </w:r>
    </w:p>
    <w:p>
      <w:pPr>
        <w:keepNext/>
        <w:spacing w:before="200" w:after="80"/>
        <w:jc w:val="center"/>
      </w:pPr>
      <w:r>
        <w:drawing>
          <wp:inline xmlns:a="http://schemas.openxmlformats.org/drawingml/2006/main" xmlns:pic="http://schemas.openxmlformats.org/drawingml/2006/picture">
            <wp:extent cx="5029200" cy="2707237"/>
            <wp:docPr id="6" name="Picture 6"/>
            <wp:cNvGraphicFramePr>
              <a:graphicFrameLocks noChangeAspect="1"/>
            </wp:cNvGraphicFramePr>
            <a:graphic>
              <a:graphicData uri="http://schemas.openxmlformats.org/drawingml/2006/picture">
                <pic:pic>
                  <pic:nvPicPr>
                    <pic:cNvPr id="0" name="sentiment_ratio.png"/>
                    <pic:cNvPicPr/>
                  </pic:nvPicPr>
                  <pic:blipFill>
                    <a:blip r:embed="rId16"/>
                    <a:stretch>
                      <a:fillRect/>
                    </a:stretch>
                  </pic:blipFill>
                  <pic:spPr>
                    <a:xfrm>
                      <a:off x="0" y="0"/>
                      <a:ext cx="5029200" cy="2707237"/>
                    </a:xfrm>
                    <a:prstGeom prst="rect"/>
                  </pic:spPr>
                </pic:pic>
              </a:graphicData>
            </a:graphic>
          </wp:inline>
        </w:drawing>
      </w:r>
    </w:p>
    <w:p>
      <w:pPr>
        <w:spacing w:after="200"/>
        <w:jc w:val="center"/>
      </w:pPr>
      <w:r>
        <w:rPr>
          <w:rFonts w:ascii="Times New Roman" w:hAnsi="Times New Roman"/>
          <w:b/>
          <w:i/>
          <w:sz w:val="20"/>
        </w:rPr>
        <w:t xml:space="preserve">Hình 6. </w:t>
      </w:r>
      <w:r>
        <w:rPr>
          <w:rFonts w:ascii="Times New Roman" w:hAnsi="Times New Roman"/>
          <w:i w:val="0"/>
          <w:sz w:val="20"/>
        </w:rPr>
        <w:t>Đường xu hướng biến thiên tỷ số Pos/Neg Ratio của 4 công ty giai đoạn 2018–2025.</w:t>
      </w:r>
    </w:p>
    <w:p>
      <w:pPr>
        <w:keepNext/>
        <w:spacing w:before="200" w:after="60"/>
      </w:pPr>
      <w:r>
        <w:rPr>
          <w:rFonts w:ascii="Times New Roman" w:hAnsi="Times New Roman"/>
          <w:b/>
          <w:color w:val="000000"/>
          <w:sz w:val="25"/>
        </w:rPr>
        <w:t>4.5. Phân tích Hiện tượng Tẩy xanh</w:t>
      </w:r>
    </w:p>
    <w:p>
      <w:pPr>
        <w:keepNext/>
        <w:spacing w:before="200" w:after="80"/>
        <w:jc w:val="center"/>
      </w:pPr>
      <w:r>
        <w:drawing>
          <wp:inline xmlns:a="http://schemas.openxmlformats.org/drawingml/2006/main" xmlns:pic="http://schemas.openxmlformats.org/drawingml/2006/picture">
            <wp:extent cx="5120640" cy="1501005"/>
            <wp:docPr id="7" name="Picture 7"/>
            <wp:cNvGraphicFramePr>
              <a:graphicFrameLocks noChangeAspect="1"/>
            </wp:cNvGraphicFramePr>
            <a:graphic>
              <a:graphicData uri="http://schemas.openxmlformats.org/drawingml/2006/picture">
                <pic:pic>
                  <pic:nvPicPr>
                    <pic:cNvPr id="0" name="greenwashing_score.png"/>
                    <pic:cNvPicPr/>
                  </pic:nvPicPr>
                  <pic:blipFill>
                    <a:blip r:embed="rId17"/>
                    <a:stretch>
                      <a:fillRect/>
                    </a:stretch>
                  </pic:blipFill>
                  <pic:spPr>
                    <a:xfrm>
                      <a:off x="0" y="0"/>
                      <a:ext cx="5120640" cy="1501005"/>
                    </a:xfrm>
                    <a:prstGeom prst="rect"/>
                  </pic:spPr>
                </pic:pic>
              </a:graphicData>
            </a:graphic>
          </wp:inline>
        </w:drawing>
      </w:r>
    </w:p>
    <w:p>
      <w:pPr>
        <w:spacing w:after="200"/>
        <w:jc w:val="center"/>
      </w:pPr>
      <w:r>
        <w:rPr>
          <w:rFonts w:ascii="Times New Roman" w:hAnsi="Times New Roman"/>
          <w:b/>
          <w:i/>
          <w:sz w:val="20"/>
        </w:rPr>
        <w:t xml:space="preserve">Hình 7. </w:t>
      </w:r>
      <w:r>
        <w:rPr>
          <w:rFonts w:ascii="Times New Roman" w:hAnsi="Times New Roman"/>
          <w:i w:val="0"/>
          <w:sz w:val="20"/>
        </w:rPr>
        <w:t>Biểu đồ nhiệt điểm rủi ro Tẩy xanh (Greenwashing Score) và xếp hạng rủi ro giữa các công ty.</w:t>
      </w:r>
    </w:p>
    <w:p>
      <w:pPr>
        <w:spacing w:line="324" w:lineRule="auto" w:after="80"/>
        <w:ind w:firstLine="567"/>
        <w:jc w:val="both"/>
      </w:pPr>
      <w:r>
        <w:rPr>
          <w:rFonts w:ascii="Times New Roman" w:hAnsi="Times New Roman"/>
          <w:b w:val="0"/>
          <w:i w:val="0"/>
          <w:color w:val="000000"/>
          <w:sz w:val="24"/>
        </w:rPr>
        <w:t>Hình 7 và Bảng 7 thể hiện kết quả tính toán Chỉ số Rủi ro Tẩy xanh (Greenwashing Score - GW) đối sánh giữa biến động giá cổ phiếu trên HOSE và sự thay đổi tỷ số cảm xúc trong báo cáo. Kết quả phân tích làm nổi bật sự phân hóa sâu sắc về tính trung thực thông tin giữa các doanh nghiệp:</w:t>
        <w:br/>
        <w:t>1. Petrolimex ghi nhận rủi ro Tẩy xanh cao nhất toàn mẫu với GW trung bình đạt 0.68 và có 2/3 năm thị trường sụt giảm xuất hiện biểu hiện tô hồng. Điểm số GW đạt cực đại vào năm 2022 với mức GW = 2.39 (mức Trung bình): trong năm này, giá cổ phiếu PLX lao dốc mạnh -31.86%, tuy nhiên báo cáo bền vững của PLX lại gia tăng tỷ số lạc quan thêm +7.51% (Ratio tăng từ 3.00 lên 3.23). Tình trạng tương tự tiếp diễn vào năm 2023 khi giá PLX giảm thêm -4.32% nhưng giọng văn báo cáo lại tăng vọt +38.68% (Ratio tăng lên 4.47, GW = 1.67). Điều này phản ánh áp lực truyền thông to lớn trong việc giải trình tiến độ chuyển dịch năng lượng xanh.</w:t>
        <w:br/>
        <w:t>2. Ngược lại, The PAN Group thể hiện tính minh bạch và trung thực cao. Năm 2022, khi thị trường nông nghiệp gặp khó khăn khiến giá cổ phiếu PAN sụt giảm tới -40.00%, tỷ số cảm xúc trong báo cáo của PAN cũng đồng pha suy giảm -6.50% (Ratio giảm từ 6.90 xuống 6.45). Doanh nghiệp được phân loại 'Trung thực' và duy trì chỉ số GW trung bình bằng 0.00 suốt toàn bộ chuỗi thời gian.</w:t>
        <w:br/>
        <w:t>3. Vinamilk thể hiện tính trung thực cao trong năm 2021 khi thị trường điều chỉnh (-15.35%) và tỷ số cảm xúc giảm mạnh tương ứng (-40.23%). Tuy nhiên, vào các năm 2022 và 2024, Vinamilk xuất hiện rủi ro tẩy xanh nhẹ (GW lần lượt là 0.43 và 0.56) khi giá cổ phiếu đi ngang/giảm nhẹ nhưng báo cáo lại gia tăng mạnh các câu từ ca ngợi thành tích trung hòa carbon.</w:t>
      </w:r>
    </w:p>
    <w:p>
      <w:pPr>
        <w:keepNext/>
        <w:spacing w:before="240" w:after="20"/>
      </w:pPr>
      <w:r>
        <w:rPr>
          <w:rFonts w:ascii="Times New Roman" w:hAnsi="Times New Roman"/>
          <w:b/>
          <w:color w:val="000000"/>
          <w:sz w:val="21"/>
        </w:rPr>
        <w:t>Bảng 7</w:t>
      </w:r>
    </w:p>
    <w:p>
      <w:pPr>
        <w:keepNext/>
        <w:spacing w:before="0" w:after="80"/>
      </w:pPr>
      <w:r>
        <w:rPr>
          <w:rFonts w:ascii="Times New Roman" w:hAnsi="Times New Roman"/>
          <w:i/>
          <w:color w:val="000000"/>
          <w:sz w:val="21"/>
        </w:rPr>
        <w:t>Kết quả tính toán biến động giá cổ phiếu, tỷ số cảm xúc và chỉ số Greenwashing Score (GW)</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5"/>
        <w:gridCol w:w="1045"/>
        <w:gridCol w:w="1045"/>
        <w:gridCol w:w="1045"/>
        <w:gridCol w:w="1045"/>
        <w:gridCol w:w="1045"/>
        <w:gridCol w:w="1045"/>
        <w:gridCol w:w="1045"/>
        <w:gridCol w:w="1045"/>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Công ty</w:t>
            </w:r>
          </w:p>
        </w:tc>
        <w:tc>
          <w:tcPr>
            <w:tcW w:type="dxa" w:w="68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Năm</w:t>
            </w:r>
          </w:p>
        </w:tc>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câu</w:t>
            </w:r>
          </w:p>
        </w:tc>
        <w:tc>
          <w:tcPr>
            <w:tcW w:type="dxa" w:w="124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Δ Giá CP</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Tỷ số Ratio</w:t>
            </w:r>
          </w:p>
        </w:tc>
        <w:tc>
          <w:tcPr>
            <w:tcW w:type="dxa" w:w="113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Δ Ratio</w:t>
            </w:r>
          </w:p>
        </w:tc>
        <w:tc>
          <w:tcPr>
            <w:tcW w:type="dxa" w:w="147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Phản ứng thị trường</w:t>
            </w:r>
          </w:p>
        </w:tc>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Điểm GW</w:t>
            </w:r>
          </w:p>
        </w:tc>
        <w:tc>
          <w:tcPr>
            <w:tcW w:type="dxa" w:w="158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Mức độ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752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+14.35%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7.79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+6.29%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834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+16.10%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6.90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-11.43%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812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-40.00%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6.45</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-6.50%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Trung thực</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Trung thực</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411</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+21.55%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5.40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-16.27%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788</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+21.20%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10.22</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+89.20%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730</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+20.61%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7.74</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-24.25%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842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3.69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+5.55%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48</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+16.88%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3.00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-18.79%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 (mẫu mỏng)</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1.015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-31.86%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3.23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+7.51%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Phân kỳ dương</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2.39</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Trung bình</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379</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-4.32%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4.47</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+38.68%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Phân kỳ dương</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1.67</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Nhẹ</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40</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+18.63%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9.33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+108.67%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 (mẫu mỏng)</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605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-7.64%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5.22</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-44.06%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541</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+1.50%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9.33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+24.34%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345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+27.15%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7.79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-16.42%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338</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+18.61%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1.33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-82.96%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Giá tăng</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 (nhiễu OCR)</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510</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+3.38%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+298.33%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567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+8.85%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-16.97%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712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+34.34%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+7.15%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553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+18.09%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11.97</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+79.90%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585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-15.35%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7.16</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Trung thực</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Trung thực</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418</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-2.29%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8.50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+18.78%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Phân kỳ dương</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0.43</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Nhẹ</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643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-9.54%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8.40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-1.14%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691</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-1.93%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10.86</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+29.26%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Phân kỳ dương</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0.56</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Nhẹ</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954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+23.04%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9.14</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-15.85%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Không phân loại</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587"/>
            <w:tcMar>
              <w:top w:w="80" w:type="dxa"/>
              <w:bottom w:w="80" w:type="dxa"/>
              <w:left w:w="140" w:type="dxa"/>
              <w:right w:w="140" w:type="dxa"/>
            </w:tcMar>
          </w:tcPr>
          <w:p>
            <w:pPr>
              <w:spacing w:before="20" w:after="20"/>
              <w:jc w:val="center"/>
            </w:pPr>
            <w:r>
              <w:rPr>
                <w:rFonts w:ascii="Times New Roman" w:hAnsi="Times New Roman"/>
                <w:color w:val="000000"/>
                <w:sz w:val="17"/>
              </w:rPr>
              <w:t>Không rủi ro</w:t>
            </w:r>
          </w:p>
        </w:tc>
      </w:tr>
    </w:tbl>
    <w:p>
      <w:pPr>
        <w:spacing w:before="60" w:after="160"/>
      </w:pPr>
      <w:r>
        <w:rPr>
          <w:rFonts w:ascii="Times New Roman" w:hAnsi="Times New Roman"/>
          <w:i/>
          <w:sz w:val="19"/>
        </w:rPr>
        <w:t xml:space="preserve">Ghi chú. </w:t>
      </w:r>
      <w:r>
        <w:rPr>
          <w:rFonts w:ascii="Times New Roman" w:hAnsi="Times New Roman"/>
          <w:i w:val="0"/>
          <w:sz w:val="19"/>
        </w:rPr>
        <w:t>Điểm GW tính theo công thức [max(0, -ΔGiá%) × max(0, ΔRatio%)] / 100.</w:t>
      </w:r>
    </w:p>
    <w:p>
      <w:pPr>
        <w:keepNext/>
        <w:spacing w:before="240" w:after="20"/>
      </w:pPr>
      <w:r>
        <w:rPr>
          <w:rFonts w:ascii="Times New Roman" w:hAnsi="Times New Roman"/>
          <w:b/>
          <w:color w:val="000000"/>
          <w:sz w:val="21"/>
        </w:rPr>
        <w:t>Bảng 8</w:t>
      </w:r>
    </w:p>
    <w:p>
      <w:pPr>
        <w:keepNext/>
        <w:spacing w:before="0" w:after="80"/>
      </w:pPr>
      <w:r>
        <w:rPr>
          <w:rFonts w:ascii="Times New Roman" w:hAnsi="Times New Roman"/>
          <w:i/>
          <w:color w:val="000000"/>
          <w:sz w:val="21"/>
        </w:rPr>
        <w:t>Bảng xếp hạng mức độ rủi ro Tẩy xanh tổng hợp giữa 4 doanh nghiệp nghiên cứu</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5"/>
        <w:gridCol w:w="1045"/>
        <w:gridCol w:w="1045"/>
        <w:gridCol w:w="1045"/>
        <w:gridCol w:w="1045"/>
        <w:gridCol w:w="1045"/>
        <w:gridCol w:w="1045"/>
        <w:gridCol w:w="1045"/>
        <w:gridCol w:w="1045"/>
      </w:tblGrid>
      <w:tr>
        <w:trPr>
          <w:tblHeader/>
        </w:trPr>
        <w:tc>
          <w:tcPr>
            <w:tcW w:type="dxa" w:w="68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Hạng</w:t>
            </w:r>
          </w:p>
        </w:tc>
        <w:tc>
          <w:tcPr>
            <w:tcW w:type="dxa" w:w="198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Doanh nghiệp</w:t>
            </w:r>
          </w:p>
        </w:tc>
        <w:tc>
          <w:tcPr>
            <w:tcW w:type="dxa" w:w="124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năm tính toán (n)</w:t>
            </w:r>
          </w:p>
        </w:tc>
        <w:tc>
          <w:tcPr>
            <w:tcW w:type="dxa" w:w="113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năm giá giảm</w:t>
            </w:r>
          </w:p>
        </w:tc>
        <w:tc>
          <w:tcPr>
            <w:tcW w:type="dxa" w:w="113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năm GW &gt; 0</w:t>
            </w:r>
          </w:p>
        </w:tc>
        <w:tc>
          <w:tcPr>
            <w:tcW w:type="dxa" w:w="113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GW trung bình</w:t>
            </w:r>
          </w:p>
        </w:tc>
        <w:tc>
          <w:tcPr>
            <w:tcW w:type="dxa" w:w="113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GW cực đại</w:t>
            </w:r>
          </w:p>
        </w:tc>
        <w:tc>
          <w:tcPr>
            <w:tcW w:type="dxa" w:w="113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Năm đạt GW Max</w:t>
            </w:r>
          </w:p>
        </w:tc>
        <w:tc>
          <w:tcPr>
            <w:tcW w:type="dxa" w:w="119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Số năm Trung thực</w:t>
            </w:r>
          </w:p>
        </w:tc>
      </w:tr>
      <w:tr>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1</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Petrolimex (PLX)</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3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2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0.68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2.39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Năm 2022</w:t>
            </w:r>
          </w:p>
        </w:tc>
        <w:tc>
          <w:tcPr>
            <w:tcW w:type="dxa" w:w="1191"/>
            <w:tcMar>
              <w:top w:w="80" w:type="dxa"/>
              <w:bottom w:w="80" w:type="dxa"/>
              <w:left w:w="140" w:type="dxa"/>
              <w:right w:w="140" w:type="dxa"/>
            </w:tcMar>
          </w:tcPr>
          <w:p>
            <w:pPr>
              <w:spacing w:before="20" w:after="20"/>
              <w:jc w:val="center"/>
            </w:pPr>
            <w:r>
              <w:rPr>
                <w:rFonts w:ascii="Times New Roman" w:hAnsi="Times New Roman"/>
                <w:color w:val="000000"/>
                <w:sz w:val="17"/>
              </w:rPr>
              <w:t>0 năm</w:t>
            </w:r>
          </w:p>
        </w:tc>
      </w:tr>
      <w:tr>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Vinamilk (VNM)</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2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0.17</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0.56</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Năm 2024</w:t>
            </w:r>
          </w:p>
        </w:tc>
        <w:tc>
          <w:tcPr>
            <w:tcW w:type="dxa" w:w="1191"/>
            <w:tcMar>
              <w:top w:w="80" w:type="dxa"/>
              <w:bottom w:w="80" w:type="dxa"/>
              <w:left w:w="140" w:type="dxa"/>
              <w:right w:w="140" w:type="dxa"/>
            </w:tcMar>
          </w:tcPr>
          <w:p>
            <w:pPr>
              <w:spacing w:before="20" w:after="20"/>
              <w:jc w:val="center"/>
            </w:pPr>
            <w:r>
              <w:rPr>
                <w:rFonts w:ascii="Times New Roman" w:hAnsi="Times New Roman"/>
                <w:color w:val="000000"/>
                <w:sz w:val="17"/>
              </w:rPr>
              <w:t>1 năm (2021)</w:t>
            </w:r>
          </w:p>
        </w:tc>
      </w:tr>
      <w:tr>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3</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The PAN Group (PAN)</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1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w:t>
            </w:r>
          </w:p>
        </w:tc>
        <w:tc>
          <w:tcPr>
            <w:tcW w:type="dxa" w:w="1191"/>
            <w:tcMar>
              <w:top w:w="80" w:type="dxa"/>
              <w:bottom w:w="80" w:type="dxa"/>
              <w:left w:w="140" w:type="dxa"/>
              <w:right w:w="140" w:type="dxa"/>
            </w:tcMar>
          </w:tcPr>
          <w:p>
            <w:pPr>
              <w:spacing w:before="20" w:after="20"/>
              <w:jc w:val="center"/>
            </w:pPr>
            <w:r>
              <w:rPr>
                <w:rFonts w:ascii="Times New Roman" w:hAnsi="Times New Roman"/>
                <w:color w:val="000000"/>
                <w:sz w:val="17"/>
              </w:rPr>
              <w:t>1 năm (2022)</w:t>
            </w:r>
          </w:p>
        </w:tc>
      </w:tr>
      <w:tr>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4</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 (PNJ)</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 năm</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w:t>
            </w:r>
          </w:p>
        </w:tc>
        <w:tc>
          <w:tcPr>
            <w:tcW w:type="dxa" w:w="1191"/>
            <w:tcMar>
              <w:top w:w="80" w:type="dxa"/>
              <w:bottom w:w="80" w:type="dxa"/>
              <w:left w:w="140" w:type="dxa"/>
              <w:right w:w="140" w:type="dxa"/>
            </w:tcMar>
          </w:tcPr>
          <w:p>
            <w:pPr>
              <w:spacing w:before="20" w:after="20"/>
              <w:jc w:val="center"/>
            </w:pPr>
            <w:r>
              <w:rPr>
                <w:rFonts w:ascii="Times New Roman" w:hAnsi="Times New Roman"/>
                <w:color w:val="000000"/>
                <w:sz w:val="17"/>
              </w:rPr>
              <w:t>0 năm</w:t>
            </w:r>
          </w:p>
        </w:tc>
      </w:tr>
    </w:tbl>
    <w:p>
      <w:pPr>
        <w:spacing w:before="60" w:after="160"/>
      </w:pPr>
      <w:r>
        <w:rPr>
          <w:rFonts w:ascii="Times New Roman" w:hAnsi="Times New Roman"/>
          <w:i/>
          <w:sz w:val="19"/>
        </w:rPr>
        <w:t xml:space="preserve">Ghi chú. </w:t>
      </w:r>
      <w:r>
        <w:rPr>
          <w:rFonts w:ascii="Times New Roman" w:hAnsi="Times New Roman"/>
          <w:i w:val="0"/>
          <w:sz w:val="19"/>
        </w:rPr>
        <w:t>Xếp hạng dựa trên giá trị GW trung bình qua chuỗi thời gian 2020–2025.</w:t>
      </w:r>
    </w:p>
    <w:p>
      <w:pPr>
        <w:keepNext/>
        <w:spacing w:before="200" w:after="60"/>
      </w:pPr>
      <w:r>
        <w:rPr>
          <w:rFonts w:ascii="Times New Roman" w:hAnsi="Times New Roman"/>
          <w:b/>
          <w:color w:val="000000"/>
          <w:sz w:val="25"/>
        </w:rPr>
        <w:t>4.6. Kiểm định Tương quan giữa Giá Cổ phiếu và Sắc thái Báo cáo</w:t>
      </w:r>
    </w:p>
    <w:p>
      <w:pPr>
        <w:keepNext/>
        <w:spacing w:before="200" w:after="80"/>
        <w:jc w:val="center"/>
      </w:pPr>
      <w:r>
        <w:drawing>
          <wp:inline xmlns:a="http://schemas.openxmlformats.org/drawingml/2006/main" xmlns:pic="http://schemas.openxmlformats.org/drawingml/2006/picture">
            <wp:extent cx="5486400" cy="6912021"/>
            <wp:docPr id="8" name="Picture 8"/>
            <wp:cNvGraphicFramePr>
              <a:graphicFrameLocks noChangeAspect="1"/>
            </wp:cNvGraphicFramePr>
            <a:graphic>
              <a:graphicData uri="http://schemas.openxmlformats.org/drawingml/2006/picture">
                <pic:pic>
                  <pic:nvPicPr>
                    <pic:cNvPr id="0" name="stock_vs_sentiment_greenwashing.png"/>
                    <pic:cNvPicPr/>
                  </pic:nvPicPr>
                  <pic:blipFill>
                    <a:blip r:embed="rId18"/>
                    <a:stretch>
                      <a:fillRect/>
                    </a:stretch>
                  </pic:blipFill>
                  <pic:spPr>
                    <a:xfrm>
                      <a:off x="0" y="0"/>
                      <a:ext cx="5486400" cy="6912021"/>
                    </a:xfrm>
                    <a:prstGeom prst="rect"/>
                  </pic:spPr>
                </pic:pic>
              </a:graphicData>
            </a:graphic>
          </wp:inline>
        </w:drawing>
      </w:r>
    </w:p>
    <w:p>
      <w:pPr>
        <w:spacing w:after="200"/>
        <w:jc w:val="center"/>
      </w:pPr>
      <w:r>
        <w:rPr>
          <w:rFonts w:ascii="Times New Roman" w:hAnsi="Times New Roman"/>
          <w:b/>
          <w:i/>
          <w:sz w:val="20"/>
        </w:rPr>
        <w:t xml:space="preserve">Hình 8. </w:t>
      </w:r>
      <w:r>
        <w:rPr>
          <w:rFonts w:ascii="Times New Roman" w:hAnsi="Times New Roman"/>
          <w:i w:val="0"/>
          <w:sz w:val="20"/>
        </w:rPr>
        <w:t>Đối sánh chuỗi giá cổ phiếu tháng và tỷ số cảm xúc năm (chuẩn hóa Index 100) kèm nhãn Tẩy xanh.</w:t>
      </w:r>
    </w:p>
    <w:p>
      <w:pPr>
        <w:spacing w:line="324" w:lineRule="auto" w:after="80"/>
        <w:ind w:firstLine="567"/>
        <w:jc w:val="both"/>
      </w:pPr>
      <w:r>
        <w:rPr>
          <w:rFonts w:ascii="Times New Roman" w:hAnsi="Times New Roman"/>
          <w:b w:val="0"/>
          <w:i w:val="0"/>
          <w:color w:val="000000"/>
          <w:sz w:val="24"/>
        </w:rPr>
        <w:t>Hình 8 thể hiện mối quan hệ động giữa đường giá cổ phiếu giao dịch theo tháng trên HOSE (đường màu xanh, chuẩn hóa gốc 100) và tỷ số cảm xúc theo năm dạng ziczac. Các khoảng thời gian xuất hiện hiện tượng tẩy xanh hoặc trung thực được tô bóng tương ứng. Bảng 9 trình bày kết quả kiểm định tương quan tuyến tính Pearson (r) và tương quan phi tham số Spearman (ρ) giữa phần trăm thay đổi giá cổ phiếu hàng năm và phần trăm thay đổi của tỷ số cảm xúc Pos/Neg Ratio.</w:t>
      </w:r>
    </w:p>
    <w:p>
      <w:pPr>
        <w:keepNext/>
        <w:spacing w:before="240" w:after="20"/>
      </w:pPr>
      <w:r>
        <w:rPr>
          <w:rFonts w:ascii="Times New Roman" w:hAnsi="Times New Roman"/>
          <w:b/>
          <w:color w:val="000000"/>
          <w:sz w:val="21"/>
        </w:rPr>
        <w:t>Bảng 9</w:t>
      </w:r>
    </w:p>
    <w:p>
      <w:pPr>
        <w:keepNext/>
        <w:spacing w:before="0" w:after="80"/>
      </w:pPr>
      <w:r>
        <w:rPr>
          <w:rFonts w:ascii="Times New Roman" w:hAnsi="Times New Roman"/>
          <w:i/>
          <w:color w:val="000000"/>
          <w:sz w:val="21"/>
        </w:rPr>
        <w:t>Ma trận hệ số tương quan giữa biến động giá cổ phiếu và biến động sắc thái cảm xúc báo cáo</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344"/>
        <w:gridCol w:w="1344"/>
        <w:gridCol w:w="1344"/>
        <w:gridCol w:w="1344"/>
        <w:gridCol w:w="1344"/>
        <w:gridCol w:w="1344"/>
        <w:gridCol w:w="1344"/>
      </w:tblGrid>
      <w:tr>
        <w:trPr>
          <w:tblHeader/>
        </w:trPr>
        <w:tc>
          <w:tcPr>
            <w:tcW w:type="dxa" w:w="198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Doanh nghiệp</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Cỡ mẫu (n)</w:t>
            </w:r>
          </w:p>
        </w:tc>
        <w:tc>
          <w:tcPr>
            <w:tcW w:type="dxa" w:w="124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Hệ số Pearson r</w:t>
            </w:r>
          </w:p>
        </w:tc>
        <w:tc>
          <w:tcPr>
            <w:tcW w:type="dxa" w:w="141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p-value (Pearson)</w:t>
            </w:r>
          </w:p>
        </w:tc>
        <w:tc>
          <w:tcPr>
            <w:tcW w:type="dxa" w:w="124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Hệ số Spearman ρ</w:t>
            </w:r>
          </w:p>
        </w:tc>
        <w:tc>
          <w:tcPr>
            <w:tcW w:type="dxa" w:w="141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p-value (Spearman)</w:t>
            </w:r>
          </w:p>
        </w:tc>
        <w:tc>
          <w:tcPr>
            <w:tcW w:type="dxa" w:w="215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Kết luận thống kê</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The PAN Group (PAN)</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+0.173</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0.744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-0.257</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0.623</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Không tương quan (p &gt; 0.10)</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Petrolimex (PLX)</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+0.352</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0.494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+0.314</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0.544</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Không tương quan (p &gt; 0.10)</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 (PNJ)</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-0.470</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0.347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-0.429</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0.397</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Không tương quan (p &gt; 0.10)</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Vinamilk (VNM)</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+0.462</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0.356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+0.429</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0.397</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Không tương quan (p &gt; 0.10)</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Toàn bộ mẫu gộp (Pool)</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24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+0.030</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0.890</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-0.047</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0.828</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Hoàn toàn độc lập (p = 0.89)</w:t>
            </w:r>
          </w:p>
        </w:tc>
      </w:tr>
    </w:tbl>
    <w:p>
      <w:pPr>
        <w:spacing w:before="60" w:after="160"/>
      </w:pPr>
      <w:r>
        <w:rPr>
          <w:rFonts w:ascii="Times New Roman" w:hAnsi="Times New Roman"/>
          <w:i/>
          <w:sz w:val="19"/>
        </w:rPr>
        <w:t xml:space="preserve">Ghi chú. </w:t>
      </w:r>
      <w:r>
        <w:rPr>
          <w:rFonts w:ascii="Times New Roman" w:hAnsi="Times New Roman"/>
          <w:i w:val="0"/>
          <w:sz w:val="19"/>
        </w:rPr>
        <w:t>Kiểm định hai phía (two-tailed test), mức ý nghĩa thống kê α = 0.05.</w:t>
      </w:r>
    </w:p>
    <w:p>
      <w:pPr>
        <w:spacing w:line="324" w:lineRule="auto" w:after="80"/>
        <w:ind w:firstLine="567"/>
        <w:jc w:val="both"/>
      </w:pPr>
      <w:r>
        <w:rPr>
          <w:rFonts w:ascii="Times New Roman" w:hAnsi="Times New Roman"/>
          <w:b w:val="0"/>
          <w:i w:val="0"/>
          <w:color w:val="000000"/>
          <w:sz w:val="24"/>
        </w:rPr>
        <w:t>Kết quả kiểm định trên mẫu gộp (n = 24 quan sát) cho thấy hệ số tương quan Pearson xấp xỉ bằng không (r = +0.030, p = 0.890) và Spearman ρ = -0.047 (p = 0.828). Ở cấp độ từng doanh nghiệp riêng lẻ, dù Vinamilk có tương quan dương vừa phải (r = +0.462) và PNJ có tương quan âm (r = -0.470), tất cả các giá trị p-value đều vượt xa ngưỡng ý nghĩa thống kê chuẩn (p &gt; 0.30). Kết quả thực nghiệm này khẳng định một kết luận kinh tế quan trọng: Tại thị trường chứng khoán Việt Nam, giọng điệu và mức độ lạc quan của báo cáo phát triển bền vững hoàn toàn tách rời khỏi biến động giá trị thị trường của cổ phiếu. Nhà đầu tư chứng khoán Việt Nam chưa định giá trực tiếp các thông điệp văn bản bền vững vào thị giá, tạo điều kiện cho các doanh nghiệp tiếp tục duy trì chiến lược tẩy xanh truyền thông mà không lo ngại rủi ro bị trừng phạt tài chính tức thì (Seele &amp; Gatti, 2017; Tran &amp; Beddewela, 2020).</w:t>
      </w:r>
    </w:p>
    <w:p>
      <w:r>
        <w:br w:type="page"/>
      </w:r>
    </w:p>
    <w:p>
      <w:pPr>
        <w:keepNext/>
        <w:spacing w:before="280" w:after="80"/>
      </w:pPr>
      <w:r>
        <w:rPr>
          <w:rFonts w:ascii="Times New Roman" w:hAnsi="Times New Roman"/>
          <w:b/>
          <w:color w:val="000000"/>
          <w:sz w:val="26"/>
        </w:rPr>
        <w:t>5. THẢO LUẬN</w:t>
      </w:r>
    </w:p>
    <w:p>
      <w:pPr>
        <w:keepNext/>
        <w:spacing w:before="200" w:after="60"/>
      </w:pPr>
      <w:r>
        <w:rPr>
          <w:rFonts w:ascii="Times New Roman" w:hAnsi="Times New Roman"/>
          <w:b/>
          <w:color w:val="000000"/>
          <w:sz w:val="25"/>
        </w:rPr>
        <w:t>5.1. Thực trạng Báo cáo Bền vững tại Việt Nam qua Lăng kính NLP</w:t>
      </w:r>
    </w:p>
    <w:p>
      <w:pPr>
        <w:spacing w:line="324" w:lineRule="auto" w:after="80"/>
        <w:ind w:firstLine="567"/>
        <w:jc w:val="both"/>
      </w:pPr>
      <w:r>
        <w:rPr>
          <w:rFonts w:ascii="Times New Roman" w:hAnsi="Times New Roman"/>
          <w:b w:val="0"/>
          <w:i w:val="0"/>
          <w:color w:val="000000"/>
          <w:sz w:val="24"/>
        </w:rPr>
        <w:t>Phân tích thực nghiệm trên 17.047 câu văn từ 29 báo cáo đã phác họa bức tranh chân thực về hiện trạng công bố thông tin ESG tại Việt Nam. Mặc dù khuôn khổ pháp lý (Thông tư 96/2020/TT-BTC) đã tạo ra một lực đẩy mạnh mẽ, văn hóa báo cáo của doanh nghiệp Việt vẫn mang đặc trưng chọn lọc có lợi (Heras-Saizarbitoria et al., 2022). Sự thống trị tuyệt đối của nhóm Kinh tế và sự lép vế có hệ thống của nhóm Công bằng chỉ ra rằng doanh nghiệp đang cố gắng khoác chiếc áo bền vững lên các mục tiêu kinh doanh truyền thống (Arvidsson &amp; Dumay, 2022). Đặc biệt, điểm tương đồng của SDG 5 (Bình đẳng giới) chỉ đạt bình quân 38.70/100, phản ánh khoảng trống trong chính sách quản trị nhân sự, tiền lương bình đẳng và trao quyền cho nữ giới – điều hoàn toàn khớp với xếp hạng trung bình (72/146) của Việt Nam theo Báo cáo Khoảng cách Giới Toàn cầu 2024 của Diễn đàn Kinh tế Thế giới (WEF).</w:t>
      </w:r>
    </w:p>
    <w:p>
      <w:pPr>
        <w:keepNext/>
        <w:spacing w:before="200" w:after="60"/>
      </w:pPr>
      <w:r>
        <w:rPr>
          <w:rFonts w:ascii="Times New Roman" w:hAnsi="Times New Roman"/>
          <w:b/>
          <w:color w:val="000000"/>
          <w:sz w:val="25"/>
        </w:rPr>
        <w:t>5.2. Giải phẫu Hành trình Bền vững của 4 Doanh nghiệp Nghiên cứu</w:t>
      </w:r>
    </w:p>
    <w:p>
      <w:pPr>
        <w:spacing w:line="324" w:lineRule="auto" w:after="80"/>
        <w:ind w:firstLine="567"/>
        <w:jc w:val="both"/>
      </w:pPr>
      <w:r>
        <w:rPr>
          <w:rFonts w:ascii="Times New Roman" w:hAnsi="Times New Roman"/>
          <w:b w:val="0"/>
          <w:i w:val="0"/>
          <w:color w:val="000000"/>
          <w:sz w:val="24"/>
        </w:rPr>
        <w:t>Bốn doanh nghiệp trong mẫu nghiên cứu đại diện cho các mô hình ứng xử và chiến lược bền vững đặc trưng trong nền kinh tế Việt Nam:</w:t>
        <w:br/>
        <w:t>Vinamilk đại diện cho mô hình tiên phong chuẩn mực quốc tế: Là doanh nghiệp có lịch sử báo cáo GRI liên tục từ năm 2012, Vinamilk thể hiện năng lực quản trị dữ liệu vượt trội. Sự bứt phá điểm số vào năm 2025 gắn liền với các chứng nhận trung hòa carbon PAS 2060 độc lập và công bố CDP. Tuy nhiên, việc duy trì tỷ số cảm xúc quá cao (11.97 năm 2020 và 10.86 năm 2024) cũng đặt ra dấu hỏi về sự thận trọng trước nguy cơ nói trước làm sau khi các mục tiêu Net Zero 2050 còn ở chặng đường dài.</w:t>
        <w:br/>
        <w:t>The PAN Group đại diện cho mô hình nông nghiệp bền vững thực chất: Với đặc thù ngành nông nghiệp và xuất khẩu thủy sản sang các thị trường khắt khe, PAN bắt buộc phải tuân thủ các chuẩn mực nuôi trồng bền vững quốc tế (ASC, BAP). Điểm số của PAN phản ánh tính thực chất cao, thể hiện rõ nhất qua tính trung thực trong năm 2022 khi doanh nghiệp dũng cảm giảm tỷ lệ ngôn từ ca ngợi để phản ánh đúng áp lực chi phí đầu vào và lạm phát.</w:t>
        <w:br/>
        <w:t>Petrolimex đại diện cho nghịch lý của doanh nghiệp năng lượng hóa thạch chuyển dịch: Là tập đoàn xăng dầu nhà nước chiếm 50% thị phần, PLX đối mặt với áp lực giảm phát thải khổng lồ. Các nỗ lực thương mại hóa Diesel Euro 5 và lắp đặt trạm sạc xe điện là rất đáng ghi nhận, nhưng sự phân kỳ sâu sắc giữa giá cổ phiếu sụt giảm và giọng văn tô hồng trong năm 2022–2023 (GW = 2.39 và 1.67) cho thấy tâm lý né tránh rủi ro truyền thông điển hình của khối doanh nghiệp nhà nước.</w:t>
        <w:br/>
        <w:t>PNJ đại diện cho mô hình tiên phong về bình đẳng giới và quản trị: PNJ là hình mẫu hiếm hoi tại Việt Nam lập tiểu ban ESG thuộc Hội đồng Quản trị từ sớm và tập trung thực chất vào bình đẳng giới. Tuy nhiên, sự cố báo cáo scan năm 2022 là lời cảnh tỉnh: Nếu doanh nghiệp không chuẩn hóa định dạng số hóa tài liệu, các hệ thống AI và tổ chức xếp hạng tín nhiệm ESG quốc tế sẽ tự động đánh giá sai lệch năng lực bền vững của doanh nghiệp dựa trên các đoạn văn bản lỗi.</w:t>
      </w:r>
    </w:p>
    <w:p>
      <w:pPr>
        <w:keepNext/>
        <w:spacing w:before="200" w:after="60"/>
      </w:pPr>
      <w:r>
        <w:rPr>
          <w:rFonts w:ascii="Times New Roman" w:hAnsi="Times New Roman"/>
          <w:b/>
          <w:color w:val="000000"/>
          <w:sz w:val="25"/>
        </w:rPr>
        <w:t>5.3. So sánh Đối chiếu với Phát hiện của Kang và Kim (2022)</w:t>
      </w:r>
    </w:p>
    <w:p>
      <w:pPr>
        <w:spacing w:line="324" w:lineRule="auto" w:after="80"/>
        <w:ind w:firstLine="567"/>
        <w:jc w:val="both"/>
      </w:pPr>
      <w:r>
        <w:rPr>
          <w:rFonts w:ascii="Times New Roman" w:hAnsi="Times New Roman"/>
          <w:b w:val="0"/>
          <w:i w:val="0"/>
          <w:color w:val="000000"/>
          <w:sz w:val="24"/>
        </w:rPr>
        <w:t>Khi đặt cạnh kết quả của Kang và Kim (2022) trên 6 tập đoàn đa quốc gia hàng đầu thế giới (BASF, IKEA, Microsoft, Nestlé, Toyota, Walmart), nghiên cứu này chỉ ra các điểm tương đồng và khác biệt mang ý nghĩa học thuật:</w:t>
        <w:br/>
        <w:t>Về điểm tương đồng: Cả hai nghiên cứu đều xác nhận tính ưu việt của Sentence-BERT so với đếm từ khóa, đều phát hiện xu hướng gia tăng dung lượng báo cáo sau năm 2020, và đều chứng minh sự thống trị của các câu văn mang sắc thái tích cực (chiếm trên 65%). Trường hợp vụ bê bối chì mì Maggi của Nestlé năm 2015 khiến tỷ số Pos/Neg vọt lên 6.0 trong nghiên cứu gốc hoàn toàn tương đồng với hành vi của Petrolimex năm 2022 khi giá dầu biến động khiến điểm GW đạt đỉnh 2.39.</w:t>
        <w:br/>
        <w:t>Về điểm khác biệt: Điểm tương đồng trung bình của doanh nghiệp Việt Nam (46.61) thấp hơn khoảng 3–5 điểm so với các tập đoàn đa quốc gia quốc tế, cho thấy ngôn ngữ báo cáo tiếng Việt vẫn dùng nhiều từ ngữ chung chung, chưa ánh xạ chuẩn xác vào các thuật ngữ kỹ thuật của 169 chỉ tiêu SDG. Hơn nữa, sự hiện diện của 18.34% câu trung tính được mô hình PhoBERT bóc tách là đóng góp mới mà mô hình nhị phân của nghiên cứu gốc không thể thực hiện.</w:t>
      </w:r>
    </w:p>
    <w:p>
      <w:pPr>
        <w:keepNext/>
        <w:spacing w:before="200" w:after="60"/>
      </w:pPr>
      <w:r>
        <w:rPr>
          <w:rFonts w:ascii="Times New Roman" w:hAnsi="Times New Roman"/>
          <w:b/>
          <w:color w:val="000000"/>
          <w:sz w:val="25"/>
        </w:rPr>
        <w:t>5.4. Hàm ý Quản trị và Khuyến nghị Chính sách</w:t>
      </w:r>
    </w:p>
    <w:p>
      <w:pPr>
        <w:spacing w:line="324" w:lineRule="auto" w:after="80"/>
        <w:ind w:firstLine="567"/>
        <w:jc w:val="both"/>
      </w:pPr>
      <w:r>
        <w:rPr>
          <w:rFonts w:ascii="Times New Roman" w:hAnsi="Times New Roman"/>
          <w:b w:val="0"/>
          <w:i w:val="0"/>
          <w:color w:val="000000"/>
          <w:sz w:val="24"/>
        </w:rPr>
        <w:t>Dựa trên các bằng chứng thực nghiệm, nghiên cứu đề xuất các khuyến nghị cụ thể:</w:t>
        <w:br/>
        <w:t>Thứ nhất, đối với Cơ quan Quản lý (Ủy ban Chứng khoán Nhà nước và các Sở Giao dịch Chứng khoán): Cần sớm ban hành khung hướng dẫn áp dụng chuẩn mực ISSB (IFRS S1 và S2), đồng thời quy định bắt buộc kiểm toán độc lập đối với dữ liệu phát thải khí nhà kính Scope 1 và 2. Cần ứng dụng các công cụ NLP tự động để thiết lập hệ thống giám sát cảnh báo sớm rủi ro Tẩy xanh trên thị trường chứng khoán.</w:t>
        <w:br/>
        <w:t>Thứ hai, đối với doanh nghiệp niêm yết: Cần thay đổi tư duy từ quản trị ấn tượng sang trách nhiệm giải trình thực chất. Doanh nghiệp cần dũng cảm công bố cả các thách thức, rủi ro và mục tiêu chưa hoàn thành; đồng thời chuẩn hóa định dạng văn bản số điện tử để tạo thuận lợi cho việc phân tích dữ liệu lớn.</w:t>
        <w:br/>
        <w:t>Thứ ba, đối với nhà đầu tư và các định chế tài chính: Không nên dựa vào tần suất xuất hiện của các từ khóa bền vững mà cần đối chiếu tính nhất quán giữa cam kết và kết quả tài chính, sử dụng chỉ số Greenwashing Score để sàng lọc danh mục đầu tư bền vững.</w:t>
      </w:r>
    </w:p>
    <w:p>
      <w:pPr>
        <w:keepNext/>
        <w:spacing w:before="200" w:after="60"/>
      </w:pPr>
      <w:r>
        <w:rPr>
          <w:rFonts w:ascii="Times New Roman" w:hAnsi="Times New Roman"/>
          <w:b/>
          <w:color w:val="000000"/>
          <w:sz w:val="25"/>
        </w:rPr>
        <w:t>5.5. Các Giới hạn Khoa học của Nghiên cứu</w:t>
      </w:r>
    </w:p>
    <w:p>
      <w:pPr>
        <w:spacing w:line="324" w:lineRule="auto" w:after="80"/>
        <w:ind w:firstLine="567"/>
        <w:jc w:val="both"/>
      </w:pPr>
      <w:r>
        <w:rPr>
          <w:rFonts w:ascii="Times New Roman" w:hAnsi="Times New Roman"/>
          <w:b w:val="0"/>
          <w:i w:val="0"/>
          <w:color w:val="000000"/>
          <w:sz w:val="24"/>
        </w:rPr>
        <w:t>Nghiên cứu tồn tại một số giới hạn cần được mở rộng trong tương lai: (1) Cỡ mẫu giới hạn ở 4 doanh nghiệp quy mô lớn thuộc VN100 do sự khan hiếm của các báo cáo phát triển bền vững độc lập kéo dài liên tục 8 năm tại Việt Nam; (2) Chuỗi thời gian hàng năm (n = 6 quan sát có đủ dữ liệu biến động giá) chưa đủ dài để các kiểm định tương quan đạt mức ý nghĩa thống kê chuẩn p &lt; 0.05; (3) Nghiên cứu chưa đi sâu trích xuất các bảng số liệu định lượng (như tấn CO2e, mét khối nước tiêu thụ) vốn nằm trong các biểu đồ đồ họa phức tạp của tệp PDF.</w:t>
      </w:r>
    </w:p>
    <w:p>
      <w:pPr>
        <w:keepNext/>
        <w:spacing w:before="280" w:after="80"/>
      </w:pPr>
      <w:r>
        <w:rPr>
          <w:rFonts w:ascii="Times New Roman" w:hAnsi="Times New Roman"/>
          <w:b/>
          <w:color w:val="000000"/>
          <w:sz w:val="26"/>
        </w:rPr>
        <w:t>6. KẾT LUẬN</w:t>
      </w:r>
    </w:p>
    <w:p>
      <w:pPr>
        <w:spacing w:line="324" w:lineRule="auto" w:after="80"/>
        <w:ind w:firstLine="567"/>
        <w:jc w:val="both"/>
      </w:pPr>
      <w:r>
        <w:rPr>
          <w:rFonts w:ascii="Times New Roman" w:hAnsi="Times New Roman"/>
          <w:b w:val="0"/>
          <w:i w:val="0"/>
          <w:color w:val="000000"/>
          <w:sz w:val="24"/>
        </w:rPr>
        <w:t>Nghiên cứu này là công trình thực nghiệm đầu tiên tại Việt Nam tái hiện và nâng cấp toàn diện khung phân tích NLP của Kang và Kim (2022) trên dữ liệu báo cáo phát triển bền vững tiếng Việt. Bằng việc kết hợp các mô hình học sâu tiên tiến (vietnamese-sbert và PhoBERT), nghiên cứu đã chứng minh tính khả thi và sức mạnh của trí tuệ nhân tạo trong việc giải mã, định lượng và kiểm chứng tính chân thực của thông tin phi tài chính. Những phát hiện về sự thống trị của mục tiêu Kinh tế, sự tụt hậu của mục tiêu Bình đẳng giới, sự thiên lệch lạc quan của sắc thái ngôn từ và hiện tượng tẩy xanh tại Petrolimex cung cấp những luận cứ khoa học cho các nhà hoạch định chính sách, doanh nghiệp và nhà đầu tư trong lộ trình hiện thực hóa cam kết Net Zero 2050 của quốc gia. Hướng nghiên cứu tiếp theo sẽ tập trung mở rộng quy mô mẫu sang toàn bộ các công ty đại chúng thuộc rổ VNSI, kết hợp mô hình thị giác máy tính trích xuất bảng biểu và ứng dụng các mô hình ngôn ngữ lớn để kiểm chứng độc lập các tuyên bố bền vững.</w:t>
      </w:r>
    </w:p>
    <w:p>
      <w:r>
        <w:br w:type="page"/>
      </w:r>
    </w:p>
    <w:p>
      <w:pPr>
        <w:keepNext/>
        <w:spacing w:before="280" w:after="80"/>
      </w:pPr>
      <w:r>
        <w:rPr>
          <w:rFonts w:ascii="Times New Roman" w:hAnsi="Times New Roman"/>
          <w:b/>
          <w:color w:val="000000"/>
          <w:sz w:val="26"/>
        </w:rPr>
        <w:t>TÀI LIỆU THAM KHẢO</w:t>
      </w:r>
    </w:p>
    <w:p>
      <w:pPr>
        <w:spacing w:line="300" w:lineRule="auto" w:after="80"/>
        <w:ind w:left="720" w:hanging="720"/>
        <w:jc w:val="both"/>
      </w:pPr>
      <w:r>
        <w:rPr>
          <w:rFonts w:ascii="Times New Roman" w:hAnsi="Times New Roman"/>
          <w:color w:val="000000"/>
          <w:sz w:val="20"/>
        </w:rPr>
        <w:t>Arvidsson, S., &amp; Dumay, J. (2022). Corporate ESG reporting quantity, quality and performance: Where to now for environmental policy and practice? Business Strategy and the Environment, 31(3), 1091–1110. https://doi.org/10.1002/bse.2937</w:t>
      </w:r>
    </w:p>
    <w:p>
      <w:pPr>
        <w:spacing w:line="300" w:lineRule="auto" w:after="80"/>
        <w:ind w:left="720" w:hanging="720"/>
        <w:jc w:val="both"/>
      </w:pPr>
      <w:r>
        <w:rPr>
          <w:rFonts w:ascii="Times New Roman" w:hAnsi="Times New Roman"/>
          <w:color w:val="000000"/>
          <w:sz w:val="20"/>
        </w:rPr>
        <w:t>Bingler, J. A., Kraus, M., Leippold, M., &amp; Webersinke, N. (2022). Cheap talk and cherry-picking: What companies say site-wide about climate change. Finance Research Letters, 47, Article 102760. https://doi.org/10.1016/j.frl.2022.102760</w:t>
      </w:r>
    </w:p>
    <w:p>
      <w:pPr>
        <w:spacing w:line="300" w:lineRule="auto" w:after="80"/>
        <w:ind w:left="720" w:hanging="720"/>
        <w:jc w:val="both"/>
      </w:pPr>
      <w:r>
        <w:rPr>
          <w:rFonts w:ascii="Times New Roman" w:hAnsi="Times New Roman"/>
          <w:color w:val="000000"/>
          <w:sz w:val="20"/>
        </w:rPr>
        <w:t>Blei, D. M., Ng, A. Y., &amp; Jordan, M. I. (2003). Latent Dirichlet allocation. Journal of Machine Learning Research, 3, 993–1022.</w:t>
      </w:r>
    </w:p>
    <w:p>
      <w:pPr>
        <w:spacing w:line="300" w:lineRule="auto" w:after="80"/>
        <w:ind w:left="720" w:hanging="720"/>
        <w:jc w:val="both"/>
      </w:pPr>
      <w:r>
        <w:rPr>
          <w:rFonts w:ascii="Times New Roman" w:hAnsi="Times New Roman"/>
          <w:color w:val="000000"/>
          <w:sz w:val="20"/>
        </w:rPr>
        <w:t>Bộ Kế hoạch và Đầu tư. (2023). Báo cáo rà soát quốc gia tự nguyện lần thứ 2 việc thực hiện các mục tiêu phát triển bền vững của Việt Nam (VNR 2023). Nhà xuất bản Thống kê.</w:t>
      </w:r>
    </w:p>
    <w:p>
      <w:pPr>
        <w:spacing w:line="300" w:lineRule="auto" w:after="80"/>
        <w:ind w:left="720" w:hanging="720"/>
        <w:jc w:val="both"/>
      </w:pPr>
      <w:r>
        <w:rPr>
          <w:rFonts w:ascii="Times New Roman" w:hAnsi="Times New Roman"/>
          <w:color w:val="000000"/>
          <w:sz w:val="20"/>
        </w:rPr>
        <w:t>Bộ Tài chính. (2020). Thông tư số 96/2020/TT-BTC ngày 16/11/2020 hướng dẫn công bố thông tin trên thị trường chứng khoán.</w:t>
      </w:r>
    </w:p>
    <w:p>
      <w:pPr>
        <w:spacing w:line="300" w:lineRule="auto" w:after="80"/>
        <w:ind w:left="720" w:hanging="720"/>
        <w:jc w:val="both"/>
      </w:pPr>
      <w:r>
        <w:rPr>
          <w:rFonts w:ascii="Times New Roman" w:hAnsi="Times New Roman"/>
          <w:color w:val="000000"/>
          <w:sz w:val="20"/>
        </w:rPr>
        <w:t>Cer, D., Yang, Y., Kong, S. Y., Hua, N., Limtiaco, N., St. John, R., Constant, N., Guajardo-Céspedes, M., Yuan, S., Tar, C., Strope, B., &amp; Kurzweil, R. (2018). Universal sentence encoder for English. In Proceedings of EMNLP 2018: System Demonstrations (pp. 169–174). Association for Computational Linguistics. https://doi.org/10.18653/v1/D18-2029</w:t>
      </w:r>
    </w:p>
    <w:p>
      <w:pPr>
        <w:spacing w:line="300" w:lineRule="auto" w:after="80"/>
        <w:ind w:left="720" w:hanging="720"/>
        <w:jc w:val="both"/>
      </w:pPr>
      <w:r>
        <w:rPr>
          <w:rFonts w:ascii="Times New Roman" w:hAnsi="Times New Roman"/>
          <w:color w:val="000000"/>
          <w:sz w:val="20"/>
        </w:rPr>
        <w:t>Chính phủ Việt Nam. (2020). Nghị định số 155/2020/NĐ-CP ngày 31/12/2020 quy định chi tiết thi hành một số điều của Luật Chứng khoán.</w:t>
      </w:r>
    </w:p>
    <w:p>
      <w:pPr>
        <w:spacing w:line="300" w:lineRule="auto" w:after="80"/>
        <w:ind w:left="720" w:hanging="720"/>
        <w:jc w:val="both"/>
      </w:pPr>
      <w:r>
        <w:rPr>
          <w:rFonts w:ascii="Times New Roman" w:hAnsi="Times New Roman"/>
          <w:color w:val="000000"/>
          <w:sz w:val="20"/>
        </w:rPr>
        <w:t>Connelly, B. L., Certo, S. T., Ireland, R. D., &amp; Reutzel, C. R. (2011). Signaling theory: A review and assessment. Journal of Management, 37(1), 39–67. https://doi.org/10.1177/0149206310388419</w:t>
      </w:r>
    </w:p>
    <w:p>
      <w:pPr>
        <w:spacing w:line="300" w:lineRule="auto" w:after="80"/>
        <w:ind w:left="720" w:hanging="720"/>
        <w:jc w:val="both"/>
      </w:pPr>
      <w:r>
        <w:rPr>
          <w:rFonts w:ascii="Times New Roman" w:hAnsi="Times New Roman"/>
          <w:color w:val="000000"/>
          <w:sz w:val="20"/>
        </w:rPr>
        <w:t>Deegan, C. (2002). Introduction: The legitimising effect of social and environmental disclosures—A theoretical foundation. Accounting, Auditing &amp; Accountability Journal, 15(3), 282–311. https://doi.org/10.1108/09513570210435852</w:t>
      </w:r>
    </w:p>
    <w:p>
      <w:pPr>
        <w:spacing w:line="300" w:lineRule="auto" w:after="80"/>
        <w:ind w:left="720" w:hanging="720"/>
        <w:jc w:val="both"/>
      </w:pPr>
      <w:r>
        <w:rPr>
          <w:rFonts w:ascii="Times New Roman" w:hAnsi="Times New Roman"/>
          <w:color w:val="000000"/>
          <w:sz w:val="20"/>
        </w:rPr>
        <w:t>Devlin, J., Chang, M. W., Lee, K., &amp; Toutanova, K. (2019). BERT: Pre-training of deep bidirectional transformers for language understanding. In Proceedings of NAACL-HLT 2019 (pp. 4171–4186). Association for Computational Linguistics.</w:t>
      </w:r>
    </w:p>
    <w:p>
      <w:pPr>
        <w:spacing w:line="300" w:lineRule="auto" w:after="80"/>
        <w:ind w:left="720" w:hanging="720"/>
        <w:jc w:val="both"/>
      </w:pPr>
      <w:r>
        <w:rPr>
          <w:rFonts w:ascii="Times New Roman" w:hAnsi="Times New Roman"/>
          <w:color w:val="000000"/>
          <w:sz w:val="20"/>
        </w:rPr>
        <w:t>Du, S., &amp; Yu, K. (2017). The business case for sustainability reporting: Evidence from stock market reactions. Journal of Public Policy &amp; Marketing, 36(2), 313–330. https://doi.org/10.1509/jppm.16.112</w:t>
      </w:r>
    </w:p>
    <w:p>
      <w:pPr>
        <w:spacing w:line="300" w:lineRule="auto" w:after="80"/>
        <w:ind w:left="720" w:hanging="720"/>
        <w:jc w:val="both"/>
      </w:pPr>
      <w:r>
        <w:rPr>
          <w:rFonts w:ascii="Times New Roman" w:hAnsi="Times New Roman"/>
          <w:color w:val="000000"/>
          <w:sz w:val="20"/>
        </w:rPr>
        <w:t>El-Haj, M., Rayson, P., Walker, M., Young, S., &amp; Simaki, V. (2020). In search of 'sunlight'? Measuring transparency, disclosure quality and tone in corporate annual reports. Accounting and Business Research, 50(5), 450–476. https://doi.org/10.1080/00014788.2020.1771960</w:t>
      </w:r>
    </w:p>
    <w:p>
      <w:pPr>
        <w:spacing w:line="300" w:lineRule="auto" w:after="80"/>
        <w:ind w:left="720" w:hanging="720"/>
        <w:jc w:val="both"/>
      </w:pPr>
      <w:r>
        <w:rPr>
          <w:rFonts w:ascii="Times New Roman" w:hAnsi="Times New Roman"/>
          <w:color w:val="000000"/>
          <w:sz w:val="20"/>
        </w:rPr>
        <w:t>Freeman, R. E. (1984). Strategic management: A stakeholder approach. Pitman.</w:t>
      </w:r>
    </w:p>
    <w:p>
      <w:pPr>
        <w:spacing w:line="300" w:lineRule="auto" w:after="80"/>
        <w:ind w:left="720" w:hanging="720"/>
        <w:jc w:val="both"/>
      </w:pPr>
      <w:r>
        <w:rPr>
          <w:rFonts w:ascii="Times New Roman" w:hAnsi="Times New Roman"/>
          <w:color w:val="000000"/>
          <w:sz w:val="20"/>
        </w:rPr>
        <w:t>Friede, G., Busch, T., &amp; Bassen, A. (2015). ESG and financial performance: Aggregated evidence from more than 2000 empirical studies. Journal of Sustainable Finance &amp; Investment, 5(4), 210–233. https://doi.org/10.1080/20430795.2015.1118917</w:t>
      </w:r>
    </w:p>
    <w:p>
      <w:pPr>
        <w:spacing w:line="300" w:lineRule="auto" w:after="80"/>
        <w:ind w:left="720" w:hanging="720"/>
        <w:jc w:val="both"/>
      </w:pPr>
      <w:r>
        <w:rPr>
          <w:rFonts w:ascii="Times New Roman" w:hAnsi="Times New Roman"/>
          <w:color w:val="000000"/>
          <w:sz w:val="20"/>
        </w:rPr>
        <w:t>Gerged, A. M., Beddewela, E., &amp; Cowton, C. J. (2021). Is corporate environmental disclosure associated with firm value? A multicountry study of emerging Asian markets. Business Strategy and the Environment, 30(4), 1853–1867. https://doi.org/10.1002/bse.2720</w:t>
      </w:r>
    </w:p>
    <w:p>
      <w:pPr>
        <w:spacing w:line="300" w:lineRule="auto" w:after="80"/>
        <w:ind w:left="720" w:hanging="720"/>
        <w:jc w:val="both"/>
      </w:pPr>
      <w:r>
        <w:rPr>
          <w:rFonts w:ascii="Times New Roman" w:hAnsi="Times New Roman"/>
          <w:color w:val="000000"/>
          <w:sz w:val="20"/>
        </w:rPr>
        <w:t>Global Reporting Initiative. (2021). GRI universal standards 2021. Global Sustainability Standards Board.</w:t>
      </w:r>
    </w:p>
    <w:p>
      <w:pPr>
        <w:spacing w:line="300" w:lineRule="auto" w:after="80"/>
        <w:ind w:left="720" w:hanging="720"/>
        <w:jc w:val="both"/>
      </w:pPr>
      <w:r>
        <w:rPr>
          <w:rFonts w:ascii="Times New Roman" w:hAnsi="Times New Roman"/>
          <w:color w:val="000000"/>
          <w:sz w:val="20"/>
        </w:rPr>
        <w:t>Heras-Saizarbitoria, I., Urbieta, L., &amp; Boiral, O. (2022). Organizations' engagement with SDGs: From cherry-picking to SDG-washing? Corporate Social Responsibility and Environmental Management, 29(2), 316–328. https://doi.org/10.1002/csr.2202</w:t>
      </w:r>
    </w:p>
    <w:p>
      <w:pPr>
        <w:spacing w:line="300" w:lineRule="auto" w:after="80"/>
        <w:ind w:left="720" w:hanging="720"/>
        <w:jc w:val="both"/>
      </w:pPr>
      <w:r>
        <w:rPr>
          <w:rFonts w:ascii="Times New Roman" w:hAnsi="Times New Roman"/>
          <w:color w:val="000000"/>
          <w:sz w:val="20"/>
        </w:rPr>
        <w:t>Hoang, T. C., Abeysekera, I., &amp; Ma, S. (2019). Sustainable reporting in Southeast Asia: A comparative study. Journal of Cleaner Production, 211, 1475–1491. https://doi.org/10.1016/j.jclepro.2018.11.246</w:t>
      </w:r>
    </w:p>
    <w:p>
      <w:pPr>
        <w:spacing w:line="300" w:lineRule="auto" w:after="80"/>
        <w:ind w:left="720" w:hanging="720"/>
        <w:jc w:val="both"/>
      </w:pPr>
      <w:r>
        <w:rPr>
          <w:rFonts w:ascii="Times New Roman" w:hAnsi="Times New Roman"/>
          <w:color w:val="000000"/>
          <w:sz w:val="20"/>
        </w:rPr>
        <w:t>Hội đồng Doanh nghiệp vì sự Phát triển Bền vững Việt Nam. (2024). Báo cáo chỉ số doanh nghiệp bền vững (CSI 2024). Liên đoàn Thương mại và Công nghiệp Việt Nam.</w:t>
      </w:r>
    </w:p>
    <w:p>
      <w:pPr>
        <w:spacing w:line="300" w:lineRule="auto" w:after="80"/>
        <w:ind w:left="720" w:hanging="720"/>
        <w:jc w:val="both"/>
      </w:pPr>
      <w:r>
        <w:rPr>
          <w:rFonts w:ascii="Times New Roman" w:hAnsi="Times New Roman"/>
          <w:color w:val="000000"/>
          <w:sz w:val="20"/>
        </w:rPr>
        <w:t>Huang, A. H., Wang, H., &amp; Yang, Y. (2023). FinBERT: A large language model for extracting information from financial text. Contemporary Accounting Research, 40(2), 806–841. https://doi.org/10.1111/1911-3846.12832</w:t>
      </w:r>
    </w:p>
    <w:p>
      <w:pPr>
        <w:spacing w:line="300" w:lineRule="auto" w:after="80"/>
        <w:ind w:left="720" w:hanging="720"/>
        <w:jc w:val="both"/>
      </w:pPr>
      <w:r>
        <w:rPr>
          <w:rFonts w:ascii="Times New Roman" w:hAnsi="Times New Roman"/>
          <w:color w:val="000000"/>
          <w:sz w:val="20"/>
        </w:rPr>
        <w:t>Hummel, K., &amp; Schlick, C. (2016). The relationship between sustainability performance and sustainability disclosure—Reconciling voluntary disclosure theory and legitimacy theory. Journal of Accounting and Public Policy, 35(5), 455–476. https://doi.org/10.1016/j.jaccpubpol.2016.06.001</w:t>
      </w:r>
    </w:p>
    <w:p>
      <w:pPr>
        <w:spacing w:line="300" w:lineRule="auto" w:after="80"/>
        <w:ind w:left="720" w:hanging="720"/>
        <w:jc w:val="both"/>
      </w:pPr>
      <w:r>
        <w:rPr>
          <w:rFonts w:ascii="Times New Roman" w:hAnsi="Times New Roman"/>
          <w:color w:val="000000"/>
          <w:sz w:val="20"/>
        </w:rPr>
        <w:t>Kang, H., &amp; Kim, J. (2022). Analyzing and visualizing text information in corporate sustainability reports using natural language processing methods. Applied Sciences, 12(11), Article 5614. https://doi.org/10.3390/app12115614</w:t>
      </w:r>
    </w:p>
    <w:p>
      <w:pPr>
        <w:spacing w:line="300" w:lineRule="auto" w:after="80"/>
        <w:ind w:left="720" w:hanging="720"/>
        <w:jc w:val="both"/>
      </w:pPr>
      <w:r>
        <w:rPr>
          <w:rFonts w:ascii="Times New Roman" w:hAnsi="Times New Roman"/>
          <w:color w:val="000000"/>
          <w:sz w:val="20"/>
        </w:rPr>
        <w:t>Loughran, T., &amp; McDonald, B. (2011). When is a liability not a liability? Textual analysis, dictionaries, and 10-Ks. The Journal of Finance, 66(1), 35–65. https://doi.org/10.1111/j.1540-6261.2010.01625.x</w:t>
      </w:r>
    </w:p>
    <w:p>
      <w:pPr>
        <w:spacing w:line="300" w:lineRule="auto" w:after="80"/>
        <w:ind w:left="720" w:hanging="720"/>
        <w:jc w:val="both"/>
      </w:pPr>
      <w:r>
        <w:rPr>
          <w:rFonts w:ascii="Times New Roman" w:hAnsi="Times New Roman"/>
          <w:color w:val="000000"/>
          <w:sz w:val="20"/>
        </w:rPr>
        <w:t>Luccioni, S. A., Baylor, E., &amp; Duchene, N. (2020). Analyzing sustainability reports using natural language processing. In NeurIPS 2020 Workshop on Tackling Climate Change with Machine Learning. arXiv:2011.08073.</w:t>
      </w:r>
    </w:p>
    <w:p>
      <w:pPr>
        <w:spacing w:line="300" w:lineRule="auto" w:after="80"/>
        <w:ind w:left="720" w:hanging="720"/>
        <w:jc w:val="both"/>
      </w:pPr>
      <w:r>
        <w:rPr>
          <w:rFonts w:ascii="Times New Roman" w:hAnsi="Times New Roman"/>
          <w:color w:val="000000"/>
          <w:sz w:val="20"/>
        </w:rPr>
        <w:t>Lyon, T. P., &amp; Montgomery, A. W. (2015). The means and end of greenwash. Organization &amp; Environment, 28(2), 223–249. https://doi.org/10.1177/1086026615575332</w:t>
      </w:r>
    </w:p>
    <w:p>
      <w:pPr>
        <w:spacing w:line="300" w:lineRule="auto" w:after="80"/>
        <w:ind w:left="720" w:hanging="720"/>
        <w:jc w:val="both"/>
      </w:pPr>
      <w:r>
        <w:rPr>
          <w:rFonts w:ascii="Times New Roman" w:hAnsi="Times New Roman"/>
          <w:color w:val="000000"/>
          <w:sz w:val="20"/>
        </w:rPr>
        <w:t>Matsui, T., Suzuki, M., &amp; Seki, K. (2022). Automated classification of corporate statements for the United Nations sustainable development goals. Sustainability, 14(16), Article 10149. https://doi.org/10.3390/su141610149</w:t>
      </w:r>
    </w:p>
    <w:p>
      <w:pPr>
        <w:spacing w:line="300" w:lineRule="auto" w:after="80"/>
        <w:ind w:left="720" w:hanging="720"/>
        <w:jc w:val="both"/>
      </w:pPr>
      <w:r>
        <w:rPr>
          <w:rFonts w:ascii="Times New Roman" w:hAnsi="Times New Roman"/>
          <w:color w:val="000000"/>
          <w:sz w:val="20"/>
        </w:rPr>
        <w:t>Mercereau, B., &amp; Melin, L. (2020). ESG analysis: An NLP approach to assessing corporate sustainability disclosures. The Journal of Investing, 29(7), 50–63. https://doi.org/10.3905/joi.2020.1.157</w:t>
      </w:r>
    </w:p>
    <w:p>
      <w:pPr>
        <w:spacing w:line="300" w:lineRule="auto" w:after="80"/>
        <w:ind w:left="720" w:hanging="720"/>
        <w:jc w:val="both"/>
      </w:pPr>
      <w:r>
        <w:rPr>
          <w:rFonts w:ascii="Times New Roman" w:hAnsi="Times New Roman"/>
          <w:color w:val="000000"/>
          <w:sz w:val="20"/>
        </w:rPr>
        <w:t>Merkl-Davies, N. O., &amp; Brennan, N. M. (2007). Discretionary disclosure strategies in corporate narratives: Incremental information or impression management? Journal of Accounting Literature, 26, 116–196.</w:t>
      </w:r>
    </w:p>
    <w:p>
      <w:pPr>
        <w:spacing w:line="300" w:lineRule="auto" w:after="80"/>
        <w:ind w:left="720" w:hanging="720"/>
        <w:jc w:val="both"/>
      </w:pPr>
      <w:r>
        <w:rPr>
          <w:rFonts w:ascii="Times New Roman" w:hAnsi="Times New Roman"/>
          <w:color w:val="000000"/>
          <w:sz w:val="20"/>
        </w:rPr>
        <w:t>Mikolov, T., Chen, K., Corrado, G., &amp; Dean, J. (2013). Efficient estimation of word representations in vector space. In Proceedings of ICLR 2013. arXiv:1301.3781.</w:t>
      </w:r>
    </w:p>
    <w:p>
      <w:pPr>
        <w:spacing w:line="300" w:lineRule="auto" w:after="80"/>
        <w:ind w:left="720" w:hanging="720"/>
        <w:jc w:val="both"/>
      </w:pPr>
      <w:r>
        <w:rPr>
          <w:rFonts w:ascii="Times New Roman" w:hAnsi="Times New Roman"/>
          <w:color w:val="000000"/>
          <w:sz w:val="20"/>
        </w:rPr>
        <w:t>Muñoz-Torres, M. J., Fernández-Izquierdo, M. Á., Rivera-Lirio, J. M., &amp; Escrig-Olmedo, E. (2019). Can modern sustainability reports track the SDGs? An assessment framework. Sustainability, 11(5), Article 1421. https://doi.org/10.3390/su11051421</w:t>
      </w:r>
    </w:p>
    <w:p>
      <w:pPr>
        <w:spacing w:line="300" w:lineRule="auto" w:after="80"/>
        <w:ind w:left="720" w:hanging="720"/>
        <w:jc w:val="both"/>
      </w:pPr>
      <w:r>
        <w:rPr>
          <w:rFonts w:ascii="Times New Roman" w:hAnsi="Times New Roman"/>
          <w:color w:val="000000"/>
          <w:sz w:val="20"/>
        </w:rPr>
        <w:t>Nguyen, D. Q., &amp; Nguyen, A. T. (2020). PhoBERT: Pre-trained language models for Vietnamese. In Findings of EMNLP 2020 (pp. 1037–1042). Association for Computational Linguistics. https://doi.org/10.18653/v1/2020.findings-emnlp.92</w:t>
      </w:r>
    </w:p>
    <w:p>
      <w:pPr>
        <w:spacing w:line="300" w:lineRule="auto" w:after="80"/>
        <w:ind w:left="720" w:hanging="720"/>
        <w:jc w:val="both"/>
      </w:pPr>
      <w:r>
        <w:rPr>
          <w:rFonts w:ascii="Times New Roman" w:hAnsi="Times New Roman"/>
          <w:color w:val="000000"/>
          <w:sz w:val="20"/>
        </w:rPr>
        <w:t>Pennington, J., Socher, R., &amp; Manning, C. D. (2014). GloVe: Global vectors for word representation. In Proceedings of EMNLP 2014 (pp. 1532–1543). Association for Computational Linguistics. https://doi.org/10.3115/v1/D14-1162</w:t>
      </w:r>
    </w:p>
    <w:p>
      <w:pPr>
        <w:spacing w:line="300" w:lineRule="auto" w:after="80"/>
        <w:ind w:left="720" w:hanging="720"/>
        <w:jc w:val="both"/>
      </w:pPr>
      <w:r>
        <w:rPr>
          <w:rFonts w:ascii="Times New Roman" w:hAnsi="Times New Roman"/>
          <w:color w:val="000000"/>
          <w:sz w:val="20"/>
        </w:rPr>
        <w:t>Pizzi, S., Caputo, A., Corvino, A., &amp; Ficco, A. (2020). Management research and the UN sustainable development goals (SDGs): A bibliometric investigation and systematic review. Journal of Cleaner Production, 276, Article 124033. https://doi.org/10.1016/j.jclepro.2020.124033</w:t>
      </w:r>
    </w:p>
    <w:p>
      <w:pPr>
        <w:spacing w:line="300" w:lineRule="auto" w:after="80"/>
        <w:ind w:left="720" w:hanging="720"/>
        <w:jc w:val="both"/>
      </w:pPr>
      <w:r>
        <w:rPr>
          <w:rFonts w:ascii="Times New Roman" w:hAnsi="Times New Roman"/>
          <w:color w:val="000000"/>
          <w:sz w:val="20"/>
        </w:rPr>
        <w:t>PwC Vietnam. (2022). Báo cáo khảo sát mức độ sẵn sàng thực hành ESG tại Việt Nam năm 2022: Từ tham vọng đến hành động. PwC Việt Nam.</w:t>
      </w:r>
    </w:p>
    <w:p>
      <w:pPr>
        <w:spacing w:line="300" w:lineRule="auto" w:after="80"/>
        <w:ind w:left="720" w:hanging="720"/>
        <w:jc w:val="both"/>
      </w:pPr>
      <w:r>
        <w:rPr>
          <w:rFonts w:ascii="Times New Roman" w:hAnsi="Times New Roman"/>
          <w:color w:val="000000"/>
          <w:sz w:val="20"/>
        </w:rPr>
        <w:t>Reimers, N., &amp; Gurevych, I. (2019). Sentence-BERT: Sentence embeddings using Siamese BERT-networks. In Proceedings of EMNLP-IJCNLP 2019 (pp. 3982–3992). Association for Computational Linguistics. https://doi.org/10.18653/v1/D19-1410</w:t>
      </w:r>
    </w:p>
    <w:p>
      <w:pPr>
        <w:spacing w:line="300" w:lineRule="auto" w:after="80"/>
        <w:ind w:left="720" w:hanging="720"/>
        <w:jc w:val="both"/>
      </w:pPr>
      <w:r>
        <w:rPr>
          <w:rFonts w:ascii="Times New Roman" w:hAnsi="Times New Roman"/>
          <w:color w:val="000000"/>
          <w:sz w:val="20"/>
        </w:rPr>
        <w:t>Sanh, V., Debut, L., Chaumond, J., &amp; Wolf, T. (2019). DistilBERT, a distilled version of BERT: smaller, faster, cheaper and lighter. arXiv preprint arXiv:1910.01108.</w:t>
      </w:r>
    </w:p>
    <w:p>
      <w:pPr>
        <w:spacing w:line="300" w:lineRule="auto" w:after="80"/>
        <w:ind w:left="720" w:hanging="720"/>
        <w:jc w:val="both"/>
      </w:pPr>
      <w:r>
        <w:rPr>
          <w:rFonts w:ascii="Times New Roman" w:hAnsi="Times New Roman"/>
          <w:color w:val="000000"/>
          <w:sz w:val="20"/>
        </w:rPr>
        <w:t>Seele, P., &amp; Gatti, L. (2017). Greenwashing revisited: In search of a typology and accusation-based definition. Business Strategy and the Environment, 26(2), 239–252. https://doi.org/10.1002/bse.1912</w:t>
      </w:r>
    </w:p>
    <w:p>
      <w:pPr>
        <w:spacing w:line="300" w:lineRule="auto" w:after="80"/>
        <w:ind w:left="720" w:hanging="720"/>
        <w:jc w:val="both"/>
      </w:pPr>
      <w:r>
        <w:rPr>
          <w:rFonts w:ascii="Times New Roman" w:hAnsi="Times New Roman"/>
          <w:color w:val="000000"/>
          <w:sz w:val="20"/>
        </w:rPr>
        <w:t>Spence, M. (1973). Job market signaling. The Quarterly Journal of Economics, 87(3), 355–374. https://doi.org/10.2307/1882010</w:t>
      </w:r>
    </w:p>
    <w:p>
      <w:pPr>
        <w:spacing w:line="300" w:lineRule="auto" w:after="80"/>
        <w:ind w:left="720" w:hanging="720"/>
        <w:jc w:val="both"/>
      </w:pPr>
      <w:r>
        <w:rPr>
          <w:rFonts w:ascii="Times New Roman" w:hAnsi="Times New Roman"/>
          <w:color w:val="000000"/>
          <w:sz w:val="20"/>
        </w:rPr>
        <w:t>Stacchezzini, R., Melloni, G., &amp; Lai, A. (2016). Sustainability management and reporting: The role of impression management for corporate social responsibility disclosure. Journal of Cleaner Production, 136, 102–110. https://doi.org/10.1016/j.jclepro.2016.04.095</w:t>
      </w:r>
    </w:p>
    <w:p>
      <w:pPr>
        <w:spacing w:line="300" w:lineRule="auto" w:after="80"/>
        <w:ind w:left="720" w:hanging="720"/>
        <w:jc w:val="both"/>
      </w:pPr>
      <w:r>
        <w:rPr>
          <w:rFonts w:ascii="Times New Roman" w:hAnsi="Times New Roman"/>
          <w:color w:val="000000"/>
          <w:sz w:val="20"/>
        </w:rPr>
        <w:t>Suchman, M. C. (1995). Managing legitimacy: Strategic and institutional approaches. Academy of Management Review, 20(3), 571–610. https://doi.org/10.5465/amr.1995.9508080331</w:t>
      </w:r>
    </w:p>
    <w:p>
      <w:pPr>
        <w:spacing w:line="300" w:lineRule="auto" w:after="80"/>
        <w:ind w:left="720" w:hanging="720"/>
        <w:jc w:val="both"/>
      </w:pPr>
      <w:r>
        <w:rPr>
          <w:rFonts w:ascii="Times New Roman" w:hAnsi="Times New Roman"/>
          <w:color w:val="000000"/>
          <w:sz w:val="20"/>
        </w:rPr>
        <w:t>Tran, M., &amp; Beddewela, E. (2020). Evaluating the quality of CSR disclosure in Vietnam: An empirical examination of listed firms. Journal of Business Ethics, 166(3), 569–589. https://doi.org/10.1007/s10551-019-04135-2</w:t>
      </w:r>
    </w:p>
    <w:p>
      <w:pPr>
        <w:spacing w:line="300" w:lineRule="auto" w:after="80"/>
        <w:ind w:left="720" w:hanging="720"/>
        <w:jc w:val="both"/>
      </w:pPr>
      <w:r>
        <w:rPr>
          <w:rFonts w:ascii="Times New Roman" w:hAnsi="Times New Roman"/>
          <w:color w:val="000000"/>
          <w:sz w:val="20"/>
        </w:rPr>
        <w:t>United Nations. (2015). Transforming our world: The 2030 agenda for sustainable development (Resolution A/RES/70/1). United Nations General Assembly.</w:t>
      </w:r>
    </w:p>
    <w:p>
      <w:pPr>
        <w:spacing w:line="300" w:lineRule="auto" w:after="80"/>
        <w:ind w:left="720" w:hanging="720"/>
        <w:jc w:val="both"/>
      </w:pPr>
      <w:r>
        <w:rPr>
          <w:rFonts w:ascii="Times New Roman" w:hAnsi="Times New Roman"/>
          <w:color w:val="000000"/>
          <w:sz w:val="20"/>
        </w:rPr>
        <w:t>Ủy ban Chứng khoán Nhà nước. (2024). Sổ tay hướng dẫn thực hành và công bố thông tin môi trường, xã hội và quản trị (ESG) cho doanh nghiệp niêm yết. Nhà xuất bản Tài chính.</w:t>
      </w:r>
    </w:p>
    <w:p>
      <w:pPr>
        <w:spacing w:line="300" w:lineRule="auto" w:after="80"/>
        <w:ind w:left="720" w:hanging="720"/>
        <w:jc w:val="both"/>
      </w:pPr>
      <w:r>
        <w:rPr>
          <w:rFonts w:ascii="Times New Roman" w:hAnsi="Times New Roman"/>
          <w:color w:val="000000"/>
          <w:sz w:val="20"/>
        </w:rPr>
        <w:t>Veenstra, E. M., &amp; Ellemers, N. (2020). CSR does not equal investment in CSR: A linguistic analysis of corporate social responsibility reports. Journal of Business Ethics, 161(2), 347–363. https://doi.org/10.1007/s10551-018-3904-7</w:t>
      </w:r>
    </w:p>
    <w:p>
      <w:pPr>
        <w:spacing w:line="300" w:lineRule="auto" w:after="80"/>
        <w:ind w:left="720" w:hanging="720"/>
        <w:jc w:val="both"/>
      </w:pPr>
      <w:r>
        <w:rPr>
          <w:rFonts w:ascii="Times New Roman" w:hAnsi="Times New Roman"/>
          <w:color w:val="000000"/>
          <w:sz w:val="20"/>
        </w:rPr>
        <w:t>Wang, W., Wei, F., Dong, L., Bao, H., Yang, N., &amp; Zhou, M. (2020). MiniLM: Deep self-attention distillation for task-agnostic compression of pre-trained transformers. In Advances in Neural Information Processing Systems (Vol. 33, pp. 5776–5788). Curran Associates, Inc.</w:t>
      </w:r>
    </w:p>
    <w:p>
      <w:pPr>
        <w:spacing w:line="300" w:lineRule="auto" w:after="80"/>
        <w:ind w:left="720" w:hanging="720"/>
        <w:jc w:val="both"/>
      </w:pPr>
      <w:r>
        <w:rPr>
          <w:rFonts w:ascii="Times New Roman" w:hAnsi="Times New Roman"/>
          <w:color w:val="000000"/>
          <w:sz w:val="20"/>
        </w:rPr>
        <w:t>World Commission on Environment and Development. (1987). Our common future. Oxford University Press.</w:t>
      </w:r>
    </w:p>
    <w:sectPr w:rsidR="00FC693F" w:rsidRPr="0006063C" w:rsidSect="00034616">
      <w:headerReference w:type="default" r:id="rId9"/>
      <w:foot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