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00000"/>
          <w:sz w:val="30"/>
        </w:rPr>
        <w:t>PHÂN TÍCH VÀ TRỰC QUAN HÓA THÔNG TIN VĂN BẢN TRONG BÁO CÁO PHÁT TRIỂN BỀN VỮNG CỦA DOANH NGHIỆP BẰNG PHƯƠNG PHÁP XỬ LÝ NGÔN NGỮ TỰ NHIÊN: BẰNG CHỨNG THỰC NGHIỆM TẠI VIỆT NAM</w:t>
      </w:r>
    </w:p>
    <w:p>
      <w:pPr>
        <w:spacing w:after="280"/>
        <w:jc w:val="center"/>
      </w:pPr>
      <w:r>
        <w:rPr>
          <w:rFonts w:ascii="Times New Roman" w:hAnsi="Times New Roman"/>
          <w:i/>
          <w:color w:val="000000"/>
          <w:sz w:val="24"/>
        </w:rPr>
        <w:t>Analyzing and Visualizing Text Information in Corporate Sustainability Reports Using Natural Language Processing Methods: Empirical Evidence from Vietnam</w:t>
      </w:r>
    </w:p>
    <w:p>
      <w:pPr>
        <w:spacing w:after="40"/>
        <w:jc w:val="center"/>
      </w:pPr>
      <w:r>
        <w:rPr>
          <w:rFonts w:ascii="Times New Roman" w:hAnsi="Times New Roman"/>
          <w:b/>
          <w:color w:val="000000"/>
          <w:sz w:val="23"/>
        </w:rPr>
        <w:t>Nhóm Nghiên cứu Trí tuệ Nhân tạo và Tài chính Bền vững</w:t>
      </w:r>
    </w:p>
    <w:p>
      <w:pPr>
        <w:spacing w:after="280"/>
        <w:jc w:val="center"/>
      </w:pPr>
      <w:r>
        <w:rPr>
          <w:rFonts w:ascii="Times New Roman" w:hAnsi="Times New Roman"/>
          <w:color w:val="000000"/>
          <w:sz w:val="21"/>
        </w:rPr>
        <w:t>Khoa Tài chính - Ngân hàng, Trường Đại học Kinh tế</w:t>
        <w:br/>
        <w:t>Email liên hệ: research.esg@vietnam-analytics.edu.vn</w:t>
      </w:r>
    </w:p>
    <w:p>
      <w:pPr>
        <w:keepNext/>
        <w:spacing w:before="280" w:after="80"/>
      </w:pPr>
      <w:r>
        <w:rPr>
          <w:rFonts w:ascii="Times New Roman" w:hAnsi="Times New Roman"/>
          <w:b/>
          <w:color w:val="000000"/>
          <w:sz w:val="26"/>
        </w:rPr>
        <w:t>TÓM TẮT</w:t>
      </w:r>
    </w:p>
    <w:p>
      <w:pPr>
        <w:spacing w:line="324" w:lineRule="auto" w:after="80"/>
        <w:ind w:firstLine="567"/>
        <w:jc w:val="both"/>
      </w:pPr>
      <w:r>
        <w:rPr>
          <w:rFonts w:ascii="Times New Roman" w:hAnsi="Times New Roman"/>
          <w:b w:val="0"/>
          <w:i w:val="0"/>
          <w:color w:val="000000"/>
          <w:sz w:val="24"/>
        </w:rPr>
        <w:t>Báo cáo phát triển bền vững đóng vai trò kênh truyền thông huyết mạch giúp các doanh nghiệp niêm yết giải trình trách nhiệm về môi trường, xã hội và quản trị (ESG) trước các bên liên quan và thu hút dòng vốn đầu tư có trách nhiệm. Kế thừa và mở rộng khung phương pháp luận của {Kang, 2022}, nghiên cứu này thực hiện phân tích định lượng tự động và trực quan hóa dữ liệu văn bản từ 42 báo cáo phát triển bền vững và báo cáo tích hợp của 7 tập đoàn niêm yết quy mô lớn hàng đầu tại Việt Nam (Bảo Việt, PAN Group, Petrolimex, PNJ, SSI, Vicostone, Vinamilk) trong giai đoạn 6 năm liên tục (2020–2025) với tổng quy mô 95.804 câu văn bản số hóa. Bằng việc sử dụng các mô hình học sâu biến đổi ngôn ngữ tiên tiến nhất (vietnamese-sbert và PhoBERT), nghiên cứu định lượng mức độ tương đồng với 17 Mục tiêu Phát triển Bền vững (SDGs) của Liên Hợp Quốc, quy nạp vào 6 nhóm nhu cầu con người (Đời sống, Kinh tế, Công bằng, Xã hội, Tài nguyên, Môi trường), phân tích cơ cấu cảm xúc đa lớp (Tích cực, Trung tính, Tiêu cực) và định lượng chỉ số tẩy xanh liên tục (GW Index) thông qua đối chiếu với biến động giá cổ phiếu trên thị trường chứng khoán. Kết quả thực nghiệm chỉ ra rằng: (1) Các doanh nghiệp Việt Nam thể hiện sự thiên lệch áp đảo vào nhóm Kinh tế (SDG 8, 9) và Đối tác xã hội (SDG 17), trong khi nhóm Công bằng (SDG 4, 5, 10) liên tục nhận điểm số thấp nhất; (2) Tồn tại hiện tượng thiên lệch lạc quan (optimism bias) mang tính cấu trúc với 53,9% câu tích cực, 33,0% câu trung tính và chỉ 13,1% câu tiêu cực; (3) Kiểm định chuỗi thời gian cho thấy sự phân kỳ và tách rời hoàn toàn giữa giọng văn báo cáo với biến động giá cổ phiếu thực tế (hệ số tương quan gộp r = -0,046, p = 0,791), phản ánh thị trường Việt Nam vẫn đang trong giai đoạn đầu định giá ESG; (4) Chỉ số Greenwashing định lượng giúp nhận diện các giai đoạn thị trường suy giảm nhưng văn phong báo cáo lại đột ngột tô hồng, đồng thời cung cấp bài học phương pháp luận sâu sắc về rủi ro diễn giải sai lệch do chất lượng số hóa tài liệu. Nghiên cứu đề xuất các hàm ý chính sách then chốt nhằm nâng cao tính minh bạch và chất lượng số hóa thông tin phi tài chính tại Việt Nam.</w:t>
      </w:r>
    </w:p>
    <w:p>
      <w:pPr>
        <w:spacing w:line="324" w:lineRule="auto" w:after="80"/>
        <w:ind w:firstLine="567"/>
        <w:jc w:val="both"/>
      </w:pPr>
      <w:r>
        <w:rPr>
          <w:rFonts w:ascii="Times New Roman" w:hAnsi="Times New Roman"/>
          <w:b/>
          <w:i w:val="0"/>
          <w:color w:val="000000"/>
          <w:sz w:val="24"/>
        </w:rPr>
        <w:t>Từ khóa: Báo cáo phát triển bền vững; Mục tiêu phát triển bền vững (SDGs); Xử lý ngôn ngữ tự nhiên (NLP); Sentence-BERT; PhoBERT; Phân tích cảm xúc; Tẩy xanh (Greenwashing); Thị trường chứng khoán Việt Nam.</w:t>
      </w:r>
    </w:p>
    <w:p>
      <w:pPr>
        <w:keepNext/>
        <w:spacing w:before="280" w:after="80"/>
      </w:pPr>
      <w:r>
        <w:rPr>
          <w:rFonts w:ascii="Times New Roman" w:hAnsi="Times New Roman"/>
          <w:b/>
          <w:color w:val="000000"/>
          <w:sz w:val="26"/>
        </w:rPr>
        <w:t>ABSTRACT</w:t>
      </w:r>
    </w:p>
    <w:p>
      <w:pPr>
        <w:spacing w:line="324" w:lineRule="auto" w:after="80"/>
        <w:ind w:firstLine="567"/>
        <w:jc w:val="both"/>
      </w:pPr>
      <w:r>
        <w:rPr>
          <w:rFonts w:ascii="Times New Roman" w:hAnsi="Times New Roman"/>
          <w:b w:val="0"/>
          <w:i w:val="0"/>
          <w:color w:val="000000"/>
          <w:sz w:val="24"/>
        </w:rPr>
        <w:t>Corporate sustainability reports serve as pivotal communication conduits for disclosing environmental, social, and governance (ESG) commitments to global investors and regulatory bodies. Adapting and extending the computational framework established by {Kang, 2022}, this study performs automated textual mining and longitudinal visualization of 42 standalone sustainability and integrated reports published by seven prominent Vietnamese listed corporations (Bao Viet Holdings, The PAN Group, Petrolimex, PNJ, SSI Securities, Vicostone, Vinamilk) spanning a balanced six-year horizon (2020–2025), encompassing 95,804 digitally extracted sentences. Employing state-of-the-art domain-specific Transformer architectures (vietnamese-sbert and PhoBERT), we quantify enterprise alignment with the 17 UN Sustainable Development Goals (SDGs), aggregate scores into six essential human-needs categories (Life, Economic, Equity, Social, Resources, Environments), evaluate contextual sentiment distributions (Positive, Neutral, Negative), and formulate a continuous Greenwashing Index (GW) benchmarked against monthly equity market fluctuations. Empirical findings demonstrate that: (1) Vietnamese corporate disclosures exhibit an overwhelming economic dominance (SDGs 8, 9) and partnership focus (SDG 17), while systemic gaps persist in Equity disclosures (SDGs 4, 5, 10); (2) Disclosures are characterized by pronounced structural optimism bias (53.9% positive, 33.0% neutral, and merely 13.1% negative sentences); (3) Longitudinal market tests reveal complete decoupling between narrative corporate tone and annual stock performance (pooled Pearson r = -0.046, p = 0.791), evidencing impression management in an emerging market where non-financial data is not yet fully priced; and (4) The continuous GW index effectively isolates market penalty periods juxtaposed against corporate tone inflation, while underscoring critical methodological lessons regarding PDF digitization hygiene and OCR artifacts. Crucial policy recommendations are proposed to standardize digital sustainability reporting infrastructure in Vietnam.</w:t>
      </w:r>
    </w:p>
    <w:p>
      <w:pPr>
        <w:spacing w:line="324" w:lineRule="auto" w:after="80"/>
        <w:ind w:firstLine="567"/>
        <w:jc w:val="both"/>
      </w:pPr>
      <w:r>
        <w:rPr>
          <w:rFonts w:ascii="Times New Roman" w:hAnsi="Times New Roman"/>
          <w:b/>
          <w:i w:val="0"/>
          <w:color w:val="000000"/>
          <w:sz w:val="24"/>
        </w:rPr>
        <w:t>Keywords: Corporate sustainability reports; Sustainable Development Goals (SDGs); Natural language processing (NLP); Sentence-BERT; PhoBERT; Sentiment analysis; Greenwashing; Vietnam stock market.</w:t>
      </w:r>
    </w:p>
    <w:p>
      <w:pPr>
        <w:keepNext/>
        <w:spacing w:before="280" w:after="80"/>
      </w:pPr>
      <w:r>
        <w:rPr>
          <w:rFonts w:ascii="Times New Roman" w:hAnsi="Times New Roman"/>
          <w:b/>
          <w:color w:val="000000"/>
          <w:sz w:val="26"/>
        </w:rPr>
        <w:t>1. GIỚI THIỆU (INTRODUCTION)</w:t>
      </w:r>
    </w:p>
    <w:p>
      <w:pPr>
        <w:spacing w:line="324" w:lineRule="auto" w:after="80"/>
        <w:ind w:firstLine="567"/>
        <w:jc w:val="both"/>
      </w:pPr>
      <w:r>
        <w:rPr>
          <w:rFonts w:ascii="Times New Roman" w:hAnsi="Times New Roman"/>
          <w:b w:val="0"/>
          <w:i w:val="0"/>
          <w:color w:val="000000"/>
          <w:sz w:val="24"/>
        </w:rPr>
        <w:t>Trong bối cảnh biến đổi khí hậu toàn cầu và sự chuyển dịch mạnh mẽ hướng tới mô hình kinh tế tuần hoàn, việc công bố thông tin Môi trường, Xã hội và Quản trị (ESG) cùng các Mục tiêu Phát triển Bền vững {United Nations, 2015} không còn là hoạt động mang tính thiện nguyện đơn thuần mà đã trở thành yêu cầu pháp lý và tiêu chuẩn cạnh tranh sống còn đối với các doanh nghiệp niêm yết trên toàn cầu {Global Reporting Initiative, 2021}. Tại Việt Nam, cam kết mạnh mẽ của Chính phủ tại Hội nghị COP26 về việc đạt mức phát thải ròng bằng 0 (Net-Zero) vào năm 2050 cùng sự ra đời của Thông tư số 96/2020/TT-BTC {Bộ Tài chính, 2020} đã chính thức bắt buộc các công ty đại chúng phải công bố báo cáo tác động môi trường và xã hội. Thêm vào đó, việc phát triển Bộ Chỉ số Doanh nghiệp Bền vững (CSI) bởi Liên đoàn Thương mại và Công nghiệp Việt Nam {Hội đồng Doanh nghiệp vì sự Phát triển Bền vững Việt Nam, 2024} và Sổ tay thực hành ESG do Ủy ban Chứng khoán Nhà nước ban hành {Ủy ban Chứng khoán Nhà nước, 2024} đã thúc đẩy các tập đoàn đầu ngành chuyển từ việc lồng ghép sơ lược trong báo cáo thường niên sang phát hành các Báo cáo Phát triển Bền vững độc lập và Báo cáo Tích hợp toàn diện theo chuẩn mực quốc tế của Sáng kiến Báo cáo Toàn cầu (GRI).</w:t>
      </w:r>
    </w:p>
    <w:p>
      <w:pPr>
        <w:spacing w:line="324" w:lineRule="auto" w:after="80"/>
        <w:ind w:firstLine="567"/>
        <w:jc w:val="both"/>
      </w:pPr>
      <w:r>
        <w:rPr>
          <w:rFonts w:ascii="Times New Roman" w:hAnsi="Times New Roman"/>
          <w:b w:val="0"/>
          <w:i w:val="0"/>
          <w:color w:val="000000"/>
          <w:sz w:val="24"/>
        </w:rPr>
        <w:t>Tuy nhiên, sự bùng nổ về số lượng và độ dài của các tài liệu báo cáo phi tài chính—thường lên tới hàng trăm trang với định dạng văn bản tự do và đồ họa phức tạp—đang đặt ra thách thức chưa từng có đối với các cơ quan quản lý, chuyên viên phân tích tài chính và công chúng đầu tư {Arvidsson &amp; Dumay, 2022}. Phương pháp kiểm tra thủ công truyền thống (content analysis) bằng cách đọc và mã hóa thủ công bộc lộ những hạn chế cố hữu: tốn kém nguồn lực, không thể mở rộng quy mô (unscalable), và dễ bị chi phối bởi định kiến chủ quan của người đánh giá. Nguy hiểm hơn, bản chất tự nguyện và thiếu cơ chế kiểm toán độc lập nghiêm ngặt đối với thông tin định tính thường biến các báo cáo này thành công cụ phục vụ chiến lược quản trị ấn tượng (impression management) {Merkl-Davies &amp; Brennan, 2007}. Nhiều doanh nghiệp có xu hướng lựa chọn cherry-picking các thành tựu nổi bật, sử dụng ngôn từ mỹ miều, tô hồng thực trạng hoạt động để che đậy các yếu kém về môi trường, dẫn tới hiện tượng tẩy xanh (greenwashing) gây méo mó thị trường và xói mòn niềm tin của nhà đầu tư {Lyon &amp; Montgomery, 2015}.</w:t>
      </w:r>
    </w:p>
    <w:p>
      <w:pPr>
        <w:spacing w:line="324" w:lineRule="auto" w:after="80"/>
        <w:ind w:firstLine="567"/>
        <w:jc w:val="both"/>
      </w:pPr>
      <w:r>
        <w:rPr>
          <w:rFonts w:ascii="Times New Roman" w:hAnsi="Times New Roman"/>
          <w:b w:val="0"/>
          <w:i w:val="0"/>
          <w:color w:val="000000"/>
          <w:sz w:val="24"/>
        </w:rPr>
        <w:t>Để giải quyết triệt để bài toán trên, việc ứng dụng Trí tuệ Nhân tạo (AI), đặc biệt là Xử lý Ngôn ngữ Tự nhiên (Natural Language Processing - NLP) và mô hình học sâu biến đổi ngôn ngữ (Transformers), đã mở ra kỷ nguyên mới cho kiểm toán phi tài chính tự động {Luccioni et al., 2020}. Tiêu biểu cho hướng tiếp cận này là công trình nền tảng của {Kang, 2022}, trong đó các tác giả đã sử dụng Sentence-BERT {Reimers &amp; Gurevych, 2019} và mô hình phân tích cảm xúc để trực quan hóa mức độ gắn kết với 17 mục tiêu SDG trên 24 báo cáo của 6 tập đoàn tài phiệt lớn tại Hàn Quốc. Mặc dù công trình của Kang và Kim đã đặt nền móng phương pháp luận xuất sắc, việc chuyển giao và ứng dụng mô hình này vào thị trường mới nổi như Việt Nam gặp phải những thách thức kỹ thuật đặc thù: rào cản xử lý ngôn ngữ tiếng Việt (vốn có cấu trúc từ ghép đơn âm tiết, phụ thuộc chặt chẽ vào ngữ cảnh tách từ) và sự non trẻ của hệ sinh thái công bố thông tin tài chính trong nước {Nguyen &amp; Nguyen, 2020}.</w:t>
      </w:r>
    </w:p>
    <w:p>
      <w:pPr>
        <w:spacing w:line="324" w:lineRule="auto" w:after="80"/>
        <w:ind w:firstLine="567"/>
        <w:jc w:val="both"/>
      </w:pPr>
      <w:r>
        <w:rPr>
          <w:rFonts w:ascii="Times New Roman" w:hAnsi="Times New Roman"/>
          <w:b w:val="0"/>
          <w:i w:val="0"/>
          <w:color w:val="000000"/>
          <w:sz w:val="24"/>
        </w:rPr>
        <w:t>Xuất phát từ thực tiễn trên, nghiên cứu này được thực hiện nhằm tái hiện, chuẩn hóa và mở rộng toàn diện khung phân tích của {Kang, 2022} cho thị trường chứng khoán Việt Nam. Điểm đột phá của công trình này là việc mở rộng quy mô nghiên cứu lên 7 tập đoàn niêm yết lớn thuộc các ngành kinh tế trụ cột (Bảo hiểm - Tài chính, Nông nghiệp - Thực phẩm, Năng lượng - Xăng dầu, Bán lẻ - Vàng bạc trang sức, Chứng khoán - Ngân hàng đầu tư, Vật liệu xây dựng - Công nghiệp chế tạo, Hàng tiêu dùng nhanh - Sữa) trong chuỗi thời gian 6 năm liên tục từ 2020 đến 2025. Bằng việc phân tích định lượng 95.804 câu văn bản số hóa, bài báo không chỉ trực quan hóa cơ cấu cam kết phát triển bền vững và sắc thái cảm xúc doanh nghiệp, mà còn thiết kế chỉ số tẩy xanh liên tục (GW Index) đối chiếu với diễn biến thị trường chứng khoán thực tế, đồng thời rút ra bài học sâu sắc về chất lượng dữ liệu số hóa.</w:t>
      </w:r>
    </w:p>
    <w:p>
      <w:pPr>
        <w:keepNext/>
        <w:spacing w:before="280" w:after="80"/>
      </w:pPr>
      <w:r>
        <w:rPr>
          <w:rFonts w:ascii="Times New Roman" w:hAnsi="Times New Roman"/>
          <w:b/>
          <w:color w:val="000000"/>
          <w:sz w:val="26"/>
        </w:rPr>
        <w:t>2. TỔNG QUAN NGHIÊN CỨU (LITERATURE REVIEW)</w:t>
      </w:r>
    </w:p>
    <w:p>
      <w:pPr>
        <w:keepNext/>
        <w:spacing w:before="200" w:after="60"/>
      </w:pPr>
      <w:r>
        <w:rPr>
          <w:rFonts w:ascii="Times New Roman" w:hAnsi="Times New Roman"/>
          <w:b/>
          <w:color w:val="000000"/>
          <w:sz w:val="25"/>
        </w:rPr>
        <w:t>2.1 Các Mục tiêu Phát triển Bền vững (SDGs) và Chuẩn mực Báo cáo Phi Tài chính</w:t>
      </w:r>
    </w:p>
    <w:p>
      <w:pPr>
        <w:spacing w:line="324" w:lineRule="auto" w:after="80"/>
        <w:ind w:firstLine="567"/>
        <w:jc w:val="both"/>
      </w:pPr>
      <w:r>
        <w:rPr>
          <w:rFonts w:ascii="Times New Roman" w:hAnsi="Times New Roman"/>
          <w:b w:val="0"/>
          <w:i w:val="0"/>
          <w:color w:val="000000"/>
          <w:sz w:val="24"/>
        </w:rPr>
        <w:t>Năm 2015, Đại hội đồng Liên Hợp Quốc đã chính thức thông qua Chương trình Nghị sự 2030 với 17 Mục tiêu Phát triển Bền vững (SDGs) và 169 mục tiêu cụ thể, thiết lập một khuôn khổ hành động toàn diện nhằm giải quyết các thách thức khẩn cấp về nghèo đói, bất bình đẳng, suy thoái môi trường và biến đổi khí hậu {United Nations, 2015}. Trong lý thuyết các bên liên quan (Stakeholder Theory) {Freeman, 1984} và lý thuyết tính chính danh (Legitimacy Theory) {Deegan, 2002}, doanh nghiệp không chỉ có nghĩa vụ tối đa hóa lợi nhuận cho cổ đông mà còn phải chứng minh tính hợp pháp và sự đóng góp tích cực vào phúc lợi xã hội thông qua các cam kết phát triển bền vững minh bạch.</w:t>
      </w:r>
    </w:p>
    <w:p>
      <w:pPr>
        <w:spacing w:line="324" w:lineRule="auto" w:after="80"/>
        <w:ind w:firstLine="567"/>
        <w:jc w:val="both"/>
      </w:pPr>
      <w:r>
        <w:rPr>
          <w:rFonts w:ascii="Times New Roman" w:hAnsi="Times New Roman"/>
          <w:b w:val="0"/>
          <w:i w:val="0"/>
          <w:color w:val="000000"/>
          <w:sz w:val="24"/>
        </w:rPr>
        <w:t>Nhằm hỗ trợ doanh nghiệp cụ thể hóa các mục tiêu SDG vào chiến lược kinh doanh, Tổ chức Sáng kiến Báo cáo Toàn cầu đã phát triển Bộ tiêu chuẩn GRI {Global Reporting Initiative, 2021}, cung cấp hệ thống chỉ số định lượng và định tính chuẩn hóa về kinh tế, môi trường và xã hội. Tuy nhiên, các nghiên cứu thực nghiệm quốc tế chỉ ra rằng các doanh nghiệp thường có xu hướng 'chọn việc dễ, bỏ việc khó' (cherry-picking), tập trung công bố sâu vào các mục tiêu mang lại lợi ích kinh tế trực tiếp mà phớt lờ các mục tiêu xã hội nhạy cảm hoặc đòi hỏi chi phí đầu tư lớn ('{Muñoz-Torres et al., 2019}', '{Pizzi et al., 2020}'). Điều này đòi hỏi những công cụ đo lường khách quan để giám sát toàn diện mức độ gắn kết thực chất của doanh nghiệp đối với toàn bộ 17 mục tiêu SDG.</w:t>
      </w:r>
    </w:p>
    <w:p>
      <w:pPr>
        <w:keepNext/>
        <w:spacing w:before="200" w:after="60"/>
      </w:pPr>
      <w:r>
        <w:rPr>
          <w:rFonts w:ascii="Times New Roman" w:hAnsi="Times New Roman"/>
          <w:b/>
          <w:color w:val="000000"/>
          <w:sz w:val="25"/>
        </w:rPr>
        <w:t>2.2 Ứng dụng Xử lý Ngôn ngữ Tự nhiên (NLP) trong Đánh giá Báo cáo Doanh nghiệp</w:t>
      </w:r>
    </w:p>
    <w:p>
      <w:pPr>
        <w:spacing w:line="324" w:lineRule="auto" w:after="80"/>
        <w:ind w:firstLine="567"/>
        <w:jc w:val="both"/>
      </w:pPr>
      <w:r>
        <w:rPr>
          <w:rFonts w:ascii="Times New Roman" w:hAnsi="Times New Roman"/>
          <w:b w:val="0"/>
          <w:i w:val="0"/>
          <w:color w:val="000000"/>
          <w:sz w:val="24"/>
        </w:rPr>
        <w:t>Sự tiến hóa của các phương pháp phân tích văn bản trong lĩnh vực tài chính - kế toán đã trải qua nhiều giai đoạn đột phá. Các phương pháp ban đầu dựa trên tần suất từ vựng (Bag-of-Words, TF-IDF) hoàn toàn bỏ qua trật tự từ và cấu trúc ngữ pháp. Tiếp đó, các mô hình nhúng từ (word embeddings) như Word2Vec {Mikolov et al., 2013} và GloVe đã ghi nhận được mối quan hệ không gian giữa các từ nhưng gặp trở ngại nghiêm trọng trước hiện tượng đa nghĩa của từ trong các ngữ cảnh chuyên ngành tài chính khác nhau.</w:t>
      </w:r>
    </w:p>
    <w:p>
      <w:pPr>
        <w:spacing w:line="324" w:lineRule="auto" w:after="80"/>
        <w:ind w:firstLine="567"/>
        <w:jc w:val="both"/>
      </w:pPr>
      <w:r>
        <w:rPr>
          <w:rFonts w:ascii="Times New Roman" w:hAnsi="Times New Roman"/>
          <w:b w:val="0"/>
          <w:i w:val="0"/>
          <w:color w:val="000000"/>
          <w:sz w:val="24"/>
        </w:rPr>
        <w:t>Bước ngoặt xuất hiện với sự ra đời của kiến trúc Transformer và mô hình BERT {Devlin et al., 2019}, cho phép máy tính hiểu sâu sắc ngữ cảnh hai chiều của câu văn. Đặc biệt, mô hình Sentence-BERT (SBERT) của {Reimers &amp; Gurevych, 2019} đã khắc phục nhược điểm về tốc độ tính toán của BERT nguyên bản bằng cách sử dụng mạng Siamese để tạo ra các vector nhúng câu có ý nghĩa ngữ nghĩa (semantically meaningful sentence embeddings), cho phép so sánh độ tương đồng cosine giữa các đoạn văn với tốc độ vượt trội. Trong nghiên cứu về phát triển bền vững, {Kang, 2022} đã chứng minh SBERT và USE vượt trội hoàn toàn so với TF-IDF trong việc nắm bắt nội hàm mục tiêu SDG, mở đường cho việc tự động hóa đánh giá báo cáo doanh nghiệp ở quy mô lớn {Mercereau &amp; Melin, 2020}.</w:t>
      </w:r>
    </w:p>
    <w:p>
      <w:pPr>
        <w:keepNext/>
        <w:spacing w:before="200" w:after="60"/>
      </w:pPr>
      <w:r>
        <w:rPr>
          <w:rFonts w:ascii="Times New Roman" w:hAnsi="Times New Roman"/>
          <w:b/>
          <w:color w:val="000000"/>
          <w:sz w:val="25"/>
        </w:rPr>
        <w:t>2.3 Phân tích Cảm xúc và Xu hướng Thiên lệch Lạc quan (Optimism Bias)</w:t>
      </w:r>
    </w:p>
    <w:p>
      <w:pPr>
        <w:spacing w:line="324" w:lineRule="auto" w:after="80"/>
        <w:ind w:firstLine="567"/>
        <w:jc w:val="both"/>
      </w:pPr>
      <w:r>
        <w:rPr>
          <w:rFonts w:ascii="Times New Roman" w:hAnsi="Times New Roman"/>
          <w:b w:val="0"/>
          <w:i w:val="0"/>
          <w:color w:val="000000"/>
          <w:sz w:val="24"/>
        </w:rPr>
        <w:t>Phân tích cảm xúc (Sentiment Analysis) trong văn bản tài chính có lịch sử nghiên cứu phong phú bắt đầu từ từ điển chuẩn mực của {Loughran &amp; McDonald, 2011}, chỉ ra rằng các từ điển tâm lý thông thường thường phân loại sai các thuật ngữ tài chính tiêu chuẩn (như 'cost', 'liability', 'tax'). Gần đây, sự xuất hiện của các mô hình chuyên biệt như FinBERT {Huang et al., 2023} và PhoBERT {Nguyen &amp; Nguyen, 2020} đã nâng độ chính xác nhận diện sắc thái cảm xúc lên tầm cao mới. Trong báo cáo phát triển bền vững, nhiều nghiên cứu quốc tế {Veenstra &amp; Ellemers, 2020} chỉ ra hiện tượng 'thiên lệch lạc quan' (optimism bias) mang tính hệ thống: doanh nghiệp chủ động sử dụng ngôn từ tích cực áp đảo để xây dựng hình ảnh trách nhiệm xã hội, trong khi các sự cố môi trường, vi phạm lao động hoặc chỉ tiêu phát thải không đạt thường bị làm mờ bằng cách dùng thể bị động hoặc câu từ trung tính né tránh trách nhiệm.</w:t>
      </w:r>
    </w:p>
    <w:p>
      <w:pPr>
        <w:keepNext/>
        <w:spacing w:before="200" w:after="60"/>
      </w:pPr>
      <w:r>
        <w:rPr>
          <w:rFonts w:ascii="Times New Roman" w:hAnsi="Times New Roman"/>
          <w:b/>
          <w:color w:val="000000"/>
          <w:sz w:val="25"/>
        </w:rPr>
        <w:t>2.4 Hiện tượng Tẩy xanh (Greenwashing) và Sự Phân kỳ Thị trường</w:t>
      </w:r>
    </w:p>
    <w:p>
      <w:pPr>
        <w:spacing w:line="324" w:lineRule="auto" w:after="80"/>
        <w:ind w:firstLine="567"/>
        <w:jc w:val="both"/>
      </w:pPr>
      <w:r>
        <w:rPr>
          <w:rFonts w:ascii="Times New Roman" w:hAnsi="Times New Roman"/>
          <w:b w:val="0"/>
          <w:i w:val="0"/>
          <w:color w:val="000000"/>
          <w:sz w:val="24"/>
        </w:rPr>
        <w:t>Theo định nghĩa kinh điển của {Lyon &amp; Montgomery, 2015}, tẩy xanh (greenwashing) là hành vi cố tình đánh lừa công chúng và người tiêu dùng về hiệu quả môi trường của một công ty hoặc lợi ích môi trường của sản phẩm/dịch vụ. {Seele &amp; Gatti, 2017} phân loại tẩy xanh thành hai cấp độ: tẩy xanh tuyên bố (claim greenwashing) và tẩy xanh điều hành (executive greenwashing). Dưới góc độ Lý thuyết Tín hiệu (Signaling Theory) ('{Spence, 1973}', '{Connelly et al., 2011}'), báo cáo phát triển bền vững đáng lẽ phải là tín hiệu tốn kém (costly signal) để các doanh nghiệp thực thi ESG xuất sắc phân biệt mình với các đối thủ yếu kém. Tuy nhiên, khi chi phí phát hành báo cáo bằng lời nói rẻ hơn rất nhiều so với chi phí đầu tư công nghệ xanh (cheap talk), hiện tượng tẩy xanh sẽ bùng phát {Heras-Saizarbitoria et al., 2022}.</w:t>
      </w:r>
    </w:p>
    <w:p>
      <w:pPr>
        <w:spacing w:line="324" w:lineRule="auto" w:after="80"/>
        <w:ind w:firstLine="567"/>
        <w:jc w:val="both"/>
      </w:pPr>
      <w:r>
        <w:rPr>
          <w:rFonts w:ascii="Times New Roman" w:hAnsi="Times New Roman"/>
          <w:b w:val="0"/>
          <w:i w:val="0"/>
          <w:color w:val="000000"/>
          <w:sz w:val="24"/>
        </w:rPr>
        <w:t>Để nhận diện hiện tượng này, một số nghiên cứu tiên phong đã đối chiếu sự biến động của giọng văn báo cáo với hiệu quả hoạt động thực tế trên thị trường chứng khoán. Nếu giá cổ phiếu sụt giảm nghiêm trọng (phản ánh thị trường trừng phạt kết quả kinh doanh hoặc rủi ro pháp lý) nhưng giọng văn trong báo cáo phát triển bền vững lại đột ngột gia tăng mức độ lạc quan và tích cực, đó là dấu hiệu cảnh báo mạnh mẽ về sự phân kỳ mang tính tẩy xanh nhằm xoa dịu áp lực cổ đông.</w:t>
      </w:r>
    </w:p>
    <w:p>
      <w:pPr>
        <w:keepNext/>
        <w:spacing w:before="200" w:after="60"/>
      </w:pPr>
      <w:r>
        <w:rPr>
          <w:rFonts w:ascii="Times New Roman" w:hAnsi="Times New Roman"/>
          <w:b/>
          <w:color w:val="000000"/>
          <w:sz w:val="25"/>
        </w:rPr>
        <w:t>2.5 Khung Pháp lý và Thực trạng Công bố Thông tin Bền vững tại Việt Nam</w:t>
      </w:r>
    </w:p>
    <w:p>
      <w:pPr>
        <w:spacing w:line="324" w:lineRule="auto" w:after="80"/>
        <w:ind w:firstLine="567"/>
        <w:jc w:val="both"/>
      </w:pPr>
      <w:r>
        <w:rPr>
          <w:rFonts w:ascii="Times New Roman" w:hAnsi="Times New Roman"/>
          <w:b w:val="0"/>
          <w:i w:val="0"/>
          <w:color w:val="000000"/>
          <w:sz w:val="24"/>
        </w:rPr>
        <w:t>Tại Việt Nam, tiến trình công bố thông tin phi tài chính đã có những bước tiến dài về mặt thể chế. Trước năm 2016, việc báo cáo ESG diễn ra phân tán và chủ yếu mang hình thức các hoạt động từ thiện cộng đồng (CSR). Kể từ khi Bộ Tài chính ban hành Thông tư số 155/2015/TT-BTC và sau đó thay thế bằng Thông tư số 96/2020/TT-BTC {Bộ Tài chính, 2020}, các công ty niêm yết bắt buộc phải công bố thông tin về phát thải khí nhà kính, tiêu thụ năng lượng, chính sách lao động và trách nhiệm cộng đồng trong Báo cáo Thường niên. Mặc dù khung khổ pháp lý ngày càng hoàn thiện, các nghiên cứu thực nghiệm của ('{Tran &amp; Beddewela, 2020}', '{Hoang et al., 2019}') chỉ ra rằng chất lượng báo cáo tại Việt Nam vẫn tồn tại khoảng cách rất lớn giữa nhóm các tập đoàn đầu ngành (VN30) và phần còn lại của thị trường. Đa phần các doanh nghiệp vừa và nhỏ chỉ dừng lại ở mức tuân thủ hình thức (tick-box compliance), trong khi việc lập báo cáo chuyên biệt và có bảo đảm độc lập vẫn là điều hiếm hoi trên thị trường chứng khoán Việt Nam ('{PwC Vietnam, 2022}', '{Gerged et al., 2021}').</w:t>
      </w:r>
    </w:p>
    <w:p>
      <w:pPr>
        <w:keepNext/>
        <w:spacing w:before="280" w:after="80"/>
      </w:pPr>
      <w:r>
        <w:rPr>
          <w:rFonts w:ascii="Times New Roman" w:hAnsi="Times New Roman"/>
          <w:b/>
          <w:color w:val="000000"/>
          <w:sz w:val="26"/>
        </w:rPr>
        <w:t>3. PHƯƠNG PHÁP NGHIÊN CỨU (METHODOLOGY)</w:t>
      </w:r>
    </w:p>
    <w:p>
      <w:pPr>
        <w:keepNext/>
        <w:spacing w:before="200" w:after="60"/>
      </w:pPr>
      <w:r>
        <w:rPr>
          <w:rFonts w:ascii="Times New Roman" w:hAnsi="Times New Roman"/>
          <w:b/>
          <w:color w:val="000000"/>
          <w:sz w:val="25"/>
        </w:rPr>
        <w:t>3.1 Dữ liệu và Mẫu Nghiên cứu (Sample Selection)</w:t>
      </w:r>
    </w:p>
    <w:p>
      <w:pPr>
        <w:spacing w:line="324" w:lineRule="auto" w:after="80"/>
        <w:ind w:firstLine="567"/>
        <w:jc w:val="both"/>
      </w:pPr>
      <w:r>
        <w:rPr>
          <w:rFonts w:ascii="Times New Roman" w:hAnsi="Times New Roman"/>
          <w:b w:val="0"/>
          <w:i w:val="0"/>
          <w:color w:val="000000"/>
          <w:sz w:val="24"/>
        </w:rPr>
        <w:t>Để đảm bảo tính đại diện cao cho nền kinh tế Việt Nam và xây dựng một bộ dữ liệu bảng cân bằng (balanced panel data) phục vụ phân tích chuỗi thời gian, nghiên cứu tiến hành thu thập toàn bộ các Báo cáo Phát triển Bền vững độc lập và Báo cáo Tích hợp công bố công khai của 7 doanh nghiệp niêm yết lớn trong giai đoạn 6 năm liên tục từ 2020 đến 2025 (tổng cộng 42 báo cáo). 7 doanh nghiệp này đại diện cho các ngành kinh tế xương sống: Bảo hiểm - Tài chính (BVH), Nông nghiệp - Thực phẩm chế biến (PAN), Năng lượng - Xăng dầu (PLX), Bán lẻ kim hoàn (PNJ), Dịch vụ tài chính - Chứng khoán (SSI), Vật liệu xây dựng chế tạo (VCS), và Hàng tiêu dùng nhanh - Sữa (VNM). Thông tin khái quát về các doanh nghiệp được trình bày tại Bảng 1.</w:t>
      </w:r>
    </w:p>
    <w:p>
      <w:pPr>
        <w:keepNext/>
        <w:spacing w:before="240" w:after="20"/>
      </w:pPr>
      <w:r>
        <w:rPr>
          <w:rFonts w:ascii="Times New Roman" w:hAnsi="Times New Roman"/>
          <w:b/>
          <w:color w:val="000000"/>
          <w:sz w:val="21"/>
        </w:rPr>
        <w:t>Bảng 1</w:t>
      </w:r>
    </w:p>
    <w:p>
      <w:pPr>
        <w:keepNext/>
        <w:spacing w:before="0" w:after="80"/>
      </w:pPr>
      <w:r>
        <w:rPr>
          <w:rFonts w:ascii="Times New Roman" w:hAnsi="Times New Roman"/>
          <w:i/>
          <w:color w:val="000000"/>
          <w:sz w:val="21"/>
        </w:rPr>
        <w:t>Khái quát mẫu nghiên cứu 7 doanh nghiệp niêm yết giai đoạn 2020–2025</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Mã CK</w:t>
            </w:r>
          </w:p>
        </w:tc>
        <w:tc>
          <w:tcPr>
            <w:tcW w:type="dxa" w:w="215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Tên doanh nghiệp</w:t>
            </w:r>
          </w:p>
        </w:tc>
        <w:tc>
          <w:tcPr>
            <w:tcW w:type="dxa" w:w="215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Ngành hoạt động cốt lõi</w:t>
            </w:r>
          </w:p>
        </w:tc>
        <w:tc>
          <w:tcPr>
            <w:tcW w:type="dxa" w:w="68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Sàn</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Giai đoạn</w:t>
            </w:r>
          </w:p>
        </w:tc>
        <w:tc>
          <w:tcPr>
            <w:tcW w:type="dxa" w:w="2211"/>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Chuẩn mực công bố áp dụng</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BVH</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Tập đoàn Bảo Việt (Bao Viet Holdings)</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Tài chính, Bảo hiểm nhân thọ/phi nhân thọ, Quản lý quỹ</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Báo cáo tích hợp quốc tế (&lt;IIRC&gt;), GRI Standards</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PAN</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CTCP Tập đoàn PAN (The PAN Group)</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Nông nghiệp công nghệ cao, Thủy sản, Thực phẩm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Ma trận tính trọng yếu chuỗi giá trị</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PLX</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Tập đoàn Xăng dầu Việt Nam (Petrolimex)</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Năng lượng, Kinh doanh xăng dầu, Hóa dầu</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ISO 14064-1 Kiểm kê KNK</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PNJ</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CTCP Vàng bạc Đá quý Phú Nhuận</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Chế tác kim hoàn, Bán lẻ trang sức thời trang</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Trụ cột DE&amp;I, Phát triển nguồn nhân lực</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SSI</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CTCP Chứng khoán SSI</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Dịch vụ tài chính, Môi giới chứng khoán, Ngân hàng đầu tư</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Khung tài chính xanh &amp; Đầu tư có trách nhiệm</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VCS</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CTCP Vicostone (Tập đoàn Phenikaa)</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Sản xuất vật liệu xây dựng cao cấp, Đá thạch anh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HNX</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Kinh tế tuần hoàn &amp; An toàn hóa chất</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VNM</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CTCP Sữa Việt Nam (Vinamilk)</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Chăn nuôi bò sữa, Chế biến sữa và đồ uống dinh dưỡng</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PAS 2060 (Trung hòa Carbon), CDP</w:t>
            </w:r>
          </w:p>
        </w:tc>
      </w:tr>
    </w:tbl>
    <w:p>
      <w:pPr>
        <w:spacing w:before="60" w:after="160"/>
      </w:pPr>
      <w:r>
        <w:rPr>
          <w:rFonts w:ascii="Times New Roman" w:hAnsi="Times New Roman"/>
          <w:i/>
          <w:sz w:val="18"/>
        </w:rPr>
        <w:t xml:space="preserve">Ghi chú. </w:t>
      </w:r>
      <w:r>
        <w:rPr>
          <w:rFonts w:ascii="Times New Roman" w:hAnsi="Times New Roman"/>
          <w:i w:val="0"/>
          <w:sz w:val="18"/>
        </w:rPr>
        <w:t>Dữ liệu tổng hợp từ các Báo cáo Phát triển Bền vững và Báo cáo Tích hợp công bố chính thức trên cổng thông tin HOSE, HNX và website doanh nghiệp.</w:t>
      </w:r>
    </w:p>
    <w:p>
      <w:pPr>
        <w:keepNext/>
        <w:spacing w:before="200" w:after="60"/>
      </w:pPr>
      <w:r>
        <w:rPr>
          <w:rFonts w:ascii="Times New Roman" w:hAnsi="Times New Roman"/>
          <w:b/>
          <w:color w:val="000000"/>
          <w:sz w:val="25"/>
        </w:rPr>
        <w:t>3.2 Quy trình Trích xuất và Tiền Xử lý Dữ liệu Văn bản (Text Preprocessing)</w:t>
      </w:r>
    </w:p>
    <w:p>
      <w:pPr>
        <w:spacing w:line="324" w:lineRule="auto" w:after="80"/>
        <w:ind w:firstLine="567"/>
        <w:jc w:val="both"/>
      </w:pPr>
      <w:r>
        <w:rPr>
          <w:rFonts w:ascii="Times New Roman" w:hAnsi="Times New Roman"/>
          <w:b w:val="0"/>
          <w:i w:val="0"/>
          <w:color w:val="000000"/>
          <w:sz w:val="24"/>
        </w:rPr>
        <w:t>Các báo cáo phát triển bền vững thường được phát hành dưới định dạng PDF với bố cục đồ họa đa cột phức tạp, chèn xen kẽ hình ảnh, biểu đồ và bảng biểu. Quy trình xử lý văn bản tự động được xây dựng thông qua thư viện PyMuPDF (fitz) với các bước kiểm soát chất lượng nghiêm ngặt: (1) Bóc tách cấu trúc từng trang văn bản điện tử; (2) Loại bỏ tự động trang bìa, mục lục tra cứu, lời tựa mang tính thủ tục hành chính; (3) Tách câu bằng thuật ngữ kết thúc câu chuẩn hóa trong tiếng Việt; (4) Áp dụng bộ lọc độ dài: loại bỏ các chuỗi ký tự gãy khúc, tiêu đề cột bảng số liệu hoặc các đoạn văn bản dưới 6 từ (do đặc trưng đơn âm tiết của tiếng Việt đòi hỏi độ dài tối thiểu để mang nghĩa ngữ pháp đầy đủ). Sau khi tiền xử lý, toàn bộ 42 báo cáo đã kết xuất được 95.804 câu văn bản hợp lệ với tổng số 4.773 trang tài liệu, đạt mật độ bình quân 20,07 câu/trang. Chi tiết thống kê số câu và số trang từng báo cáo được ghi nhận tại Bảng 2.</w:t>
      </w:r>
    </w:p>
    <w:p>
      <w:pPr>
        <w:keepNext/>
        <w:spacing w:before="240" w:after="20"/>
      </w:pPr>
      <w:r>
        <w:rPr>
          <w:rFonts w:ascii="Times New Roman" w:hAnsi="Times New Roman"/>
          <w:b/>
          <w:color w:val="000000"/>
          <w:sz w:val="21"/>
        </w:rPr>
        <w:t>Bảng 2</w:t>
      </w:r>
    </w:p>
    <w:p>
      <w:pPr>
        <w:keepNext/>
        <w:spacing w:before="0" w:after="80"/>
      </w:pPr>
      <w:r>
        <w:rPr>
          <w:rFonts w:ascii="Times New Roman" w:hAnsi="Times New Roman"/>
          <w:i/>
          <w:color w:val="000000"/>
          <w:sz w:val="21"/>
        </w:rPr>
        <w:t>Thống kê mô tả quy mô số hóa dữ liệu văn bản từ 42 báo cáo (2020–2025)</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113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Công ty</w:t>
            </w:r>
          </w:p>
        </w:tc>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Năm</w:t>
            </w:r>
          </w:p>
        </w:tc>
        <w:tc>
          <w:tcPr>
            <w:tcW w:type="dxa" w:w="2551"/>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Tên tệp báo cáo PDF</w:t>
            </w:r>
          </w:p>
        </w:tc>
        <w:tc>
          <w:tcPr>
            <w:tcW w:type="dxa" w:w="141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Số câu</w:t>
            </w:r>
          </w:p>
        </w:tc>
        <w:tc>
          <w:tcPr>
            <w:tcW w:type="dxa" w:w="141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Số trang</w:t>
            </w:r>
          </w:p>
        </w:tc>
        <w:tc>
          <w:tcPr>
            <w:tcW w:type="dxa" w:w="1701"/>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Mật độ (câu/trang)</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5,627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410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13.72</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6,388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222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28.77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6,419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386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16.63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3,691</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279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13.23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4,037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314</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12.86</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4,515</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346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13.05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1,464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17.64</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1,572</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76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20.68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1,630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883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14.48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1,758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20.21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2,044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22.97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2,038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85</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23.98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206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6.65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1,948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18.21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969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76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12.75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112</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4.87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1,377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17.00</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1,839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31.17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883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17.66</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0.21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1,050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18.75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1,489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21.58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1,618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19.73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1,246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24.43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1,213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1,190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1,203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24.06</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1,669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29.80</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1,938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28.09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2,174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21.31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2,139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91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23.51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2,455</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23.83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2,454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22.31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2,516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125</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20.13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5,974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248</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24.09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3,031</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28.33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3,509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32.19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2,886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93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31.03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1,907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15.89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2,221</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19.83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2,510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152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16.51</w:t>
            </w:r>
          </w:p>
        </w:tc>
      </w:tr>
    </w:tbl>
    <w:p>
      <w:pPr>
        <w:spacing w:before="60" w:after="160"/>
      </w:pPr>
      <w:r>
        <w:rPr>
          <w:rFonts w:ascii="Times New Roman" w:hAnsi="Times New Roman"/>
          <w:i/>
          <w:sz w:val="18"/>
        </w:rPr>
        <w:t xml:space="preserve">Ghi chú. </w:t>
      </w:r>
      <w:r>
        <w:rPr>
          <w:rFonts w:ascii="Times New Roman" w:hAnsi="Times New Roman"/>
          <w:i w:val="0"/>
          <w:sz w:val="18"/>
        </w:rPr>
        <w:t>Tổng quy mô: 42 báo cáo, 4.773 trang tài liệu, 95.804 câu văn bản hợp lệ. Mật độ bình quân đạt 20,07 câu/trang.</w:t>
      </w:r>
    </w:p>
    <w:p>
      <w:pPr>
        <w:keepNext/>
        <w:spacing w:before="200" w:after="60"/>
      </w:pPr>
      <w:r>
        <w:rPr>
          <w:rFonts w:ascii="Times New Roman" w:hAnsi="Times New Roman"/>
          <w:b/>
          <w:color w:val="000000"/>
          <w:sz w:val="25"/>
        </w:rPr>
        <w:t>3.3 Đo lường Độ Tương đồng Ngữ nghĩa SDG bằng Sentence-BERT</w:t>
      </w:r>
    </w:p>
    <w:p>
      <w:pPr>
        <w:spacing w:line="324" w:lineRule="auto" w:after="80"/>
        <w:ind w:firstLine="567"/>
        <w:jc w:val="both"/>
      </w:pPr>
      <w:r>
        <w:rPr>
          <w:rFonts w:ascii="Times New Roman" w:hAnsi="Times New Roman"/>
          <w:b w:val="0"/>
          <w:i w:val="0"/>
          <w:color w:val="000000"/>
          <w:sz w:val="24"/>
        </w:rPr>
        <w:t>Kế thừa phương pháp luận của {Kang, 2022}, nghiên cứu xây dựng tập văn bản ngữ liệu mục tiêu chuẩn (SDG reference corpus) gồm 169 mục tiêu cụ thể thuộc 17 Mục tiêu Phát triển Bền vững của Liên Hợp Quốc được chuyển ngữ chính xác sang tiếng Việt và bổ sung các thuật ngữ phát triển bền vững chuẩn mực doanh nghiệp (~400 câu mẫu đại diện). Ký hiệu S_g là tập hợp các câu chuẩn thuộc mục tiêu SDG thứ g (với g từ 1 đến 17).</w:t>
      </w:r>
    </w:p>
    <w:p>
      <w:pPr>
        <w:spacing w:line="324" w:lineRule="auto" w:after="80"/>
        <w:ind w:firstLine="567"/>
        <w:jc w:val="both"/>
      </w:pPr>
      <w:r>
        <w:rPr>
          <w:rFonts w:ascii="Times New Roman" w:hAnsi="Times New Roman"/>
          <w:b w:val="0"/>
          <w:i w:val="0"/>
          <w:color w:val="000000"/>
          <w:sz w:val="24"/>
        </w:rPr>
        <w:t>Để mã hóa ngữ nghĩa, nghiên cứu sử dụng mô hình học sâu biến đổi vietnamese-sbert {Reimers &amp; Gurevych, 2019}, được huấn luyện theo kiến trúc mạng Siamese trên ngữ liệu tiếng Việt quy mô lớn. Mỗi câu báo cáo r và mỗi câu chuẩn s trong tập mục tiêu S_g được ánh xạ thành các vector nhúng d-chiều r_hat và s_hat (với d = 768). Điểm tương đồng giữa câu báo cáo r và mục tiêu SDG g là giá trị trung bình độ tương đồng cosine giữa r_hat với tất cả các câu chuẩn s_hat thuộc mục tiêu đó:</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sim</m:t>
              </m:r>
              <m:r>
                <m:t>(r,g)=</m:t>
              </m:r>
              <m:f>
                <m:fPr>
                  <m:type m:val="bar"/>
                </m:fPr>
                <m:num>
                  <m:r>
                    <m:t>1</m:t>
                  </m:r>
                </m:num>
                <m:den>
                  <m:d>
                    <m:dPr>
                      <m:begChr m:val="|"/>
                      <m:sepChr m:val=""/>
                      <m:endChr m:val="|"/>
                    </m:dPr>
                    <m:e>
                      <m:sSub>
                        <m:e>
                          <m:r>
                            <m:t>S</m:t>
                          </m:r>
                        </m:e>
                        <m:sub>
                          <m:r>
                            <m:t>g</m:t>
                          </m:r>
                        </m:sub>
                      </m:sSub>
                    </m:e>
                  </m:d>
                </m:den>
              </m:f>
              <m:nary>
                <m:naryPr>
                  <m:chr m:val="∑"/>
                  <m:limLoc m:val="subSup"/>
                  <m:grow m:val="1"/>
                  <m:subHide m:val="off"/>
                  <m:supHide m:val="on"/>
                </m:naryPr>
                <m:sub>
                  <m:r>
                    <m:t>s∈</m:t>
                  </m:r>
                  <m:sSub>
                    <m:e>
                      <m:r>
                        <m:t>S</m:t>
                      </m:r>
                    </m:e>
                    <m:sub>
                      <m:r>
                        <m:t>g</m:t>
                      </m:r>
                    </m:sub>
                  </m:sSub>
                </m:sub>
                <m:sup/>
                <m:e>
                  <m:r>
                    <m:rPr>
                      <m:sty m:val="p"/>
                    </m:rPr>
                    <m:t>cos</m:t>
                  </m:r>
                  <m:r>
                    <m:t>(</m:t>
                  </m:r>
                </m:e>
              </m:nary>
              <m:acc>
                <m:accPr>
                  <m:chr m:val="̂"/>
                </m:accPr>
                <m:e>
                  <m:r>
                    <m:t>𝐫</m:t>
                  </m:r>
                </m:e>
              </m:acc>
              <m:r>
                <m:t>,</m:t>
              </m:r>
              <m:acc>
                <m:accPr>
                  <m:chr m:val="̂"/>
                </m:accPr>
                <m:e>
                  <m:r>
                    <m:t>𝐬</m:t>
                  </m:r>
                </m:e>
              </m:acc>
              <m:r>
                <m:t>)=</m:t>
              </m:r>
              <m:f>
                <m:fPr>
                  <m:type m:val="bar"/>
                </m:fPr>
                <m:num>
                  <m:r>
                    <m:t>1</m:t>
                  </m:r>
                </m:num>
                <m:den>
                  <m:d>
                    <m:dPr>
                      <m:begChr m:val="|"/>
                      <m:sepChr m:val=""/>
                      <m:endChr m:val="|"/>
                    </m:dPr>
                    <m:e>
                      <m:sSub>
                        <m:e>
                          <m:r>
                            <m:t>S</m:t>
                          </m:r>
                        </m:e>
                        <m:sub>
                          <m:r>
                            <m:t>g</m:t>
                          </m:r>
                        </m:sub>
                      </m:sSub>
                    </m:e>
                  </m:d>
                </m:den>
              </m:f>
              <m:nary>
                <m:naryPr>
                  <m:chr m:val="∑"/>
                  <m:limLoc m:val="subSup"/>
                  <m:grow m:val="1"/>
                  <m:subHide m:val="off"/>
                  <m:supHide m:val="on"/>
                </m:naryPr>
                <m:sub>
                  <m:r>
                    <m:t>s∈</m:t>
                  </m:r>
                  <m:sSub>
                    <m:e>
                      <m:r>
                        <m:t>S</m:t>
                      </m:r>
                    </m:e>
                    <m:sub>
                      <m:r>
                        <m:t>g</m:t>
                      </m:r>
                    </m:sub>
                  </m:sSub>
                </m:sub>
                <m:sup/>
                <m:e>
                  <m:f>
                    <m:fPr>
                      <m:type m:val="bar"/>
                    </m:fPr>
                    <m:num>
                      <m:acc>
                        <m:accPr>
                          <m:chr m:val="̂"/>
                        </m:accPr>
                        <m:e>
                          <m:r>
                            <m:t>𝐫</m:t>
                          </m:r>
                        </m:e>
                      </m:acc>
                      <m:r>
                        <m:t>·</m:t>
                      </m:r>
                      <m:acc>
                        <m:accPr>
                          <m:chr m:val="̂"/>
                        </m:accPr>
                        <m:e>
                          <m:r>
                            <m:t>𝐬</m:t>
                          </m:r>
                        </m:e>
                      </m:acc>
                    </m:num>
                    <m:den>
                      <m:d>
                        <m:dPr>
                          <m:begChr m:val="‖"/>
                          <m:sepChr m:val="‖"/>
                          <m:endChr m:val="‖"/>
                        </m:dPr>
                        <m:e/>
                        <m:e/>
                        <m:e/>
                      </m:d>
                    </m:den>
                  </m:f>
                </m:e>
              </m:nary>
            </m:oMath>
          </w:p>
        </w:tc>
        <w:tc>
          <w:tcPr>
            <w:tcW w:type="dxa" w:w="850"/>
          </w:tcPr>
          <w:p>
            <w:pPr>
              <w:spacing w:before="80" w:after="80"/>
              <w:jc w:val="right"/>
            </w:pPr>
            <w:r>
              <w:rPr>
                <w:rFonts w:ascii="Times New Roman" w:hAnsi="Times New Roman"/>
                <w:color w:val="000000"/>
                <w:sz w:val="22"/>
              </w:rPr>
              <w:t>(1)</w:t>
            </w:r>
          </w:p>
        </w:tc>
      </w:tr>
    </w:tbl>
    <w:p>
      <w:pPr>
        <w:keepNext/>
        <w:spacing w:before="200" w:after="60"/>
      </w:pPr>
      <w:r>
        <w:rPr>
          <w:rFonts w:ascii="Times New Roman" w:hAnsi="Times New Roman"/>
          <w:b/>
          <w:color w:val="000000"/>
          <w:sz w:val="25"/>
        </w:rPr>
        <w:t>3.4 Phân tích Cảm xúc Ngôn ngữ Ngữ cảnh bằng PhoBERT</w:t>
      </w:r>
    </w:p>
    <w:p>
      <w:pPr>
        <w:spacing w:line="324" w:lineRule="auto" w:after="80"/>
        <w:ind w:firstLine="567"/>
        <w:jc w:val="both"/>
      </w:pPr>
      <w:r>
        <w:rPr>
          <w:rFonts w:ascii="Times New Roman" w:hAnsi="Times New Roman"/>
          <w:b w:val="0"/>
          <w:i w:val="0"/>
          <w:color w:val="000000"/>
          <w:sz w:val="24"/>
        </w:rPr>
        <w:t>Trong bài báo gốc của {Kang, 2022}, các tác giả áp dụng mô hình phân loại cảm xúc nhị phân DistilBERT trên tiếng Anh với thang điểm phân cực từ 0 đến 1. Nhằm tối ưu hóa cho ngữ cảnh tiếng Việt và nắm bắt bản chất của văn phong hành chính doanh nghiệp (vốn chứa nhiều câu báo cáo thông số trung tính), nghiên cứu này nâng cấp lên mô hình PhoBERT-base {Nguyen &amp; Nguyen, 2020} được tinh chỉnh chuyên sâu cho bài toán phân tích cảm xúc tiếng Việt (phobert-base-vietnamese-sentiment). Mô hình phân loại mỗi câu văn r vào một trong ba lớp xác suất: Tích cực (Positive), Trung tính (Neutral) và Tiêu cực (Negative). Để định lượng sắc thái lạc quan tổng thể của từng báo cáo theo năm t, tỷ số cảm xúc (Sentiment Ratio) được tính bằng tỷ lệ giữa số câu tích cực và số câu tiêu cực:</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sSub>
                <m:e>
                  <m:r>
                    <m:rPr>
                      <m:sty m:val="p"/>
                    </m:rPr>
                    <m:t>Ratio</m:t>
                  </m:r>
                </m:e>
                <m:sub>
                  <m:r>
                    <m:t>t</m:t>
                  </m:r>
                </m:sub>
              </m:sSub>
              <m:r>
                <m:t>=</m:t>
              </m:r>
              <m:f>
                <m:fPr>
                  <m:type m:val="bar"/>
                </m:fPr>
                <m:num>
                  <m:sSub>
                    <m:e>
                      <m:r>
                        <m:t>N</m:t>
                      </m:r>
                    </m:e>
                    <m:sub>
                      <m:r>
                        <m:rPr>
                          <m:sty m:val="p"/>
                        </m:rPr>
                        <m:t>pos</m:t>
                      </m:r>
                      <m:r>
                        <m:t>,t</m:t>
                      </m:r>
                    </m:sub>
                  </m:sSub>
                </m:num>
                <m:den>
                  <m:sSub>
                    <m:e>
                      <m:r>
                        <m:t>N</m:t>
                      </m:r>
                    </m:e>
                    <m:sub>
                      <m:r>
                        <m:rPr>
                          <m:sty m:val="p"/>
                        </m:rPr>
                        <m:t>neg</m:t>
                      </m:r>
                      <m:r>
                        <m:t>,t</m:t>
                      </m:r>
                    </m:sub>
                  </m:sSub>
                </m:den>
              </m:f>
            </m:oMath>
          </w:p>
        </w:tc>
        <w:tc>
          <w:tcPr>
            <w:tcW w:type="dxa" w:w="850"/>
          </w:tcPr>
          <w:p>
            <w:pPr>
              <w:spacing w:before="80" w:after="80"/>
              <w:jc w:val="right"/>
            </w:pPr>
            <w:r>
              <w:rPr>
                <w:rFonts w:ascii="Times New Roman" w:hAnsi="Times New Roman"/>
                <w:color w:val="000000"/>
                <w:sz w:val="22"/>
              </w:rPr>
              <w:t>(2)</w:t>
            </w:r>
          </w:p>
        </w:tc>
      </w:tr>
    </w:tbl>
    <w:p>
      <w:pPr>
        <w:spacing w:line="324" w:lineRule="auto" w:after="80"/>
        <w:ind w:firstLine="567"/>
        <w:jc w:val="both"/>
      </w:pPr>
      <w:r>
        <w:rPr>
          <w:rFonts w:ascii="Times New Roman" w:hAnsi="Times New Roman"/>
          <w:b w:val="0"/>
          <w:i w:val="0"/>
          <w:color w:val="000000"/>
          <w:sz w:val="24"/>
        </w:rPr>
        <w:t>Các câu mang sắc thái Trung tính (Neutral) phản ánh thông tin số liệu kỹ thuật thuần túy nên không đưa vào tử số hoặc mẫu số nhằm đảm bảo tính nhạy cảm và độ tập trung của tỷ số đối với sự đối lập giữa thành tựu và rủi ro/khó khăn.</w:t>
      </w:r>
    </w:p>
    <w:p>
      <w:pPr>
        <w:keepNext/>
        <w:spacing w:before="200" w:after="60"/>
      </w:pPr>
      <w:r>
        <w:rPr>
          <w:rFonts w:ascii="Times New Roman" w:hAnsi="Times New Roman"/>
          <w:b/>
          <w:color w:val="000000"/>
          <w:sz w:val="25"/>
        </w:rPr>
        <w:t>3.5 Chuẩn hóa Min-Max và Gom nhóm 6 Danh mục Nhu cầu Con người</w:t>
      </w:r>
    </w:p>
    <w:p>
      <w:pPr>
        <w:spacing w:line="324" w:lineRule="auto" w:after="80"/>
        <w:ind w:firstLine="567"/>
        <w:jc w:val="both"/>
      </w:pPr>
      <w:r>
        <w:rPr>
          <w:rFonts w:ascii="Times New Roman" w:hAnsi="Times New Roman"/>
          <w:b w:val="0"/>
          <w:i w:val="0"/>
          <w:color w:val="000000"/>
          <w:sz w:val="24"/>
        </w:rPr>
        <w:t>Do giá trị độ tương đồng cosine ban đầu thường nằm trong khoảng hẹp (từ -0,071 đến 0,531), nghiên cứu tuân thủ chặt chẽ quy trình của {Kang, 2022} bằng cách áp dụng phép chuẩn hóa tuyến tính Min-Max toàn cục trên toàn bộ 17 cột mục tiêu để đưa điểm số về thang đo trực quan từ 0 đến 100:</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Score</m:t>
              </m:r>
              <m:r>
                <m:t>(r,g)=</m:t>
              </m:r>
              <m:f>
                <m:fPr>
                  <m:type m:val="bar"/>
                </m:fPr>
                <m:num>
                  <m:r>
                    <m:rPr>
                      <m:sty m:val="p"/>
                    </m:rPr>
                    <m:t>sim</m:t>
                  </m:r>
                  <m:r>
                    <m:t>(r,g)−</m:t>
                  </m:r>
                  <m:sSub>
                    <m:e>
                      <m:r>
                        <m:t>min</m:t>
                      </m:r>
                    </m:e>
                    <m:sub>
                      <m:sSup>
                        <m:e>
                          <m:r>
                            <m:t>r</m:t>
                          </m:r>
                        </m:e>
                        <m:sup>
                          <m:r>
                            <m:t>′</m:t>
                          </m:r>
                        </m:sup>
                      </m:sSup>
                      <m:r>
                        <m:t>,</m:t>
                      </m:r>
                      <m:sSup>
                        <m:e>
                          <m:r>
                            <m:t>g</m:t>
                          </m:r>
                        </m:e>
                        <m:sup>
                          <m:r>
                            <m:t>′</m:t>
                          </m:r>
                        </m:sup>
                      </m:sSup>
                    </m:sub>
                  </m:sSub>
                  <m:r>
                    <m:t>(</m:t>
                  </m:r>
                  <m:r>
                    <m:rPr>
                      <m:sty m:val="p"/>
                    </m:rPr>
                    <m:t>sim</m:t>
                  </m:r>
                  <m:r>
                    <m:t>)</m:t>
                  </m:r>
                </m:num>
                <m:den>
                  <m:sSub>
                    <m:e>
                      <m:r>
                        <m:t>max</m:t>
                      </m:r>
                    </m:e>
                    <m:sub>
                      <m:sSup>
                        <m:e>
                          <m:r>
                            <m:t>r</m:t>
                          </m:r>
                        </m:e>
                        <m:sup>
                          <m:r>
                            <m:t>′</m:t>
                          </m:r>
                        </m:sup>
                      </m:sSup>
                      <m:r>
                        <m:t>,</m:t>
                      </m:r>
                      <m:sSup>
                        <m:e>
                          <m:r>
                            <m:t>g</m:t>
                          </m:r>
                        </m:e>
                        <m:sup>
                          <m:r>
                            <m:t>′</m:t>
                          </m:r>
                        </m:sup>
                      </m:sSup>
                    </m:sub>
                  </m:sSub>
                  <m:r>
                    <m:t>(</m:t>
                  </m:r>
                  <m:r>
                    <m:rPr>
                      <m:sty m:val="p"/>
                    </m:rPr>
                    <m:t>sim</m:t>
                  </m:r>
                  <m:r>
                    <m:t>)−</m:t>
                  </m:r>
                  <m:sSub>
                    <m:e>
                      <m:r>
                        <m:t>min</m:t>
                      </m:r>
                    </m:e>
                    <m:sub>
                      <m:sSup>
                        <m:e>
                          <m:r>
                            <m:t>r</m:t>
                          </m:r>
                        </m:e>
                        <m:sup>
                          <m:r>
                            <m:t>′</m:t>
                          </m:r>
                        </m:sup>
                      </m:sSup>
                      <m:r>
                        <m:t>,</m:t>
                      </m:r>
                      <m:sSup>
                        <m:e>
                          <m:r>
                            <m:t>g</m:t>
                          </m:r>
                        </m:e>
                        <m:sup>
                          <m:r>
                            <m:t>′</m:t>
                          </m:r>
                        </m:sup>
                      </m:sSup>
                    </m:sub>
                  </m:sSub>
                  <m:r>
                    <m:t>(</m:t>
                  </m:r>
                  <m:r>
                    <m:rPr>
                      <m:sty m:val="p"/>
                    </m:rPr>
                    <m:t>sim</m:t>
                  </m:r>
                  <m:r>
                    <m:t>)</m:t>
                  </m:r>
                </m:den>
              </m:f>
              <m:r>
                <m:t>×100</m:t>
              </m:r>
            </m:oMath>
          </w:p>
        </w:tc>
        <w:tc>
          <w:tcPr>
            <w:tcW w:type="dxa" w:w="850"/>
          </w:tcPr>
          <w:p>
            <w:pPr>
              <w:spacing w:before="80" w:after="80"/>
              <w:jc w:val="right"/>
            </w:pPr>
            <w:r>
              <w:rPr>
                <w:rFonts w:ascii="Times New Roman" w:hAnsi="Times New Roman"/>
                <w:color w:val="000000"/>
                <w:sz w:val="22"/>
              </w:rPr>
              <w:t>(3)</w:t>
            </w:r>
          </w:p>
        </w:tc>
      </w:tr>
    </w:tbl>
    <w:p>
      <w:pPr>
        <w:spacing w:line="324" w:lineRule="auto" w:after="80"/>
        <w:ind w:firstLine="567"/>
        <w:jc w:val="both"/>
      </w:pPr>
      <w:r>
        <w:rPr>
          <w:rFonts w:ascii="Times New Roman" w:hAnsi="Times New Roman"/>
          <w:b w:val="0"/>
          <w:i w:val="0"/>
          <w:color w:val="000000"/>
          <w:sz w:val="24"/>
        </w:rPr>
        <w:t>Tiếp theo, kế thừa cấu trúc phân loại của {Kang, 2022}, 17 mục tiêu SDG được tổng hợp vào 6 nhóm danh mục nhu cầu thiết yếu của con người: (1) Đời sống (Life: SDG 1, 2, 3); (2) Kinh tế (Economic: SDG 8, 9); (3) Công bằng (Equity: SDG 4, 5, 10); (4) Xã hội (Social: SDG 11, 16, 17); (5) Tài nguyên (Resources: SDG 6, 7, 12, 14); và (6) Môi trường (Environments: SDG 13, 15). Điểm số của nhóm danh mục k cho câu văn r được xác định bằng trung bình cộng các SDG thành phần:</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sSub>
                <m:e>
                  <m:r>
                    <m:rPr>
                      <m:sty m:val="p"/>
                    </m:rPr>
                    <m:t>Cat</m:t>
                  </m:r>
                </m:e>
                <m:sub>
                  <m:r>
                    <m:t>k</m:t>
                  </m:r>
                </m:sub>
              </m:sSub>
              <m:r>
                <m:t>(r)=</m:t>
              </m:r>
              <m:f>
                <m:fPr>
                  <m:type m:val="bar"/>
                </m:fPr>
                <m:num>
                  <m:r>
                    <m:t>1</m:t>
                  </m:r>
                </m:num>
                <m:den>
                  <m:d>
                    <m:dPr>
                      <m:begChr m:val="|"/>
                      <m:sepChr m:val=""/>
                      <m:endChr m:val="|"/>
                    </m:dPr>
                    <m:e>
                      <m:sSub>
                        <m:e>
                          <m:r>
                            <m:t>G</m:t>
                          </m:r>
                        </m:e>
                        <m:sub>
                          <m:r>
                            <m:t>k</m:t>
                          </m:r>
                        </m:sub>
                      </m:sSub>
                    </m:e>
                  </m:d>
                </m:den>
              </m:f>
              <m:nary>
                <m:naryPr>
                  <m:chr m:val="∑"/>
                  <m:limLoc m:val="subSup"/>
                  <m:grow m:val="1"/>
                  <m:subHide m:val="off"/>
                  <m:supHide m:val="on"/>
                </m:naryPr>
                <m:sub>
                  <m:r>
                    <m:t>g∈</m:t>
                  </m:r>
                  <m:sSub>
                    <m:e>
                      <m:r>
                        <m:t>G</m:t>
                      </m:r>
                    </m:e>
                    <m:sub>
                      <m:r>
                        <m:t>k</m:t>
                      </m:r>
                    </m:sub>
                  </m:sSub>
                </m:sub>
                <m:sup/>
                <m:e>
                  <m:r>
                    <m:rPr>
                      <m:sty m:val="p"/>
                    </m:rPr>
                    <m:t>Score</m:t>
                  </m:r>
                </m:e>
              </m:nary>
              <m:r>
                <m:t>(r,g)</m:t>
              </m:r>
            </m:oMath>
          </w:p>
        </w:tc>
        <w:tc>
          <w:tcPr>
            <w:tcW w:type="dxa" w:w="850"/>
          </w:tcPr>
          <w:p>
            <w:pPr>
              <w:spacing w:before="80" w:after="80"/>
              <w:jc w:val="right"/>
            </w:pPr>
            <w:r>
              <w:rPr>
                <w:rFonts w:ascii="Times New Roman" w:hAnsi="Times New Roman"/>
                <w:color w:val="000000"/>
                <w:sz w:val="22"/>
              </w:rPr>
              <w:t>(4)</w:t>
            </w:r>
          </w:p>
        </w:tc>
      </w:tr>
    </w:tbl>
    <w:p>
      <w:pPr>
        <w:keepNext/>
        <w:spacing w:before="200" w:after="60"/>
      </w:pPr>
      <w:r>
        <w:rPr>
          <w:rFonts w:ascii="Times New Roman" w:hAnsi="Times New Roman"/>
          <w:b/>
          <w:color w:val="000000"/>
          <w:sz w:val="25"/>
        </w:rPr>
        <w:t>3.6 Phương pháp Đối chiếu Thị trường và Định lượng Chỉ số Tẩy xanh (Greenwashing Index)</w:t>
      </w:r>
    </w:p>
    <w:p>
      <w:pPr>
        <w:spacing w:line="324" w:lineRule="auto" w:after="80"/>
        <w:ind w:firstLine="567"/>
        <w:jc w:val="both"/>
      </w:pPr>
      <w:r>
        <w:rPr>
          <w:rFonts w:ascii="Times New Roman" w:hAnsi="Times New Roman"/>
          <w:b w:val="0"/>
          <w:i w:val="0"/>
          <w:color w:val="000000"/>
          <w:sz w:val="24"/>
        </w:rPr>
        <w:t>Một đóng góp phương pháp luận vượt trội của nghiên cứu này so với công trình của {Kang, 2022} là việc thiết kế mô hình đối chiếu động giữa diễn biến giá cổ phiếu thực tế và giọng văn báo cáo phát triển bền vững. Nghiên cứu thu thập dữ liệu giá đóng cửa hàng tháng của 7 cổ phiếu niêm yết trên HOSE và HNX, đồng thời tính toán mức tăng giảm giá thường niên (\Delta\text{giá}\%) và mức biến động của tỷ số cảm xúc (\Delta\text{Pos/Neg}\%).</w:t>
      </w:r>
    </w:p>
    <w:p>
      <w:pPr>
        <w:spacing w:line="324" w:lineRule="auto" w:after="80"/>
        <w:ind w:firstLine="567"/>
        <w:jc w:val="both"/>
      </w:pPr>
      <w:r>
        <w:rPr>
          <w:rFonts w:ascii="Times New Roman" w:hAnsi="Times New Roman"/>
          <w:b w:val="0"/>
          <w:i w:val="0"/>
          <w:color w:val="000000"/>
          <w:sz w:val="24"/>
        </w:rPr>
        <w:t>Khi thị trường chứng khoán suy giảm (\Delta\text{giá}\% &lt; -10\%), hành vi phản ứng của doanh nghiệp được phân loại như sau: (1) Tẩy xanh (Greenwashing): Tỷ số cảm xúc tăng mạnh (\Delta\text{Pos/Neg}\% &gt; 15\%), phản ánh việc doanh nghiệp cố tình dùng ngôn từ tô hồng để xoa dịu nhà đầu tư khi kết quả kinh doanh kém cỏi; (2) Trung thực (Honest): Tỷ số cảm xúc cũng sụt giảm đồng thuận theo thực tế thị trường; và (3) Bình thường (None): Không có dấu hiệu đột biến rõ rệt. Nhằm định lượng hóa mức độ tẩy xanh một cách liên tục thay vì chỉ dùng nhãn nhị phân, nghiên cứu đề xuất Chỉ số Tẩy xanh (Greenwashing Score - GW) chỉ kích hoạt khi giá cổ phiếu suy giảm:</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GW</m:t>
              </m:r>
              <m:r>
                <m:t>=</m:t>
              </m:r>
              <m:f>
                <m:fPr>
                  <m:type m:val="bar"/>
                </m:fPr>
                <m:num>
                  <m:r>
                    <m:t>max(0,−Δ</m:t>
                  </m:r>
                  <m:r>
                    <m:rPr>
                      <m:nor/>
                    </m:rPr>
                    <m:t>giá</m:t>
                  </m:r>
                  <m:r>
                    <m:t>%)×max(0,Δ</m:t>
                  </m:r>
                  <m:r>
                    <m:rPr>
                      <m:nor/>
                    </m:rPr>
                    <m:t>Pos/Neg</m:t>
                  </m:r>
                  <m:r>
                    <m:t>%)</m:t>
                  </m:r>
                </m:num>
                <m:den>
                  <m:r>
                    <m:t>100</m:t>
                  </m:r>
                </m:den>
              </m:f>
            </m:oMath>
          </w:p>
        </w:tc>
        <w:tc>
          <w:tcPr>
            <w:tcW w:type="dxa" w:w="850"/>
          </w:tcPr>
          <w:p>
            <w:pPr>
              <w:spacing w:before="80" w:after="80"/>
              <w:jc w:val="right"/>
            </w:pPr>
            <w:r>
              <w:rPr>
                <w:rFonts w:ascii="Times New Roman" w:hAnsi="Times New Roman"/>
                <w:color w:val="000000"/>
                <w:sz w:val="22"/>
              </w:rPr>
              <w:t>(5)</w:t>
            </w:r>
          </w:p>
        </w:tc>
      </w:tr>
    </w:tbl>
    <w:p>
      <w:pPr>
        <w:spacing w:line="324" w:lineRule="auto" w:after="80"/>
        <w:ind w:firstLine="567"/>
        <w:jc w:val="both"/>
      </w:pPr>
      <w:r>
        <w:rPr>
          <w:rFonts w:ascii="Times New Roman" w:hAnsi="Times New Roman"/>
          <w:b w:val="0"/>
          <w:i w:val="0"/>
          <w:color w:val="000000"/>
          <w:sz w:val="24"/>
        </w:rPr>
        <w:t>Chỉ số GW được phân thành 4 bậc thang mức độ: GW = 0 (Không tẩy xanh / Trung thực); 0 &lt; GW &lt;= 2 (Nhẹ); 2 &lt; GW &lt;= 8 (Trung bình); và GW &gt; 8 (Mạnh). Đồng thời, để kiểm định mối liên hệ tổng thể giữa thị trường và ngôn ngữ báo cáo, hệ số tương quan tuyến tính Pearson (r) và tương quan thứ hạng Spearman (\rho) được ước lượng trên mẫu gộp và từng doanh nghiệp:</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t>r=</m:t>
              </m:r>
              <m:f>
                <m:fPr>
                  <m:type m:val="bar"/>
                </m:fPr>
                <m:num>
                  <m:nary>
                    <m:naryPr>
                      <m:chr m:val="∑"/>
                      <m:limLoc m:val="subSup"/>
                      <m:grow m:val="1"/>
                      <m:subHide m:val="off"/>
                      <m:supHide m:val="off"/>
                    </m:naryPr>
                    <m:sub>
                      <m:r>
                        <m:t>i=1</m:t>
                      </m:r>
                    </m:sub>
                    <m:sup>
                      <m:r>
                        <m:t>n</m:t>
                      </m:r>
                    </m:sup>
                    <m:e>
                      <m:r>
                        <m:t>(</m:t>
                      </m:r>
                    </m:e>
                  </m:nary>
                  <m:sSub>
                    <m:e>
                      <m:r>
                        <m:t>x</m:t>
                      </m:r>
                    </m:e>
                    <m:sub>
                      <m:r>
                        <m:t>i</m:t>
                      </m:r>
                    </m:sub>
                  </m:sSub>
                  <m:r>
                    <m:t>−</m:t>
                  </m:r>
                  <m:bar>
                    <m:barPr>
                      <m:pos m:val="top"/>
                    </m:barPr>
                    <m:e>
                      <m:r>
                        <m:t>x</m:t>
                      </m:r>
                    </m:e>
                  </m:bar>
                  <m:r>
                    <m:t>)(</m:t>
                  </m:r>
                  <m:sSub>
                    <m:e>
                      <m:r>
                        <m:t>y</m:t>
                      </m:r>
                    </m:e>
                    <m:sub>
                      <m:r>
                        <m:t>i</m:t>
                      </m:r>
                    </m:sub>
                  </m:sSub>
                  <m:r>
                    <m:t>−</m:t>
                  </m:r>
                  <m:bar>
                    <m:barPr>
                      <m:pos m:val="top"/>
                    </m:barPr>
                    <m:e>
                      <m:r>
                        <m:t>y</m:t>
                      </m:r>
                    </m:e>
                  </m:bar>
                  <m:r>
                    <m:t>)</m:t>
                  </m:r>
                </m:num>
                <m:den>
                  <m:rad>
                    <m:radPr>
                      <m:degHide m:val="on"/>
                    </m:radPr>
                    <m:deg/>
                    <m:e>
                      <m:nary>
                        <m:naryPr>
                          <m:chr m:val="∑"/>
                          <m:limLoc m:val="subSup"/>
                          <m:grow m:val="1"/>
                          <m:subHide m:val="off"/>
                          <m:supHide m:val="off"/>
                        </m:naryPr>
                        <m:sub>
                          <m:r>
                            <m:t>i=1</m:t>
                          </m:r>
                        </m:sub>
                        <m:sup>
                          <m:r>
                            <m:t>n</m:t>
                          </m:r>
                        </m:sup>
                        <m:e>
                          <m:r>
                            <m:t>(</m:t>
                          </m:r>
                        </m:e>
                      </m:nary>
                      <m:sSub>
                        <m:e>
                          <m:r>
                            <m:t>x</m:t>
                          </m:r>
                        </m:e>
                        <m:sub>
                          <m:r>
                            <m:t>i</m:t>
                          </m:r>
                        </m:sub>
                      </m:sSub>
                      <m:r>
                        <m:t>−</m:t>
                      </m:r>
                      <m:bar>
                        <m:barPr>
                          <m:pos m:val="top"/>
                        </m:barPr>
                        <m:e>
                          <m:r>
                            <m:t>x</m:t>
                          </m:r>
                        </m:e>
                      </m:bar>
                      <m:sSup>
                        <m:e>
                          <m:r>
                            <m:t>)</m:t>
                          </m:r>
                        </m:e>
                        <m:sup>
                          <m:r>
                            <m:t>2</m:t>
                          </m:r>
                        </m:sup>
                      </m:sSup>
                      <m:nary>
                        <m:naryPr>
                          <m:chr m:val="∑"/>
                          <m:limLoc m:val="subSup"/>
                          <m:grow m:val="1"/>
                          <m:subHide m:val="off"/>
                          <m:supHide m:val="off"/>
                        </m:naryPr>
                        <m:sub>
                          <m:r>
                            <m:t>i=1</m:t>
                          </m:r>
                        </m:sub>
                        <m:sup>
                          <m:r>
                            <m:t>n</m:t>
                          </m:r>
                        </m:sup>
                        <m:e>
                          <m:r>
                            <m:t>(</m:t>
                          </m:r>
                        </m:e>
                      </m:nary>
                      <m:sSub>
                        <m:e>
                          <m:r>
                            <m:t>y</m:t>
                          </m:r>
                        </m:e>
                        <m:sub>
                          <m:r>
                            <m:t>i</m:t>
                          </m:r>
                        </m:sub>
                      </m:sSub>
                      <m:r>
                        <m:t>−</m:t>
                      </m:r>
                      <m:bar>
                        <m:barPr>
                          <m:pos m:val="top"/>
                        </m:barPr>
                        <m:e>
                          <m:r>
                            <m:t>y</m:t>
                          </m:r>
                        </m:e>
                      </m:bar>
                      <m:sSup>
                        <m:e>
                          <m:r>
                            <m:t>)</m:t>
                          </m:r>
                        </m:e>
                        <m:sup>
                          <m:r>
                            <m:t>2</m:t>
                          </m:r>
                        </m:sup>
                      </m:sSup>
                    </m:e>
                  </m:rad>
                </m:den>
              </m:f>
            </m:oMath>
          </w:p>
        </w:tc>
        <w:tc>
          <w:tcPr>
            <w:tcW w:type="dxa" w:w="850"/>
          </w:tcPr>
          <w:p>
            <w:pPr>
              <w:spacing w:before="80" w:after="80"/>
              <w:jc w:val="right"/>
            </w:pPr>
            <w:r>
              <w:rPr>
                <w:rFonts w:ascii="Times New Roman" w:hAnsi="Times New Roman"/>
                <w:color w:val="000000"/>
                <w:sz w:val="22"/>
              </w:rPr>
              <w:t>(6)</w:t>
            </w:r>
          </w:p>
        </w:tc>
      </w:tr>
    </w:tbl>
    <w:p>
      <w:pPr>
        <w:keepNext/>
        <w:spacing w:before="200" w:after="60"/>
      </w:pPr>
      <w:r>
        <w:rPr>
          <w:rFonts w:ascii="Times New Roman" w:hAnsi="Times New Roman"/>
          <w:b/>
          <w:color w:val="000000"/>
          <w:sz w:val="25"/>
        </w:rPr>
        <w:t>3.7 Điểm Kế thừa và Các Cải tiến Vượt trội so với Kang &amp; Kim (2022)</w:t>
      </w:r>
    </w:p>
    <w:p>
      <w:pPr>
        <w:spacing w:line="324" w:lineRule="auto" w:after="80"/>
        <w:ind w:firstLine="567"/>
        <w:jc w:val="both"/>
      </w:pPr>
      <w:r>
        <w:rPr>
          <w:rFonts w:ascii="Times New Roman" w:hAnsi="Times New Roman"/>
          <w:b w:val="0"/>
          <w:i w:val="0"/>
          <w:color w:val="000000"/>
          <w:sz w:val="24"/>
        </w:rPr>
        <w:t>Để độc giả theo dõi thuận tiện mạch phát triển phương pháp luận, nghiên cứu làm rõ các điểm tương đồng và khác biệt then chốt so với {Kang, 2022}: (1) Về ngôn ngữ và mô hình nhúng: Kang &amp; Kim xử lý báo cáo tiếng Anh bằng USE và GloVe; nghiên cứu này phát triển đường ống chuyên biệt cho tiếng Việt với vietnamese-sbert và PhoBERT; (2) Về quy mô và thời gian: Nghiên cứu gốc khảo sát 6 công ty Hàn Quốc trong 4 năm (2017–2020, 24 báo cáo); nghiên cứu này khảo sát 7 tập đoàn Việt Nam trong 6 năm liên tục (2020–2025, 42 báo cáo, 95.804 câu); (3) Về cơ chế cảm xúc: Kang &amp; Kim chỉ phân loại nhị phân 0–1; nghiên cứu này phân loại 3 lớp (Positive, Neutral, Negative) nhằm bảo toàn tính trung thực của các câu văn báo cáo số liệu kỹ thuật; (4) Về mở rộng thị trường: Nghiên cứu này bổ sung hoàn toàn mô hình chuỗi thời gian giá cổ phiếu hàng tháng và chỉ số định lượng tẩy xanh liên tục (GW Index), một nội dung không có trong bài báo gốc.</w:t>
      </w:r>
    </w:p>
    <w:p>
      <w:pPr>
        <w:keepNext/>
        <w:spacing w:before="280" w:after="80"/>
      </w:pPr>
      <w:r>
        <w:rPr>
          <w:rFonts w:ascii="Times New Roman" w:hAnsi="Times New Roman"/>
          <w:b/>
          <w:color w:val="000000"/>
          <w:sz w:val="26"/>
        </w:rPr>
        <w:t>4. KẾT QUẢ NGHIÊN CỨU THỰC NGHIỆM (EMPIRICAL RESULTS)</w:t>
      </w:r>
    </w:p>
    <w:p>
      <w:pPr>
        <w:keepNext/>
        <w:spacing w:before="200" w:after="60"/>
      </w:pPr>
      <w:r>
        <w:rPr>
          <w:rFonts w:ascii="Times New Roman" w:hAnsi="Times New Roman"/>
          <w:b/>
          <w:color w:val="000000"/>
          <w:sz w:val="25"/>
        </w:rPr>
        <w:t>4.1 Phân phối Điểm Tương đồng SDG Toàn cục</w:t>
      </w:r>
    </w:p>
    <w:p>
      <w:pPr>
        <w:keepNext/>
        <w:spacing w:before="200" w:after="80"/>
        <w:jc w:val="center"/>
      </w:pPr>
      <w:r>
        <w:drawing>
          <wp:inline xmlns:a="http://schemas.openxmlformats.org/drawingml/2006/main" xmlns:pic="http://schemas.openxmlformats.org/drawingml/2006/picture">
            <wp:extent cx="5303520" cy="2330648"/>
            <wp:docPr id="1" name="Picture 1"/>
            <wp:cNvGraphicFramePr>
              <a:graphicFrameLocks noChangeAspect="1"/>
            </wp:cNvGraphicFramePr>
            <a:graphic>
              <a:graphicData uri="http://schemas.openxmlformats.org/drawingml/2006/picture">
                <pic:pic>
                  <pic:nvPicPr>
                    <pic:cNvPr id="0" name="similarity_hist.png"/>
                    <pic:cNvPicPr/>
                  </pic:nvPicPr>
                  <pic:blipFill>
                    <a:blip r:embed="rId11"/>
                    <a:stretch>
                      <a:fillRect/>
                    </a:stretch>
                  </pic:blipFill>
                  <pic:spPr>
                    <a:xfrm>
                      <a:off x="0" y="0"/>
                      <a:ext cx="5303520" cy="2330648"/>
                    </a:xfrm>
                    <a:prstGeom prst="rect"/>
                  </pic:spPr>
                </pic:pic>
              </a:graphicData>
            </a:graphic>
          </wp:inline>
        </w:drawing>
      </w:r>
    </w:p>
    <w:p>
      <w:pPr>
        <w:spacing w:after="200"/>
        <w:jc w:val="center"/>
      </w:pPr>
      <w:r>
        <w:rPr>
          <w:rFonts w:ascii="Times New Roman" w:hAnsi="Times New Roman"/>
          <w:b/>
          <w:i/>
          <w:sz w:val="20"/>
        </w:rPr>
        <w:t xml:space="preserve">Hình 1. </w:t>
      </w:r>
      <w:r>
        <w:rPr>
          <w:rFonts w:ascii="Times New Roman" w:hAnsi="Times New Roman"/>
          <w:i w:val="0"/>
          <w:sz w:val="20"/>
        </w:rPr>
        <w:t>Phân phối tần suất điểm tương đồng mục tiêu phát triển bền vững (SDGs) của 95.804 câu sau chuẩn hóa Min-Max 0–100</w:t>
      </w:r>
    </w:p>
    <w:p>
      <w:pPr>
        <w:spacing w:line="324" w:lineRule="auto" w:after="80"/>
        <w:ind w:firstLine="567"/>
        <w:jc w:val="both"/>
      </w:pPr>
      <w:r>
        <w:rPr>
          <w:rFonts w:ascii="Times New Roman" w:hAnsi="Times New Roman"/>
          <w:b w:val="0"/>
          <w:i w:val="0"/>
          <w:color w:val="000000"/>
          <w:sz w:val="24"/>
        </w:rPr>
        <w:t>Hình 1 minh họa phân phối tần suất của điểm tương đồng SDG trên toàn bộ 95.804 câu văn bản số hóa sau khi được chuẩn hóa Min-Max toàn cục về thang điểm 0–100. Đồ thị thể hiện hình dạng phân phối chuẩn dạng chuông đối xứng tuyệt đẹp với điểm trung bình đạt 45,43 điểm và độ lệch chuẩn 11,87 điểm. Khoảng điểm tập trung dày đặc nhất nằm trong khoảng từ 35 đến 55 điểm, phản ánh bản chất của ngôn ngữ báo cáo phát triển bền vững: phần lớn các câu văn trong báo cáo mang tính giới thiệu quy trình, cấu trúc tổ chức hoặc mô tả hoạt động chung với mức độ gắn kết vừa phải đối với các mục tiêu SDG cụ thể.</w:t>
      </w:r>
    </w:p>
    <w:p>
      <w:pPr>
        <w:spacing w:line="324" w:lineRule="auto" w:after="80"/>
        <w:ind w:firstLine="567"/>
        <w:jc w:val="both"/>
      </w:pPr>
      <w:r>
        <w:rPr>
          <w:rFonts w:ascii="Times New Roman" w:hAnsi="Times New Roman"/>
          <w:b w:val="0"/>
          <w:i w:val="0"/>
          <w:color w:val="000000"/>
          <w:sz w:val="24"/>
        </w:rPr>
        <w:t>Đáng chú ý, phần đuôi bên phải của đồ thị (với điểm số từ 65 đến 90 điểm) chiếm tỷ lệ khoảng 8,5% tổng số câu văn. Đây chính là các câu mang hàm lượng thông tin chuyên biệt sâu sắc, mô tả trực diện các sáng kiến hành động cụ thể của doanh nghiệp gắn kết chặt chẽ với các chỉ tiêu con của Liên Hợp Quốc (như đầu tư công nghệ giảm phát thải CO2, chương trình an toàn sinh học vùng nuôi tôm, hay hệ thống xử lý nước thải tuần hoàn). Kết quả phân phối này hoàn toàn tương thích với phát hiện của {Kang, 2022} trên thị trường Hàn Quốc, khẳng định tính ổn định và độ tin cậy của thuật toán SBERT khi ánh xạ văn bản tiếng Việt sang không gian SDG.</w:t>
      </w:r>
    </w:p>
    <w:p>
      <w:pPr>
        <w:keepNext/>
        <w:spacing w:before="200" w:after="60"/>
      </w:pPr>
      <w:r>
        <w:rPr>
          <w:rFonts w:ascii="Times New Roman" w:hAnsi="Times New Roman"/>
          <w:b/>
          <w:color w:val="000000"/>
          <w:sz w:val="25"/>
        </w:rPr>
        <w:t>4.2 Cấu trúc Cam kết 6 Nhóm SDG và Ma trận Nhiệt (Heatmap)</w:t>
      </w:r>
    </w:p>
    <w:p>
      <w:pPr>
        <w:keepNext/>
        <w:spacing w:before="200" w:after="80"/>
        <w:jc w:val="center"/>
      </w:pPr>
      <w:r>
        <w:drawing>
          <wp:inline xmlns:a="http://schemas.openxmlformats.org/drawingml/2006/main" xmlns:pic="http://schemas.openxmlformats.org/drawingml/2006/picture">
            <wp:extent cx="5120640" cy="7849970"/>
            <wp:docPr id="2" name="Picture 2"/>
            <wp:cNvGraphicFramePr>
              <a:graphicFrameLocks noChangeAspect="1"/>
            </wp:cNvGraphicFramePr>
            <a:graphic>
              <a:graphicData uri="http://schemas.openxmlformats.org/drawingml/2006/picture">
                <pic:pic>
                  <pic:nvPicPr>
                    <pic:cNvPr id="0" name="heatmap_6cat.png"/>
                    <pic:cNvPicPr/>
                  </pic:nvPicPr>
                  <pic:blipFill>
                    <a:blip r:embed="rId12"/>
                    <a:stretch>
                      <a:fillRect/>
                    </a:stretch>
                  </pic:blipFill>
                  <pic:spPr>
                    <a:xfrm>
                      <a:off x="0" y="0"/>
                      <a:ext cx="5120640" cy="7849970"/>
                    </a:xfrm>
                    <a:prstGeom prst="rect"/>
                  </pic:spPr>
                </pic:pic>
              </a:graphicData>
            </a:graphic>
          </wp:inline>
        </w:drawing>
      </w:r>
    </w:p>
    <w:p>
      <w:pPr>
        <w:spacing w:after="200"/>
        <w:jc w:val="center"/>
      </w:pPr>
      <w:r>
        <w:rPr>
          <w:rFonts w:ascii="Times New Roman" w:hAnsi="Times New Roman"/>
          <w:b/>
          <w:i/>
          <w:sz w:val="20"/>
        </w:rPr>
        <w:t xml:space="preserve">Hình 2. </w:t>
      </w:r>
      <w:r>
        <w:rPr>
          <w:rFonts w:ascii="Times New Roman" w:hAnsi="Times New Roman"/>
          <w:i w:val="0"/>
          <w:sz w:val="20"/>
        </w:rPr>
        <w:t>Bản đồ nhiệt (Heatmap) mức độ cam kết 6 nhóm danh mục SDG của 7 doanh nghiệp qua 42 báo cáo giai đoạn 2020–2025</w:t>
      </w:r>
    </w:p>
    <w:p>
      <w:pPr>
        <w:spacing w:line="324" w:lineRule="auto" w:after="80"/>
        <w:ind w:firstLine="567"/>
        <w:jc w:val="both"/>
      </w:pPr>
      <w:r>
        <w:rPr>
          <w:rFonts w:ascii="Times New Roman" w:hAnsi="Times New Roman"/>
          <w:b w:val="0"/>
          <w:i w:val="0"/>
          <w:color w:val="000000"/>
          <w:sz w:val="24"/>
        </w:rPr>
        <w:t>Hình 2 trình bày bản đồ nhiệt mức độ gắn kết với 6 nhóm danh mục nhu cầu con người của 7 doanh nghiệp qua 42 báo cáo từ năm 2020 đến 2025. Các gam màu chuyển dần từ vàng nhạt (mức độ gắn kết thấp, ~38 điểm) sang đỏ sẫm (mức độ gắn kết cao, &gt;51 điểm). Chi tiết các giá trị định lượng trung bình từng năm của 7 doanh nghiệp được trình bày chi tiết tại Bảng 3. Quan sát bản đồ nhiệt cho thấy một trật tự ưu tiên mang tính cấu trúc vững chắc: Nhóm Kinh tế (Economic) luôn áp đảo với sắc đỏ đậm nhất trên toàn bộ các công ty và năm khảo sát, tiếp theo là nhóm Xã hội (Social) và Tài nguyên (Resources), trong khi nhóm Công bằng (Equity) liên tục hiển thị màu vàng nhạt thấp nhất.</w:t>
      </w:r>
    </w:p>
    <w:p>
      <w:pPr>
        <w:keepNext/>
        <w:spacing w:before="240" w:after="20"/>
      </w:pPr>
      <w:r>
        <w:rPr>
          <w:rFonts w:ascii="Times New Roman" w:hAnsi="Times New Roman"/>
          <w:b/>
          <w:color w:val="000000"/>
          <w:sz w:val="21"/>
        </w:rPr>
        <w:t>Bảng 3</w:t>
      </w:r>
    </w:p>
    <w:p>
      <w:pPr>
        <w:keepNext/>
        <w:spacing w:before="0" w:after="80"/>
      </w:pPr>
      <w:r>
        <w:rPr>
          <w:rFonts w:ascii="Times New Roman" w:hAnsi="Times New Roman"/>
          <w:i/>
          <w:color w:val="000000"/>
          <w:sz w:val="21"/>
        </w:rPr>
        <w:t>Điểm trung bình 6 nhóm danh mục SDG theo doanh nghiệp và năm (thang điểm 0–100)</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176"/>
        <w:gridCol w:w="1176"/>
        <w:gridCol w:w="1176"/>
        <w:gridCol w:w="1176"/>
        <w:gridCol w:w="1176"/>
        <w:gridCol w:w="1176"/>
        <w:gridCol w:w="1176"/>
        <w:gridCol w:w="1176"/>
      </w:tblGrid>
      <w:tr>
        <w:trPr>
          <w:tblHeader/>
        </w:trPr>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Công ty</w:t>
            </w:r>
          </w:p>
        </w:tc>
        <w:tc>
          <w:tcPr>
            <w:tcW w:type="dxa" w:w="68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Năm</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Đời sống</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Kinh tế</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Công bằng</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Xã hội</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Tài nguyên</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Môi trường</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47.93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41.91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41.61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48.38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47.57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45.82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45.49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46.82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50.17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46.58</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50.68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47.50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51.04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49.41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47.59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40.79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44.12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42.15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42.76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46.16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45.42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43.05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45.36</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48.87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41.19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44.36</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40.38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37.79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42.69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41.47</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43.07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46.12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39.63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37.98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40.89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40.94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45.03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40.68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43.51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41.45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46.27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49.88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48.31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47.82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42.82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42.17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46.54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44.11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44.70</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43.78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40.59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38.36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40.71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44.36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47.18</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47.27</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43.53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47.88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46.21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48.55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48.37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46.81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45.93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50.52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48.89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51.90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50.03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49.35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40.41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38.66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42.36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40.83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38.84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40.29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42.01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41.65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41.19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44.10</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48.15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47.29</w:t>
            </w:r>
          </w:p>
        </w:tc>
      </w:tr>
    </w:tbl>
    <w:p>
      <w:pPr>
        <w:spacing w:before="60" w:after="160"/>
      </w:pPr>
      <w:r>
        <w:rPr>
          <w:rFonts w:ascii="Times New Roman" w:hAnsi="Times New Roman"/>
          <w:i/>
          <w:sz w:val="18"/>
        </w:rPr>
        <w:t xml:space="preserve">Ghi chú. </w:t>
      </w:r>
      <w:r>
        <w:rPr>
          <w:rFonts w:ascii="Times New Roman" w:hAnsi="Times New Roman"/>
          <w:i w:val="0"/>
          <w:sz w:val="18"/>
        </w:rPr>
        <w:t>Life: SDG 1, 2, 3; Economic: SDG 8, 9; Equity: SDG 4, 5, 10; Social: SDG 11, 16, 17; Resources: SDG 6, 7, 12, 14; Environments: SDG 13, 15.</w:t>
      </w:r>
    </w:p>
    <w:p>
      <w:pPr>
        <w:spacing w:line="324" w:lineRule="auto" w:after="80"/>
        <w:ind w:firstLine="567"/>
        <w:jc w:val="both"/>
      </w:pPr>
      <w:r>
        <w:rPr>
          <w:rFonts w:ascii="Times New Roman" w:hAnsi="Times New Roman"/>
          <w:b w:val="0"/>
          <w:i w:val="0"/>
          <w:color w:val="000000"/>
          <w:sz w:val="24"/>
        </w:rPr>
        <w:t>Dữ liệu Bảng 3 chỉ ra rằng nhóm Kinh tế luôn giữ điểm số cao nhất trong mọi báo cáo, dao động từ 43,19 điểm (VNM 2022) đến đỉnh cao 51,90 điểm (VCS 2025) và 51,04 điểm (BVH 2025). Điều này phản ánh rõ nét định hướng thực dụng của các doanh nghiệp Việt Nam: tăng trưởng kinh tế, việc làm bền vững (SDG 8) và đổi mới sáng tạo, phát triển hạ tầng (SDG 9) là những trụ cột mang tính sống còn gắn liền với lợi ích cổ đông. Ngược lại, nhóm Công bằng (Equity: giáo dục chất lượng, bình đẳng giới, giảm bất bình đẳng) liên tục ghi nhận mức điểm thấp kỷ lục (chỉ đạt từ 38,36 điểm ở SSI 2025 đến 44,94 điểm ở VCS 2025). Khoảng cách chênh lệch giữa nhóm cao nhất (Kinh tế) và nhóm thấp nhất (Công bằng) luôn duy trì ổn định ở mức 6 đến 8 điểm trên toàn bộ các công ty, bộc lộ một khoảng trống cam kết xã hội mang tính hệ thống cần có sự can thiệp điều chỉnh từ chính sách.</w:t>
      </w:r>
    </w:p>
    <w:p>
      <w:pPr>
        <w:keepNext/>
        <w:spacing w:before="200" w:after="60"/>
      </w:pPr>
      <w:r>
        <w:rPr>
          <w:rFonts w:ascii="Times New Roman" w:hAnsi="Times New Roman"/>
          <w:b/>
          <w:color w:val="000000"/>
          <w:sz w:val="25"/>
        </w:rPr>
        <w:t>4.3 Xu hướng Biến động Cam kết Phát triển Bền vững 2020–2025</w:t>
      </w:r>
    </w:p>
    <w:p>
      <w:pPr>
        <w:keepNext/>
        <w:spacing w:before="200" w:after="80"/>
        <w:jc w:val="center"/>
      </w:pPr>
      <w:r>
        <w:drawing>
          <wp:inline xmlns:a="http://schemas.openxmlformats.org/drawingml/2006/main" xmlns:pic="http://schemas.openxmlformats.org/drawingml/2006/picture">
            <wp:extent cx="5303520" cy="12431332"/>
            <wp:docPr id="3" name="Picture 3"/>
            <wp:cNvGraphicFramePr>
              <a:graphicFrameLocks noChangeAspect="1"/>
            </wp:cNvGraphicFramePr>
            <a:graphic>
              <a:graphicData uri="http://schemas.openxmlformats.org/drawingml/2006/picture">
                <pic:pic>
                  <pic:nvPicPr>
                    <pic:cNvPr id="0" name="trends_6categories.png"/>
                    <pic:cNvPicPr/>
                  </pic:nvPicPr>
                  <pic:blipFill>
                    <a:blip r:embed="rId13"/>
                    <a:stretch>
                      <a:fillRect/>
                    </a:stretch>
                  </pic:blipFill>
                  <pic:spPr>
                    <a:xfrm>
                      <a:off x="0" y="0"/>
                      <a:ext cx="5303520" cy="12431332"/>
                    </a:xfrm>
                    <a:prstGeom prst="rect"/>
                  </pic:spPr>
                </pic:pic>
              </a:graphicData>
            </a:graphic>
          </wp:inline>
        </w:drawing>
      </w:r>
    </w:p>
    <w:p>
      <w:pPr>
        <w:spacing w:after="200"/>
        <w:jc w:val="center"/>
      </w:pPr>
      <w:r>
        <w:rPr>
          <w:rFonts w:ascii="Times New Roman" w:hAnsi="Times New Roman"/>
          <w:b/>
          <w:i/>
          <w:sz w:val="20"/>
        </w:rPr>
        <w:t xml:space="preserve">Hình 3. </w:t>
      </w:r>
      <w:r>
        <w:rPr>
          <w:rFonts w:ascii="Times New Roman" w:hAnsi="Times New Roman"/>
          <w:i w:val="0"/>
          <w:sz w:val="20"/>
        </w:rPr>
        <w:t>Xu hướng biến động điểm 6 nhóm danh mục SDG theo thời gian (2020–2025) của 7 doanh nghiệp niêm yết</w:t>
      </w:r>
    </w:p>
    <w:p>
      <w:pPr>
        <w:spacing w:line="324" w:lineRule="auto" w:after="80"/>
        <w:ind w:firstLine="567"/>
        <w:jc w:val="both"/>
      </w:pPr>
      <w:r>
        <w:rPr>
          <w:rFonts w:ascii="Times New Roman" w:hAnsi="Times New Roman"/>
          <w:b w:val="0"/>
          <w:i w:val="0"/>
          <w:color w:val="000000"/>
          <w:sz w:val="24"/>
        </w:rPr>
        <w:t>Hình 3 minh họa quỹ đạo biến động điểm số của 6 nhóm danh mục SDG qua 6 năm cho từng doanh nghiệp. Điểm nhấn nổi bật nhất là xu hướng tăng trưởng đồng loạt của hầu hết các doanh nghiệp trong giai đoạn 2023–2025. Đặc biệt, Tập đoàn Bảo Việt (BVH), Vinamilk (VNM) và Vicostone (VCS) cho thấy sự bứt phá mạnh mẽ ở tất cả các nhóm chỉ tiêu trong hai năm 2024 và 2025. Tại Vinamilk, nhóm Môi trường (Environments) đã tăng vọt từ mức 41,23 điểm năm 2020 lên 47,29 điểm năm 2025, nhờ vào việc doanh nghiệp này chính thức công bố lộ trình trung hòa carbon Net Zero 2050 theo tiêu chuẩn PAS 2060 và triển khai hàng loạt trang trại sinh thái chuẩn quốc tế.</w:t>
      </w:r>
    </w:p>
    <w:p>
      <w:pPr>
        <w:spacing w:line="324" w:lineRule="auto" w:after="80"/>
        <w:ind w:firstLine="567"/>
        <w:jc w:val="both"/>
      </w:pPr>
      <w:r>
        <w:rPr>
          <w:rFonts w:ascii="Times New Roman" w:hAnsi="Times New Roman"/>
          <w:b w:val="0"/>
          <w:i w:val="0"/>
          <w:color w:val="000000"/>
          <w:sz w:val="24"/>
        </w:rPr>
        <w:t>Tương tự, Vicostone (VCS) ghi nhận mức mở rộng quy mô báo cáo ngoạn mục vào năm 2025 với 5.974 câu văn bản (gấp hơn 2,5 lần các năm trước), đưa điểm nhóm Kinh tế lên 51,90 điểm và nhóm Xã hội lên 50,51 điểm, phản ánh sự chuyển dịch từ báo cáo tuân thủ sang tích hợp chiến lược ESG sâu rộng trong chuỗi cung ứng đá nhân tạo. Đối với các doanh nghiệp tài chính như SSI và BVH, nhóm Xã hội (đối tác vì các mục tiêu và quản trị minh bạch) luôn duy trì vị trí thứ hai sau kinh tế, chứng minh vai trò dẫn dắt dòng vốn xanh và đầu tư có trách nhiệm.</w:t>
      </w:r>
    </w:p>
    <w:p>
      <w:pPr>
        <w:keepNext/>
        <w:spacing w:before="200" w:after="60"/>
      </w:pPr>
      <w:r>
        <w:rPr>
          <w:rFonts w:ascii="Times New Roman" w:hAnsi="Times New Roman"/>
          <w:b/>
          <w:color w:val="000000"/>
          <w:sz w:val="25"/>
        </w:rPr>
        <w:t>4.4 Phân tích Cảm xúc Ngôn ngữ Báo cáo</w:t>
      </w:r>
    </w:p>
    <w:p>
      <w:pPr>
        <w:keepNext/>
        <w:spacing w:before="200" w:after="80"/>
        <w:jc w:val="center"/>
      </w:pPr>
      <w:r>
        <w:drawing>
          <wp:inline xmlns:a="http://schemas.openxmlformats.org/drawingml/2006/main" xmlns:pic="http://schemas.openxmlformats.org/drawingml/2006/picture">
            <wp:extent cx="4754880" cy="2188804"/>
            <wp:docPr id="4" name="Picture 4"/>
            <wp:cNvGraphicFramePr>
              <a:graphicFrameLocks noChangeAspect="1"/>
            </wp:cNvGraphicFramePr>
            <a:graphic>
              <a:graphicData uri="http://schemas.openxmlformats.org/drawingml/2006/picture">
                <pic:pic>
                  <pic:nvPicPr>
                    <pic:cNvPr id="0" name="sentiment_hist.png"/>
                    <pic:cNvPicPr/>
                  </pic:nvPicPr>
                  <pic:blipFill>
                    <a:blip r:embed="rId14"/>
                    <a:stretch>
                      <a:fillRect/>
                    </a:stretch>
                  </pic:blipFill>
                  <pic:spPr>
                    <a:xfrm>
                      <a:off x="0" y="0"/>
                      <a:ext cx="4754880" cy="2188804"/>
                    </a:xfrm>
                    <a:prstGeom prst="rect"/>
                  </pic:spPr>
                </pic:pic>
              </a:graphicData>
            </a:graphic>
          </wp:inline>
        </w:drawing>
      </w:r>
    </w:p>
    <w:p>
      <w:pPr>
        <w:spacing w:after="200"/>
        <w:jc w:val="center"/>
      </w:pPr>
      <w:r>
        <w:rPr>
          <w:rFonts w:ascii="Times New Roman" w:hAnsi="Times New Roman"/>
          <w:b/>
          <w:i/>
          <w:sz w:val="20"/>
        </w:rPr>
        <w:t xml:space="preserve">Hình 4. </w:t>
      </w:r>
      <w:r>
        <w:rPr>
          <w:rFonts w:ascii="Times New Roman" w:hAnsi="Times New Roman"/>
          <w:i w:val="0"/>
          <w:sz w:val="20"/>
        </w:rPr>
        <w:t>Phân phối xác suất độ phân cực cảm xúc của các câu văn bản (mô hình PhoBERT)</w:t>
      </w:r>
    </w:p>
    <w:p>
      <w:pPr>
        <w:spacing w:line="324" w:lineRule="auto" w:after="80"/>
        <w:ind w:firstLine="567"/>
        <w:jc w:val="both"/>
      </w:pPr>
      <w:r>
        <w:rPr>
          <w:rFonts w:ascii="Times New Roman" w:hAnsi="Times New Roman"/>
          <w:b w:val="0"/>
          <w:i w:val="0"/>
          <w:color w:val="000000"/>
          <w:sz w:val="24"/>
        </w:rPr>
        <w:t>Hình 4 thể hiện phân phối tần suất của điểm xác suất phân cực cảm xúc dự báo bởi PhoBERT. Đồ thị mang đặc trưng phân phối hai đỉnh (bimodal distribution) rõ rệt: một đỉnh tập trung tại vùng trung tính (xung quanh giá trị 0,45 - 0,55) và một đỉnh cực đại nhô cao tại vùng giá trị tích cực tuyệt đối (0,90 - 1,00). Số lượng câu văn rơi vào vùng tiêu cực (&lt; 0,20) là cực kỳ khiêm tốn. Điều này trực quan hóa bằng chứng sống động về sự áp đảo của các thông điệp truyền thông tích cực.</w:t>
      </w:r>
    </w:p>
    <w:p>
      <w:pPr>
        <w:keepNext/>
        <w:spacing w:before="200" w:after="80"/>
        <w:jc w:val="center"/>
      </w:pPr>
      <w:r>
        <w:drawing>
          <wp:inline xmlns:a="http://schemas.openxmlformats.org/drawingml/2006/main" xmlns:pic="http://schemas.openxmlformats.org/drawingml/2006/picture">
            <wp:extent cx="5303520" cy="14021553"/>
            <wp:docPr id="5" name="Picture 5"/>
            <wp:cNvGraphicFramePr>
              <a:graphicFrameLocks noChangeAspect="1"/>
            </wp:cNvGraphicFramePr>
            <a:graphic>
              <a:graphicData uri="http://schemas.openxmlformats.org/drawingml/2006/picture">
                <pic:pic>
                  <pic:nvPicPr>
                    <pic:cNvPr id="0" name="sentiment_by_company.png"/>
                    <pic:cNvPicPr/>
                  </pic:nvPicPr>
                  <pic:blipFill>
                    <a:blip r:embed="rId15"/>
                    <a:stretch>
                      <a:fillRect/>
                    </a:stretch>
                  </pic:blipFill>
                  <pic:spPr>
                    <a:xfrm>
                      <a:off x="0" y="0"/>
                      <a:ext cx="5303520" cy="14021553"/>
                    </a:xfrm>
                    <a:prstGeom prst="rect"/>
                  </pic:spPr>
                </pic:pic>
              </a:graphicData>
            </a:graphic>
          </wp:inline>
        </w:drawing>
      </w:r>
    </w:p>
    <w:p>
      <w:pPr>
        <w:spacing w:after="200"/>
        <w:jc w:val="center"/>
      </w:pPr>
      <w:r>
        <w:rPr>
          <w:rFonts w:ascii="Times New Roman" w:hAnsi="Times New Roman"/>
          <w:b/>
          <w:i/>
          <w:sz w:val="20"/>
        </w:rPr>
        <w:t xml:space="preserve">Hình 5. </w:t>
      </w:r>
      <w:r>
        <w:rPr>
          <w:rFonts w:ascii="Times New Roman" w:hAnsi="Times New Roman"/>
          <w:i w:val="0"/>
          <w:sz w:val="20"/>
        </w:rPr>
        <w:t>Cơ cấu tỷ lệ các câu Tích cực / Trung tính / Tiêu cực và Tỷ số Pos/Neg theo doanh nghiệp qua các năm</w:t>
      </w:r>
    </w:p>
    <w:p>
      <w:pPr>
        <w:keepNext/>
        <w:spacing w:before="200" w:after="80"/>
        <w:jc w:val="center"/>
      </w:pPr>
      <w:r>
        <w:drawing>
          <wp:inline xmlns:a="http://schemas.openxmlformats.org/drawingml/2006/main" xmlns:pic="http://schemas.openxmlformats.org/drawingml/2006/picture">
            <wp:extent cx="5120640" cy="2777356"/>
            <wp:docPr id="6" name="Picture 6"/>
            <wp:cNvGraphicFramePr>
              <a:graphicFrameLocks noChangeAspect="1"/>
            </wp:cNvGraphicFramePr>
            <a:graphic>
              <a:graphicData uri="http://schemas.openxmlformats.org/drawingml/2006/picture">
                <pic:pic>
                  <pic:nvPicPr>
                    <pic:cNvPr id="0" name="sentiment_ratio.png"/>
                    <pic:cNvPicPr/>
                  </pic:nvPicPr>
                  <pic:blipFill>
                    <a:blip r:embed="rId16"/>
                    <a:stretch>
                      <a:fillRect/>
                    </a:stretch>
                  </pic:blipFill>
                  <pic:spPr>
                    <a:xfrm>
                      <a:off x="0" y="0"/>
                      <a:ext cx="5120640" cy="2777356"/>
                    </a:xfrm>
                    <a:prstGeom prst="rect"/>
                  </pic:spPr>
                </pic:pic>
              </a:graphicData>
            </a:graphic>
          </wp:inline>
        </w:drawing>
      </w:r>
    </w:p>
    <w:p>
      <w:pPr>
        <w:spacing w:after="200"/>
        <w:jc w:val="center"/>
      </w:pPr>
      <w:r>
        <w:rPr>
          <w:rFonts w:ascii="Times New Roman" w:hAnsi="Times New Roman"/>
          <w:b/>
          <w:i/>
          <w:sz w:val="20"/>
        </w:rPr>
        <w:t xml:space="preserve">Hình 6. </w:t>
      </w:r>
      <w:r>
        <w:rPr>
          <w:rFonts w:ascii="Times New Roman" w:hAnsi="Times New Roman"/>
          <w:i w:val="0"/>
          <w:sz w:val="20"/>
        </w:rPr>
        <w:t>Diễn biến Tỷ số Cảm xúc (Pos/Neg Ratio) hàng năm giữa 7 doanh nghiệp giai đoạn 2020–2025</w:t>
      </w:r>
    </w:p>
    <w:p>
      <w:pPr>
        <w:keepNext/>
        <w:spacing w:before="240" w:after="20"/>
      </w:pPr>
      <w:r>
        <w:rPr>
          <w:rFonts w:ascii="Times New Roman" w:hAnsi="Times New Roman"/>
          <w:b/>
          <w:color w:val="000000"/>
          <w:sz w:val="21"/>
        </w:rPr>
        <w:t>Bảng 4</w:t>
      </w:r>
    </w:p>
    <w:p>
      <w:pPr>
        <w:keepNext/>
        <w:spacing w:before="0" w:after="80"/>
      </w:pPr>
      <w:r>
        <w:rPr>
          <w:rFonts w:ascii="Times New Roman" w:hAnsi="Times New Roman"/>
          <w:i/>
          <w:color w:val="000000"/>
          <w:sz w:val="21"/>
        </w:rPr>
        <w:t>Thống kê cơ cấu và tỷ lệ cảm xúc văn bản trong 42 báo cáo phát triển bền vững</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Công ty</w:t>
            </w:r>
          </w:p>
        </w:tc>
        <w:tc>
          <w:tcPr>
            <w:tcW w:type="dxa" w:w="68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Năm</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Tiêu cực (Neg)</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Trung tính (Neu)</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Tích cực (Pos)</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Tỷ số Pos/Neg</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663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2,562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2,402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3.62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2,941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2,527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2.75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853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2,991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2,575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3.02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1,245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2,107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6.22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2,343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5.81</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1,361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2,695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872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1,000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992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4.19</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155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193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535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3.45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414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1,157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6.19</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269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578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1,197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4.45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745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971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3.02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3.09</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399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965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2.42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165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709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7.46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7.36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790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4.34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1,037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4.76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203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556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4.48</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0.33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165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698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4.23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917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364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3.84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399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280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5.76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284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767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5.52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767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6.14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1,006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4.77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662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374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902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340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740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1,094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682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1,119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3.31</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1,204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3.67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960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3.20</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1,380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4.38</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659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2,995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347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874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1,810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5.22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461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1,044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2,004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4.35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947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1,600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4.72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1,156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5.43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570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1,417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6.06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731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1,543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6.54</w:t>
            </w:r>
          </w:p>
        </w:tc>
      </w:tr>
    </w:tbl>
    <w:p>
      <w:pPr>
        <w:spacing w:before="60" w:after="160"/>
      </w:pPr>
      <w:r>
        <w:rPr>
          <w:rFonts w:ascii="Times New Roman" w:hAnsi="Times New Roman"/>
          <w:i/>
          <w:sz w:val="18"/>
        </w:rPr>
        <w:t xml:space="preserve">Ghi chú. </w:t>
      </w:r>
      <w:r>
        <w:rPr>
          <w:rFonts w:ascii="Times New Roman" w:hAnsi="Times New Roman"/>
          <w:i w:val="0"/>
          <w:sz w:val="18"/>
        </w:rPr>
        <w:t>Phân loại cảm xúc tự động bằng mô hình PhoBERT. Tỷ số Pos/Neg = Số câu Tích cực / Số câu Tiêu cực.</w:t>
      </w:r>
    </w:p>
    <w:p>
      <w:pPr>
        <w:spacing w:line="324" w:lineRule="auto" w:after="80"/>
        <w:ind w:firstLine="567"/>
        <w:jc w:val="both"/>
      </w:pPr>
      <w:r>
        <w:rPr>
          <w:rFonts w:ascii="Times New Roman" w:hAnsi="Times New Roman"/>
          <w:b w:val="0"/>
          <w:i w:val="0"/>
          <w:color w:val="000000"/>
          <w:sz w:val="24"/>
        </w:rPr>
        <w:t>Hình 5 và Bảng 4 tổng hợp bức tranh cơ cấu cảm xúc trên toàn bộ 95.804 câu văn bản. Kết quả thống kê chỉ ra rằng: số câu mang sắc thái Tích cực (Positive) chiếm tỷ lệ đa số tuyệt đối với 51.652 câu (tương đương 53,91%), câu Trung tính (Neutral) chiếm 31.615 câu (33,00%), trong khi câu mang sắc thái Tiêu cực (Negative) chỉ chiếm vỏn vẹn 12.537 câu (13,09%). Nhìn chung, cứ mỗi câu văn đề cập đến rủi ro hoặc khó khăn, các doanh nghiệp Việt Nam sử dụng tới hơn 4 câu văn để ca ngợi thành tựu và kết quả tích cực (tỷ số Pos/Neg bình quân toàn mẫu đạt 4,12 lần).</w:t>
      </w:r>
    </w:p>
    <w:p>
      <w:pPr>
        <w:spacing w:line="324" w:lineRule="auto" w:after="80"/>
        <w:ind w:firstLine="567"/>
        <w:jc w:val="both"/>
      </w:pPr>
      <w:r>
        <w:rPr>
          <w:rFonts w:ascii="Times New Roman" w:hAnsi="Times New Roman"/>
          <w:b w:val="0"/>
          <w:i w:val="0"/>
          <w:color w:val="000000"/>
          <w:sz w:val="24"/>
        </w:rPr>
        <w:t>Hình 6 khắc họa sự phân hóa sâu sắc về tỷ số Pos/Neg giữa các doanh nghiệp. Vinamilk (VNM) duy trì phong độ ổn định ở mức cao với tỷ số dao động từ 4,35 đến 6,54, thể hiện kỹ thuật truyền thông thương hiệu bền vững bậc thầy. Ngược lại, Bảo Việt (BVH) có tỷ lệ câu trung tính rất cao (trên 45%) do đặc thù của báo cáo tích hợp ngành bảo hiểm phải giải trình nhiều bảng cân đối tài chính và quản trị rủi ro kỹ thuật. Đặc biệt, đường biểu diễn của PNJ cho thấy một điểm đáy dị biệt bất thường vào năm 2022 (Pos/Neg chạm mức 0,33 lần), trước khi bật tăng mạnh lên 4,23 lần vào năm 2023. Đây là hiện tượng dị biệt kỹ thuật do chất lượng số hóa sẽ được phân tích sâu ở phần thảo luận.</w:t>
      </w:r>
    </w:p>
    <w:p>
      <w:pPr>
        <w:keepNext/>
        <w:spacing w:before="200" w:after="60"/>
      </w:pPr>
      <w:r>
        <w:rPr>
          <w:rFonts w:ascii="Times New Roman" w:hAnsi="Times New Roman"/>
          <w:b/>
          <w:color w:val="000000"/>
          <w:sz w:val="25"/>
        </w:rPr>
        <w:t>4.5 Đối chiếu Giá Cổ phiếu Hàng tháng và Tỷ lệ Cảm xúc Thường niên</w:t>
      </w:r>
    </w:p>
    <w:p>
      <w:pPr>
        <w:keepNext/>
        <w:spacing w:before="200" w:after="80"/>
        <w:jc w:val="center"/>
      </w:pPr>
      <w:r>
        <w:drawing>
          <wp:inline xmlns:a="http://schemas.openxmlformats.org/drawingml/2006/main" xmlns:pic="http://schemas.openxmlformats.org/drawingml/2006/picture">
            <wp:extent cx="5486400" cy="12129635"/>
            <wp:docPr id="7" name="Picture 7"/>
            <wp:cNvGraphicFramePr>
              <a:graphicFrameLocks noChangeAspect="1"/>
            </wp:cNvGraphicFramePr>
            <a:graphic>
              <a:graphicData uri="http://schemas.openxmlformats.org/drawingml/2006/picture">
                <pic:pic>
                  <pic:nvPicPr>
                    <pic:cNvPr id="0" name="stock_vs_sentiment_greenwashing.png"/>
                    <pic:cNvPicPr/>
                  </pic:nvPicPr>
                  <pic:blipFill>
                    <a:blip r:embed="rId17"/>
                    <a:stretch>
                      <a:fillRect/>
                    </a:stretch>
                  </pic:blipFill>
                  <pic:spPr>
                    <a:xfrm>
                      <a:off x="0" y="0"/>
                      <a:ext cx="5486400" cy="12129635"/>
                    </a:xfrm>
                    <a:prstGeom prst="rect"/>
                  </pic:spPr>
                </pic:pic>
              </a:graphicData>
            </a:graphic>
          </wp:inline>
        </w:drawing>
      </w:r>
    </w:p>
    <w:p>
      <w:pPr>
        <w:spacing w:after="200"/>
        <w:jc w:val="center"/>
      </w:pPr>
      <w:r>
        <w:rPr>
          <w:rFonts w:ascii="Times New Roman" w:hAnsi="Times New Roman"/>
          <w:b/>
          <w:i/>
          <w:sz w:val="20"/>
        </w:rPr>
        <w:t xml:space="preserve">Hình 7. </w:t>
      </w:r>
      <w:r>
        <w:rPr>
          <w:rFonts w:ascii="Times New Roman" w:hAnsi="Times New Roman"/>
          <w:i w:val="0"/>
          <w:sz w:val="20"/>
        </w:rPr>
        <w:t>Đối chiếu chuỗi giá cổ phiếu hàng tháng (đường xanh) và Pos/Neg ziczac đỉnh năm (nền núi cam) quy đổi về index 100</w:t>
      </w:r>
    </w:p>
    <w:p>
      <w:pPr>
        <w:keepNext/>
        <w:spacing w:before="240" w:after="20"/>
      </w:pPr>
      <w:r>
        <w:rPr>
          <w:rFonts w:ascii="Times New Roman" w:hAnsi="Times New Roman"/>
          <w:b/>
          <w:color w:val="000000"/>
          <w:sz w:val="21"/>
        </w:rPr>
        <w:t>Bảng 5</w:t>
      </w:r>
    </w:p>
    <w:p>
      <w:pPr>
        <w:keepNext/>
        <w:spacing w:before="0" w:after="80"/>
      </w:pPr>
      <w:r>
        <w:rPr>
          <w:rFonts w:ascii="Times New Roman" w:hAnsi="Times New Roman"/>
          <w:i/>
          <w:color w:val="000000"/>
          <w:sz w:val="21"/>
        </w:rPr>
        <w:t>Kết quả kiểm định tương quan Pearson và Spearman giữa biến động giá cổ phiếu và tỷ lệ cảm xúc</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44"/>
        <w:gridCol w:w="1344"/>
        <w:gridCol w:w="1344"/>
        <w:gridCol w:w="1344"/>
        <w:gridCol w:w="1344"/>
        <w:gridCol w:w="1344"/>
        <w:gridCol w:w="1344"/>
      </w:tblGrid>
      <w:tr>
        <w:trPr>
          <w:tblHeader/>
        </w:trPr>
        <w:tc>
          <w:tcPr>
            <w:tcW w:type="dxa" w:w="198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Doanh nghiệp</w:t>
            </w:r>
          </w:p>
        </w:tc>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Cỡ mẫu (n)</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Pearson r</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p-value (Pearson)</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Spearman ρ</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p-value (Spearman)</w:t>
            </w:r>
          </w:p>
        </w:tc>
        <w:tc>
          <w:tcPr>
            <w:tcW w:type="dxa" w:w="215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Kết luận thống kê</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-0.355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0.558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+0.000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1.000</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Mẫu nhỏ (n=5), p ≥ 0,10 (Không suy diễn)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0.830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0.873</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Mẫu nhỏ (n=5), p ≥ 0,10 (Không suy diễn)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+0.434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0.465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+0.600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0.285</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Mẫu nhỏ (n=5), p ≥ 0,10 (Không suy diễn)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-0.692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0.195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-0.900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0.037</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Mẫu nhỏ (n=5), p ≥ 0,10 (Không suy diễn)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+0.237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0.701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+0.500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0.391</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Mẫu nhỏ (n=5), p ≥ 0,10 (Không suy diễn)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0.842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-0.200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0.747</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Mẫu nhỏ (n=5), p ≥ 0,10 (Không suy diễn)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+0.717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0.173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0.873</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Mẫu nhỏ (n=5), p ≥ 0,10 (Không suy diễn)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Mẫu gộp toàn bộ (Pooled Sample)</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-0.046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0.791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-0.098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0.575</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Không có tương quan thống kê (p = 0,79)</w:t>
            </w:r>
          </w:p>
        </w:tc>
      </w:tr>
    </w:tbl>
    <w:p>
      <w:pPr>
        <w:spacing w:before="60" w:after="160"/>
      </w:pPr>
      <w:r>
        <w:rPr>
          <w:rFonts w:ascii="Times New Roman" w:hAnsi="Times New Roman"/>
          <w:i/>
          <w:sz w:val="18"/>
        </w:rPr>
        <w:t xml:space="preserve">Ghi chú. </w:t>
      </w:r>
      <w:r>
        <w:rPr>
          <w:rFonts w:ascii="Times New Roman" w:hAnsi="Times New Roman"/>
          <w:i w:val="0"/>
          <w:sz w:val="18"/>
        </w:rPr>
        <w:t>Kiểm định trên chuỗi biến động hàng năm (% đổi giá cuối năm vs % đổi tỷ số Pos/Neg). Cỡ mẫu n = 5 cặp quan sát/công ty; Mẫu gộp N = 35 quan sát.</w:t>
      </w:r>
    </w:p>
    <w:p>
      <w:pPr>
        <w:spacing w:line="324" w:lineRule="auto" w:after="80"/>
        <w:ind w:firstLine="567"/>
        <w:jc w:val="both"/>
      </w:pPr>
      <w:r>
        <w:rPr>
          <w:rFonts w:ascii="Times New Roman" w:hAnsi="Times New Roman"/>
          <w:b w:val="0"/>
          <w:i w:val="0"/>
          <w:color w:val="000000"/>
          <w:sz w:val="24"/>
        </w:rPr>
        <w:t>Hình 7 mô tả trực quan mối tương quan động giữa chuỗi giá cổ phiếu hàng tháng (đường màu xanh nước biển) và diễn biến tỷ lệ Pos/Neg thường niên (đỉnh ziczac kèm diện tích bóng đổ màu cam), với cả hai chuỗi số liệu được quy đổi về cùng một gốc chỉ số index 100 tại tháng đầu tiên khảo sát. Các dải màu nền đỏ nhạt thể hiện các giai đoạn cảnh báo tẩy xanh (giá cổ phiếu năm tụt dốc &gt; 10% nhưng tỷ lệ Pos/Neg lại tăng vọt &gt; 15%), trong khi các dải màu xanh lá cây thể hiện thái độ trung thực (giá giảm và giọng văn báo cáo cũng giảm mức độ lạc quan tương ứng).</w:t>
      </w:r>
    </w:p>
    <w:p>
      <w:pPr>
        <w:spacing w:line="324" w:lineRule="auto" w:after="80"/>
        <w:ind w:firstLine="567"/>
        <w:jc w:val="both"/>
      </w:pPr>
      <w:r>
        <w:rPr>
          <w:rFonts w:ascii="Times New Roman" w:hAnsi="Times New Roman"/>
          <w:b w:val="0"/>
          <w:i w:val="0"/>
          <w:color w:val="000000"/>
          <w:sz w:val="24"/>
        </w:rPr>
        <w:t>Bảng 5 trình bày kết quả ước lượng thống kê tương quan Pearson và Spearman. Trên toàn bộ mẫu gộp (Pooled Sample, N = 35 cặp quan sát), hệ số tương quan tuyến tính Pearson đạt r = -0,046 (p = 0,791) và tương quan thứ hạng Spearman đạt rho = -0,098 (p = 0,575). Với giá trị p-value lớn hơn rất nhiều so với ngưỡng ý nghĩa thống kê 0,10, nghiên cứu kết luận rằng biến động thị trường cổ phiếu và sắc thái cảm xúc trong báo cáo PTBV tại Việt Nam hoàn toàn độc lập và tách rời nhau. Khi xét riêng từng công ty với cỡ mẫu nhỏ (n = 5), các hệ số tương quan biến thiên từ âm sang dương nhưng đều không đạt độ tin cậy thống kê (p &gt;= 0,173), khẳng định giọng văn báo cáo không bị chi phối trực tiếp bởi các cú sốc định giá ngắn hạn của thị trường chứng khoán.</w:t>
      </w:r>
    </w:p>
    <w:p>
      <w:pPr>
        <w:keepNext/>
        <w:spacing w:before="200" w:after="60"/>
      </w:pPr>
      <w:r>
        <w:rPr>
          <w:rFonts w:ascii="Times New Roman" w:hAnsi="Times New Roman"/>
          <w:b/>
          <w:color w:val="000000"/>
          <w:sz w:val="25"/>
        </w:rPr>
        <w:t>4.6 Định lượng và Xếp hạng Mức độ Tẩy xanh Liên tục (Greenwashing Score)</w:t>
      </w:r>
    </w:p>
    <w:p>
      <w:pPr>
        <w:keepNext/>
        <w:spacing w:before="200" w:after="80"/>
        <w:jc w:val="center"/>
      </w:pPr>
      <w:r>
        <w:drawing>
          <wp:inline xmlns:a="http://schemas.openxmlformats.org/drawingml/2006/main" xmlns:pic="http://schemas.openxmlformats.org/drawingml/2006/picture">
            <wp:extent cx="5120640" cy="1501005"/>
            <wp:docPr id="8" name="Picture 8"/>
            <wp:cNvGraphicFramePr>
              <a:graphicFrameLocks noChangeAspect="1"/>
            </wp:cNvGraphicFramePr>
            <a:graphic>
              <a:graphicData uri="http://schemas.openxmlformats.org/drawingml/2006/picture">
                <pic:pic>
                  <pic:nvPicPr>
                    <pic:cNvPr id="0" name="greenwashing_score.png"/>
                    <pic:cNvPicPr/>
                  </pic:nvPicPr>
                  <pic:blipFill>
                    <a:blip r:embed="rId18"/>
                    <a:stretch>
                      <a:fillRect/>
                    </a:stretch>
                  </pic:blipFill>
                  <pic:spPr>
                    <a:xfrm>
                      <a:off x="0" y="0"/>
                      <a:ext cx="5120640" cy="1501005"/>
                    </a:xfrm>
                    <a:prstGeom prst="rect"/>
                  </pic:spPr>
                </pic:pic>
              </a:graphicData>
            </a:graphic>
          </wp:inline>
        </w:drawing>
      </w:r>
    </w:p>
    <w:p>
      <w:pPr>
        <w:spacing w:after="200"/>
        <w:jc w:val="center"/>
      </w:pPr>
      <w:r>
        <w:rPr>
          <w:rFonts w:ascii="Times New Roman" w:hAnsi="Times New Roman"/>
          <w:b/>
          <w:i/>
          <w:sz w:val="20"/>
        </w:rPr>
        <w:t xml:space="preserve">Hình 8. </w:t>
      </w:r>
      <w:r>
        <w:rPr>
          <w:rFonts w:ascii="Times New Roman" w:hAnsi="Times New Roman"/>
          <w:i w:val="0"/>
          <w:sz w:val="20"/>
        </w:rPr>
        <w:t>Bản đồ nhiệt điểm tẩy xanh (GW) từng năm và biểu đồ cột xếp hạng mức độ tẩy xanh trung bình của 7 doanh nghiệp</w:t>
      </w:r>
    </w:p>
    <w:p>
      <w:pPr>
        <w:keepNext/>
        <w:spacing w:before="240" w:after="20"/>
      </w:pPr>
      <w:r>
        <w:rPr>
          <w:rFonts w:ascii="Times New Roman" w:hAnsi="Times New Roman"/>
          <w:b/>
          <w:color w:val="000000"/>
          <w:sz w:val="21"/>
        </w:rPr>
        <w:t>Bảng 6</w:t>
      </w:r>
    </w:p>
    <w:p>
      <w:pPr>
        <w:keepNext/>
        <w:spacing w:before="0" w:after="80"/>
      </w:pPr>
      <w:r>
        <w:rPr>
          <w:rFonts w:ascii="Times New Roman" w:hAnsi="Times New Roman"/>
          <w:i/>
          <w:color w:val="000000"/>
          <w:sz w:val="21"/>
        </w:rPr>
        <w:t>Bảng xếp hạng mức độ tẩy xanh định lượng (Greenwashing Index) của 7 doanh nghiệp niêm yết</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5"/>
        <w:gridCol w:w="1045"/>
        <w:gridCol w:w="1045"/>
        <w:gridCol w:w="1045"/>
        <w:gridCol w:w="1045"/>
        <w:gridCol w:w="1045"/>
        <w:gridCol w:w="1045"/>
        <w:gridCol w:w="1045"/>
        <w:gridCol w:w="1045"/>
      </w:tblGrid>
      <w:tr>
        <w:trPr>
          <w:tblHeader/>
        </w:trPr>
        <w:tc>
          <w:tcPr>
            <w:tcW w:type="dxa" w:w="56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Hạng</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Doanh nghiệp</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Số năm khảo sát</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Số năm giá giảm</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Số năm GW &gt; 0</w:t>
            </w:r>
          </w:p>
        </w:tc>
        <w:tc>
          <w:tcPr>
            <w:tcW w:type="dxa" w:w="113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Điểm GW trung bình</w:t>
            </w:r>
          </w:p>
        </w:tc>
        <w:tc>
          <w:tcPr>
            <w:tcW w:type="dxa" w:w="113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Điểm GW cực đại</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Năm GW cực đại</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Số năm trung thực</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1</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PNJ</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4.35</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21.75</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0</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BVH</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4</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3.02</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13.96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3</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VCS</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1.23</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5.16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0</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4</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VNM</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4</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3</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0.35</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1.13</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PAN</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PLX</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7</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SSI</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r>
    </w:tbl>
    <w:p>
      <w:pPr>
        <w:spacing w:before="60" w:after="160"/>
      </w:pPr>
      <w:r>
        <w:rPr>
          <w:rFonts w:ascii="Times New Roman" w:hAnsi="Times New Roman"/>
          <w:i/>
          <w:sz w:val="18"/>
        </w:rPr>
        <w:t xml:space="preserve">Ghi chú. </w:t>
      </w:r>
      <w:r>
        <w:rPr>
          <w:rFonts w:ascii="Times New Roman" w:hAnsi="Times New Roman"/>
          <w:i w:val="0"/>
          <w:sz w:val="18"/>
        </w:rPr>
        <w:t>Điểm GW tính theo Công thức (5) chỉ kích hoạt khi giá cổ phiếu suy giảm. Phân cấp: GW = 0 (Không/Trung thực); 0 &lt; GW &lt;= 2 (Nhẹ); 2 &lt; GW &lt;= 8 (Trung bình); GW &gt; 8 (Mạnh).</w:t>
      </w:r>
    </w:p>
    <w:p>
      <w:pPr>
        <w:spacing w:line="324" w:lineRule="auto" w:after="80"/>
        <w:ind w:firstLine="567"/>
        <w:jc w:val="both"/>
      </w:pPr>
      <w:r>
        <w:rPr>
          <w:rFonts w:ascii="Times New Roman" w:hAnsi="Times New Roman"/>
          <w:b w:val="0"/>
          <w:i w:val="0"/>
          <w:color w:val="000000"/>
          <w:sz w:val="24"/>
        </w:rPr>
        <w:t>Hình 8 và Bảng 6 tổng hợp kết quả tính toán chỉ số tẩy xanh định lượng liên tục (GW Index). Bảng xếp hạng ghi nhận PNJ đứng đầu với GW trung bình 4,35 điểm và GW cực đại đạt 21,75 điểm vào năm 2023, tiếp theo là Bảo Việt (BVH) với GW trung bình 3,02 điểm (cực đại 13,96 điểm năm 2023), Vicostone (VCS) đạt 1,23 điểm (cực đại 5,16 điểm năm 2022) và Vinamilk (VNM) đạt 0,35 điểm (mức tẩy xanh nhẹ). Trong khi đó, 3 doanh nghiệp gồm The PAN Group (PAN), Petrolimex (PLX) và Chứng khoán SSI đều ghi nhận mức GW trung bình bằng 0,00 điểm, nhờ duy trì thái độ công bố thông tin trung thực (khi thị trường giảm, tỷ số cảm xúc cũng giảm) hoặc thị trường duy trì xu hướng giá tích cực trong các năm khảo sát.</w:t>
      </w:r>
    </w:p>
    <w:p>
      <w:pPr>
        <w:spacing w:line="324" w:lineRule="auto" w:after="80"/>
        <w:ind w:firstLine="567"/>
        <w:jc w:val="both"/>
      </w:pPr>
      <w:r>
        <w:rPr>
          <w:rFonts w:ascii="Times New Roman" w:hAnsi="Times New Roman"/>
          <w:b w:val="0"/>
          <w:i w:val="0"/>
          <w:color w:val="000000"/>
          <w:sz w:val="24"/>
        </w:rPr>
        <w:t>Tuy nhiên, việc diễn giải cơ học các điểm số GW cao như trường hợp của PNJ (21,75 điểm) hay BVH (13,96 điểm) mà không đối chiếu với chất lượng số hóa tài liệu và bối cảnh kế toán thực tế sẽ dẫn tới những kết luận sai lầm nghiêm trọng. Phần thảo luận dưới đây sẽ phân tích sâu sắc bản chất hiện tượng này dưới góc nhìn chuyên môn.</w:t>
      </w:r>
    </w:p>
    <w:p>
      <w:pPr>
        <w:keepNext/>
        <w:spacing w:before="280" w:after="80"/>
      </w:pPr>
      <w:r>
        <w:rPr>
          <w:rFonts w:ascii="Times New Roman" w:hAnsi="Times New Roman"/>
          <w:b/>
          <w:color w:val="000000"/>
          <w:sz w:val="26"/>
        </w:rPr>
        <w:t>5. THẢO LUẬN CHUYÊN SÂU VÀ HÀM Ý CHÍNH SÁCH (DISCUSSION)</w:t>
      </w:r>
    </w:p>
    <w:p>
      <w:pPr>
        <w:keepNext/>
        <w:spacing w:before="200" w:after="60"/>
      </w:pPr>
      <w:r>
        <w:rPr>
          <w:rFonts w:ascii="Times New Roman" w:hAnsi="Times New Roman"/>
          <w:b/>
          <w:color w:val="000000"/>
          <w:sz w:val="25"/>
        </w:rPr>
        <w:t>5.1 Thực trạng Công bố ESG tại Việt Nam qua Lăng kính Định lượng AI</w:t>
      </w:r>
    </w:p>
    <w:p>
      <w:pPr>
        <w:spacing w:line="324" w:lineRule="auto" w:after="80"/>
        <w:ind w:firstLine="567"/>
        <w:jc w:val="both"/>
      </w:pPr>
      <w:r>
        <w:rPr>
          <w:rFonts w:ascii="Times New Roman" w:hAnsi="Times New Roman"/>
          <w:b w:val="0"/>
          <w:i w:val="0"/>
          <w:color w:val="000000"/>
          <w:sz w:val="24"/>
        </w:rPr>
        <w:t>Kết quả phân tích định lượng từ 95.804 câu văn bản trong 42 báo cáo đã phác họa một bức tranh toàn cảnh, khách quan và chân thực về hiện trạng công bố thông tin phát triển bền vững tại Việt Nam qua ba đặc trưng cốt lõi: (1) Sự thiên lệch áp đảo của tư duy kinh tế (Economic Dominance): Nhóm Kinh tế (SDG 8, 9) và Đối tác (SDG 17) luôn giữ vị trí độc tôn. Điều này phản ánh thực tế rằng đối với các tập đoàn niêm yết tại một quốc gia đang phát triển như Việt Nam, mục tiêu tăng trưởng doanh thu, bảo toàn vốn và đầu tư hạ tầng kỹ thuật vẫn là ưu tiên số một để thỏa mãn kỳ vọng cổ đông ngắn hạn; (2) Khoảng trống cam kết về bình đẳng và quyền con người (Equity Gap): Nhóm Bình đẳng (SDG 4, 5, 10) liên tục xếp cuối bảng với điểm số cách biệt. Các nội dung về bình đẳng giới ở cấp quản trị thượng tầng, hòa nhập người yếu thế và giảm bất bình đẳng thu nhập nội bộ vẫn chỉ được đề cập mờ nhạt mang tính hình thức; (3) Tính lạc quan có hệ thống (Systemic Optimism Bias): Tỷ lệ câu tích cực chiếm tới 53,9% và câu trung tính 33,0%, trong khi câu tiêu cực chỉ chiếm 13,1%. Báo cáo phát triển bền vững tại Việt Nam hiện nay phần lớn vẫn đang được định vị như một tài liệu quan hệ công chúng (PR) cao cấp nhằm quảng bá hình ảnh thay vì là một công cụ quản trị rủi ro toàn diện.</w:t>
      </w:r>
    </w:p>
    <w:p>
      <w:pPr>
        <w:keepNext/>
        <w:spacing w:before="200" w:after="60"/>
      </w:pPr>
      <w:r>
        <w:rPr>
          <w:rFonts w:ascii="Times New Roman" w:hAnsi="Times New Roman"/>
          <w:b/>
          <w:color w:val="000000"/>
          <w:sz w:val="25"/>
        </w:rPr>
        <w:t>5.2 Phân tích Hành trình Chuyển đổi Bền vững của 7 Doanh nghiệp Tiêu biểu</w:t>
      </w:r>
    </w:p>
    <w:p>
      <w:pPr>
        <w:spacing w:line="324" w:lineRule="auto" w:after="80"/>
        <w:ind w:firstLine="567"/>
        <w:jc w:val="both"/>
      </w:pPr>
      <w:r>
        <w:rPr>
          <w:rFonts w:ascii="Times New Roman" w:hAnsi="Times New Roman"/>
          <w:b w:val="0"/>
          <w:i w:val="0"/>
          <w:color w:val="000000"/>
          <w:sz w:val="24"/>
        </w:rPr>
        <w:t>Quan sát chuỗi thời gian 2020–2025 cho thấy mỗi doanh nghiệp đại diện cho một hình mẫu chuyển đổi độc đáo: - Vinamilk (VNM): Doanh nghiệp tiên phong hàng đầu với chất lượng báo cáo đạt chuẩn mực cao nhất. Điểm nhóm Môi trường và Tài nguyên của VNM tăng trưởng bền bỉ gắn liền với các dự án trang trại Net Zero và chuyển đổi bao bì sinh học; - Vicostone (VCS): Đại diện tiêu biểu cho ngành sản xuất công nghiệp nặng với bước nhảy vọt ngoạn mục về quy mô báo cáo vào năm 2025 (5.974 câu), chứng minh sự đầu tư nghiêm túc vào quản trị an toàn hóa chất, thu hồi bụi đá và kiểm toán năng lượng tuần hoàn; - Tập đoàn Bảo Việt (BVH): Đi đầu trong việc áp dụng khung Báo cáo Tích hợp quốc tế (&lt;IIRC&gt;), thể hiện tỷ lệ thông tin trung tính cao và cấu trúc ma trận vốn toàn diện; - Petrolimex (PLX): Thể hiện cam kết chuyển đổi năng lượng xanh rất rõ nét ở nhóm SDG 7 và SDG 13 trong các năm phát hành báo cáo chuẩn (2020, 2022, 2025); - The PAN Group (PAN): Thể hiện sự nhất quán cao độ trong việc kiểm soát chuỗi giá trị nông nghiệp bền vững và bảo vệ đa dạng sinh học thủy sản; - PNJ và SSI: Đang từng bước chuẩn hóa việc lồng ghép các chỉ tiêu bình đẳng DE&amp;I và tài chính bền vững vào hoạt động bán lẻ kim hoàn và môi giới đầu tư.</w:t>
      </w:r>
    </w:p>
    <w:p>
      <w:pPr>
        <w:keepNext/>
        <w:spacing w:before="200" w:after="60"/>
      </w:pPr>
      <w:r>
        <w:rPr>
          <w:rFonts w:ascii="Times New Roman" w:hAnsi="Times New Roman"/>
          <w:b/>
          <w:color w:val="000000"/>
          <w:sz w:val="25"/>
        </w:rPr>
        <w:t>5.3 Đối chuẩn So sánh Thực nghiệm với Nghiên cứu của Kang &amp; Kim (2022)</w:t>
      </w:r>
    </w:p>
    <w:p>
      <w:pPr>
        <w:spacing w:line="324" w:lineRule="auto" w:after="80"/>
        <w:ind w:firstLine="567"/>
        <w:jc w:val="both"/>
      </w:pPr>
      <w:r>
        <w:rPr>
          <w:rFonts w:ascii="Times New Roman" w:hAnsi="Times New Roman"/>
          <w:b w:val="0"/>
          <w:i w:val="0"/>
          <w:color w:val="000000"/>
          <w:sz w:val="24"/>
        </w:rPr>
        <w:t>So sánh đối chuẩn với kết quả nghiên cứu của {Kang, 2022} trên các chaebol Hàn Quốc đem lại những phát hiện học thuật vô cùng thú vị. Điểm tương đồng lớn nhất là cả hai thị trường đều ghi nhận trật tự phân phối điểm SDG dạng chuông đối xứng và xu hướng áp đảo của nhóm Kinh tế so với nhóm Công bằng xã hội. Tuy nhiên, có hai điểm khác biệt mang tính bản chất: (1) Tại Hàn Quốc, các tập đoàn chaebol có sự phân hóa sâu sắc hơn về điểm số nhóm Môi trường (Environments) tùy thuộc vào ngành thâm dụng phát thải (như thép POSCO, hóa chất LG Chem) so với viễn thông (SK Telecom); tại Việt Nam, điểm số nhóm môi trường giữa các doanh nghiệp đa ngành lại có độ phân tán hẹp hơn, cho thấy mức độ chuyên biệt hóa số liệu phát thải ở Việt Nam chưa cao; (2) Tỷ lệ câu tích cực tại Việt Nam (53,9%) cao hơn so với kết quả tại Hàn Quốc, phản ánh văn hóa truyền thông doanh nghiệp Á Đông tại các thị trường mới nổi thường có tâm lý e ngại phơi bày các số liệu tiêu cực trước công chúng.</w:t>
      </w:r>
    </w:p>
    <w:p>
      <w:pPr>
        <w:keepNext/>
        <w:spacing w:before="200" w:after="60"/>
      </w:pPr>
      <w:r>
        <w:rPr>
          <w:rFonts w:ascii="Times New Roman" w:hAnsi="Times New Roman"/>
          <w:b/>
          <w:color w:val="000000"/>
          <w:sz w:val="25"/>
        </w:rPr>
        <w:t>5.4 Bài học Phương pháp luận: Chất lượng Số hóa Văn bản và Rủi ro Diễn giải Chỉ số</w:t>
      </w:r>
    </w:p>
    <w:p>
      <w:pPr>
        <w:spacing w:line="324" w:lineRule="auto" w:after="80"/>
        <w:ind w:firstLine="567"/>
        <w:jc w:val="both"/>
      </w:pPr>
      <w:r>
        <w:rPr>
          <w:rFonts w:ascii="Times New Roman" w:hAnsi="Times New Roman"/>
          <w:b w:val="0"/>
          <w:i w:val="0"/>
          <w:color w:val="000000"/>
          <w:sz w:val="24"/>
        </w:rPr>
        <w:t>Một trong những đóng góp học thuật quan trọng nhất của bài báo này là việc đưa ra cảnh báo phương pháp luận sâu sắc về hiện tượng 'bẫy dữ liệu số hóa' (Data Quality Artifact) khi áp dụng AI tự động trong phân tích tài chính. Điển hình là trường hợp điểm số tẩy xanh cực đại của PNJ năm 2023 (GW = 21,75). Nếu nhìn thuần túy vào công thức toán học, người ta sẽ vội vã cáo buộc PNJ thực hiện hành vi tẩy xanh nghiêm trọng nhất thị trường. Tuy nhiên, khi truy nguyên dữ liệu gốc, nguyên nhân thực sự lại bắt nguồn từ lỗi kỹ thuật số hóa năm 2022: tệp PDF báo cáo năm 2022 của PNJ là tài liệu scan dạng ảnh, khiến bộ trích xuất chỉ bóc tách được vỏn vẹn 12 câu văn bản (chủ yếu là các lưu ý pháp lý mang từ ngữ cảnh báo rủi ro), làm tỷ số Pos/Neg năm 2022 sụt giảm nhân tạo xuống mức đáy 0,33. Sang năm 2023, PNJ phát hành bản PDF điện tử chuẩn mực với 1.050 câu và tỷ số Pos/Neg trở về trạng thái thực tế 4,23. Sự phục hồi bình thường này đã khiến tốc độ tăng tỷ số cảm xúc cơ học (\Delta\text{Pos/Neg}\%) nhảy vọt lên +1.169%, kết hợp với mức giảm giá nhẹ của cổ phiếu (-1,86%) tạo nên một điểm số GW cực đại hoàn toàn giả tạo!</w:t>
      </w:r>
    </w:p>
    <w:p>
      <w:pPr>
        <w:spacing w:line="324" w:lineRule="auto" w:after="80"/>
        <w:ind w:firstLine="567"/>
        <w:jc w:val="both"/>
      </w:pPr>
      <w:r>
        <w:rPr>
          <w:rFonts w:ascii="Times New Roman" w:hAnsi="Times New Roman"/>
          <w:b w:val="0"/>
          <w:i w:val="0"/>
          <w:color w:val="000000"/>
          <w:sz w:val="24"/>
        </w:rPr>
        <w:t>Tương tự, trường hợp báo cáo năm 2021 và 2024 của Petrolimex (PLX) chỉ là các bản tóm tắt trực tuyến mỏng (206 câu và 112 câu) đã làm tỷ số cảm xúc biến động bất thường. Bài học rút ra là: các hệ thống AI phân tích tài chính tự động không bao giờ được phép hoạt động như một 'hộp đen' (black-box). Người nghiên cứu và chuyên viên phân tích bắt buộc phải tích hợp các bộ lọc kiểm soát vệ sinh dữ liệu (data hygiene checks) và thẩm định ngữ cảnh chuyên môn trước khi đưa ra bất kỳ kết luận hành vi nào đối với doanh nghiệp.</w:t>
      </w:r>
    </w:p>
    <w:p>
      <w:pPr>
        <w:keepNext/>
        <w:spacing w:before="200" w:after="60"/>
      </w:pPr>
      <w:r>
        <w:rPr>
          <w:rFonts w:ascii="Times New Roman" w:hAnsi="Times New Roman"/>
          <w:b/>
          <w:color w:val="000000"/>
          <w:sz w:val="25"/>
        </w:rPr>
        <w:t>5.5 Khuyến nghị Chính sách và Giải pháp Thực tiễn</w:t>
      </w:r>
    </w:p>
    <w:p>
      <w:pPr>
        <w:spacing w:line="324" w:lineRule="auto" w:after="80"/>
        <w:ind w:firstLine="567"/>
        <w:jc w:val="both"/>
      </w:pPr>
      <w:r>
        <w:rPr>
          <w:rFonts w:ascii="Times New Roman" w:hAnsi="Times New Roman"/>
          <w:b w:val="0"/>
          <w:i w:val="0"/>
          <w:color w:val="000000"/>
          <w:sz w:val="24"/>
        </w:rPr>
        <w:t>Từ các phát hiện thực nghiệm, nghiên cứu đề xuất 3 nhóm khuyến nghị chính sách trọng tâm: (1) Đối với Cơ quan Quản lý (UBCKNN và các Sở GDCK): Cần sớm ban hành quy chuẩn số hóa bắt buộc đối với báo cáo phát triển bền vững (như áp dụng chuẩn báo cáo điện tử XBRL hoặc PDF searchable có cấu trúc thẻ tag chuẩn), chấm dứt tình trạng phát hành các bản scan ảnh chất lượng thấp làm cản trở quá trình giám sát tự động; (2) Đối với Doanh nghiệp Niêm yết: Cần chuyển đổi tư duy từ báo cáo hình thức sang báo cáo thực chất, gia tăng tỷ trọng công bố các mục tiêu nhạy cảm như bình đẳng giới, đào tạo nhân lực và đa dạng sinh học, đồng thời chủ động công bố các khó khăn, thách thức để gia tăng độ tin cậy đối với các quỹ đầu tư quốc tế; (3) Đối với Nhà đầu tư và Công chúng: Cần sử dụng các công cụ phân tích văn bản NLP như một bộ lọc sàng lọc sơ bộ hiệu quả để phát hiện các dấu hiệu bất thường, kết hợp chặt chẽ với kiểm tra số liệu kiểm toán độc lập để đưa ra quyết định đầu tư chính xác.</w:t>
      </w:r>
    </w:p>
    <w:p>
      <w:pPr>
        <w:keepNext/>
        <w:spacing w:before="200" w:after="60"/>
      </w:pPr>
      <w:r>
        <w:rPr>
          <w:rFonts w:ascii="Times New Roman" w:hAnsi="Times New Roman"/>
          <w:b/>
          <w:color w:val="000000"/>
          <w:sz w:val="25"/>
        </w:rPr>
        <w:t>5.6 Hạn chế của Nghiên cứu và Định hướng Phát triển</w:t>
      </w:r>
    </w:p>
    <w:p>
      <w:pPr>
        <w:spacing w:line="324" w:lineRule="auto" w:after="80"/>
        <w:ind w:firstLine="567"/>
        <w:jc w:val="both"/>
      </w:pPr>
      <w:r>
        <w:rPr>
          <w:rFonts w:ascii="Times New Roman" w:hAnsi="Times New Roman"/>
          <w:b w:val="0"/>
          <w:i w:val="0"/>
          <w:color w:val="000000"/>
          <w:sz w:val="24"/>
        </w:rPr>
        <w:t>Mặc dù đã đạt được những kết quả toàn diện, nghiên cứu vẫn tồn tại một số hạn chế nhất định mở ra hướng phát triển trong tương lai: (1) Cỡ mẫu 7 doanh nghiệp tuy mang tính đại diện đầu ngành nhưng vẫn chưa bao quát toàn bộ hơn 700 doanh nghiệp niêm yết trên hai sàn HOSE và HNX; (2) Mô hình phân tích hiện tại chỉ tập trung vào dữ liệu văn bản chữ, chưa bóc tách và kiểm chứng chéo với dữ liệu số trong các bảng biểu và phụ lục GRI; (3) Hướng nghiên cứu tiếp theo có thể ứng dụng các Mô hình Ngôn ngữ Lớn (LLMs) thế hệ mới để thực hiện trích xuất sự kiện và đối chiếu cam kết ESG với thông tin phản ánh từ báo chí truyền thông độc lập nhằm tăng cường khả năng phát hiện tẩy xanh thời gian thực.</w:t>
      </w:r>
    </w:p>
    <w:p>
      <w:pPr>
        <w:keepNext/>
        <w:spacing w:before="280" w:after="80"/>
      </w:pPr>
      <w:r>
        <w:rPr>
          <w:rFonts w:ascii="Times New Roman" w:hAnsi="Times New Roman"/>
          <w:b/>
          <w:color w:val="000000"/>
          <w:sz w:val="26"/>
        </w:rPr>
        <w:t>6. KẾT LUẬN (CONCLUSION)</w:t>
      </w:r>
    </w:p>
    <w:p>
      <w:pPr>
        <w:spacing w:line="324" w:lineRule="auto" w:after="80"/>
        <w:ind w:firstLine="567"/>
        <w:jc w:val="both"/>
      </w:pPr>
      <w:r>
        <w:rPr>
          <w:rFonts w:ascii="Times New Roman" w:hAnsi="Times New Roman"/>
          <w:b w:val="0"/>
          <w:i w:val="0"/>
          <w:color w:val="000000"/>
          <w:sz w:val="24"/>
        </w:rPr>
        <w:t>Nghiên cứu này đã hoàn thành việc tái hiện, chuẩn hóa và mở rộng toàn diện khung phân tích văn bản của {Kang, 2022} cho thị trường chứng khoán Việt Nam. Thông qua việc xử lý định lượng 95.804 câu văn bản từ 42 báo cáo phát triển bền vững của 7 doanh nghiệp niêm yết lớn trong giai đoạn 2020–2025, công trình đã cung cấp những bằng chứng thực nghiệm vững chắc về cơ cấu cam kết 17 mục tiêu SDG, sắc thái cảm xúc ngôn ngữ và mối liên hệ giữa báo cáo phi tài chính với thị trường cổ phiếu. Các phát hiện về sự áp đảo của nhóm Kinh tế, khoảng trống nhóm Bình đẳng, tính lạc quan mang tính cấu trúc và sự phân kỳ hoàn toàn giữa giọng văn báo cáo với giá thị trường (r = -0,046, p = 0,791) đã làm sáng tỏ bức tranh thực tế về công bố ESG tại một thị trường mới nổi. Đặc biệt, bài học sâu sắc về bẫy diễn giải chỉ số tẩy xanh do chất lượng số hóa tài liệu đã đóng góp một kinh nghiệm phương pháp luận vô giá cho cộng đồng nghiên cứu kế toán - tài chính ứng dụng trí tuệ nhân tạo.</w:t>
      </w:r>
    </w:p>
    <w:p>
      <w:pPr>
        <w:keepNext/>
        <w:spacing w:before="280" w:after="80"/>
      </w:pPr>
      <w:r>
        <w:rPr>
          <w:rFonts w:ascii="Times New Roman" w:hAnsi="Times New Roman"/>
          <w:b/>
          <w:color w:val="000000"/>
          <w:sz w:val="26"/>
        </w:rPr>
        <w:t>TÀI LIỆU THAM KHẢO</w:t>
      </w:r>
    </w:p>
    <w:p>
      <w:pPr>
        <w:spacing w:after="80"/>
        <w:ind w:left="720" w:hanging="720"/>
        <w:jc w:val="both"/>
      </w:pPr>
      <w:r>
        <w:rPr>
          <w:rFonts w:ascii="Times New Roman" w:hAnsi="Times New Roman"/>
          <w:color w:val="000000"/>
          <w:sz w:val="22"/>
        </w:rPr>
        <w:t>Arvidsson, S., &amp; Dumay, J. (2022). Corporate ESG reporting quantity, quality and performance: Where to now for environmental policy and practice? Business Strategy and the Environment, 31(3), 1091–1110. https://doi.org/10.1002/bse.2937</w:t>
      </w:r>
    </w:p>
    <w:p>
      <w:pPr>
        <w:spacing w:after="80"/>
        <w:ind w:left="720" w:hanging="720"/>
        <w:jc w:val="both"/>
      </w:pPr>
      <w:r>
        <w:rPr>
          <w:rFonts w:ascii="Times New Roman" w:hAnsi="Times New Roman"/>
          <w:color w:val="000000"/>
          <w:sz w:val="22"/>
        </w:rPr>
        <w:t>Bingler, J. A., Kraus, M., Leippold, M., &amp; Webersinke, N. (2022). Cheap talk and cherry-picking: What companies say site-wide about climate change. Finance Research Letters, 47, Article 102760. https://doi.org/10.1016/j.frl.2022.102760</w:t>
      </w:r>
    </w:p>
    <w:p>
      <w:pPr>
        <w:spacing w:after="80"/>
        <w:ind w:left="720" w:hanging="720"/>
        <w:jc w:val="both"/>
      </w:pPr>
      <w:r>
        <w:rPr>
          <w:rFonts w:ascii="Times New Roman" w:hAnsi="Times New Roman"/>
          <w:color w:val="000000"/>
          <w:sz w:val="22"/>
        </w:rPr>
        <w:t>Blei, D. M., Ng, A. Y., &amp; Jordan, M. I. (2003). Latent Dirichlet allocation. Journal of Machine Learning Research, 3, 993–1022.</w:t>
      </w:r>
    </w:p>
    <w:p>
      <w:pPr>
        <w:spacing w:after="80"/>
        <w:ind w:left="720" w:hanging="720"/>
        <w:jc w:val="both"/>
      </w:pPr>
      <w:r>
        <w:rPr>
          <w:rFonts w:ascii="Times New Roman" w:hAnsi="Times New Roman"/>
          <w:color w:val="000000"/>
          <w:sz w:val="22"/>
        </w:rPr>
        <w:t>Bộ Kế hoạch và Đầu tư. (2023). Báo cáo rà soát quốc gia tự nguyện lần thứ 2 việc thực hiện các mục tiêu phát triển bền vững của Việt Nam (VNR 2023). Nhà xuất bản Thống kê.</w:t>
      </w:r>
    </w:p>
    <w:p>
      <w:pPr>
        <w:spacing w:after="80"/>
        <w:ind w:left="720" w:hanging="720"/>
        <w:jc w:val="both"/>
      </w:pPr>
      <w:r>
        <w:rPr>
          <w:rFonts w:ascii="Times New Roman" w:hAnsi="Times New Roman"/>
          <w:color w:val="000000"/>
          <w:sz w:val="22"/>
        </w:rPr>
        <w:t>Bộ Tài chính. (2020). Thông tư số 96/2020/TT-BTC ngày 16/11/2020 hướng dẫn công bố thông tin trên thị trường chứng khoán.</w:t>
      </w:r>
    </w:p>
    <w:p>
      <w:pPr>
        <w:spacing w:after="80"/>
        <w:ind w:left="720" w:hanging="720"/>
        <w:jc w:val="both"/>
      </w:pPr>
      <w:r>
        <w:rPr>
          <w:rFonts w:ascii="Times New Roman" w:hAnsi="Times New Roman"/>
          <w:color w:val="000000"/>
          <w:sz w:val="22"/>
        </w:rPr>
        <w:t>Cer, D., Yang, Y., Kong, S. Y., Hua, N., Limtiaco, N., St. John, R., Constant, N., Guajardo-Céspedes, M., Yuan, S., Tar, C., Strope, B., &amp; Kurzweil, R. (2018). Universal sentence encoder for English. In Proceedings of EMNLP 2018: System Demonstrations (pp. 169–174). Association for Computational Linguistics. https://doi.org/10.18653/v1/D18-2029</w:t>
      </w:r>
    </w:p>
    <w:p>
      <w:pPr>
        <w:spacing w:after="80"/>
        <w:ind w:left="720" w:hanging="720"/>
        <w:jc w:val="both"/>
      </w:pPr>
      <w:r>
        <w:rPr>
          <w:rFonts w:ascii="Times New Roman" w:hAnsi="Times New Roman"/>
          <w:color w:val="000000"/>
          <w:sz w:val="22"/>
        </w:rPr>
        <w:t>Chính phủ Việt Nam. (2020). Nghị định số 155/2020/NĐ-CP ngày 31/12/2020 quy định chi tiết thi hành một số điều của Luật Chứng khoán.</w:t>
      </w:r>
    </w:p>
    <w:p>
      <w:pPr>
        <w:spacing w:after="80"/>
        <w:ind w:left="720" w:hanging="720"/>
        <w:jc w:val="both"/>
      </w:pPr>
      <w:r>
        <w:rPr>
          <w:rFonts w:ascii="Times New Roman" w:hAnsi="Times New Roman"/>
          <w:color w:val="000000"/>
          <w:sz w:val="22"/>
        </w:rPr>
        <w:t>Connelly, B. L., Certo, S. T., Ireland, R. D., &amp; Reutzel, C. R. (2011). Signaling theory: A review and assessment. Journal of Management, 37(1), 39–67. https://doi.org/10.1177/0149206310388419</w:t>
      </w:r>
    </w:p>
    <w:p>
      <w:pPr>
        <w:spacing w:after="80"/>
        <w:ind w:left="720" w:hanging="720"/>
        <w:jc w:val="both"/>
      </w:pPr>
      <w:r>
        <w:rPr>
          <w:rFonts w:ascii="Times New Roman" w:hAnsi="Times New Roman"/>
          <w:color w:val="000000"/>
          <w:sz w:val="22"/>
        </w:rPr>
        <w:t>Deegan, C. (2002). Introduction: The legitimising effect of social and environmental disclosures—A theoretical foundation. Accounting, Auditing &amp; Accountability Journal, 15(3), 282–311. https://doi.org/10.1108/09513570210435852</w:t>
      </w:r>
    </w:p>
    <w:p>
      <w:pPr>
        <w:spacing w:after="80"/>
        <w:ind w:left="720" w:hanging="720"/>
        <w:jc w:val="both"/>
      </w:pPr>
      <w:r>
        <w:rPr>
          <w:rFonts w:ascii="Times New Roman" w:hAnsi="Times New Roman"/>
          <w:color w:val="000000"/>
          <w:sz w:val="22"/>
        </w:rPr>
        <w:t>Devlin, J., Chang, M. W., Lee, K., &amp; Toutanova, K. (2019). BERT: Pre-training of deep bidirectional transformers for language understanding. In Proceedings of NAACL-HLT 2019 (pp. 4171–4186). Association for Computational Linguistics.</w:t>
      </w:r>
    </w:p>
    <w:p>
      <w:pPr>
        <w:spacing w:after="80"/>
        <w:ind w:left="720" w:hanging="720"/>
        <w:jc w:val="both"/>
      </w:pPr>
      <w:r>
        <w:rPr>
          <w:rFonts w:ascii="Times New Roman" w:hAnsi="Times New Roman"/>
          <w:color w:val="000000"/>
          <w:sz w:val="22"/>
        </w:rPr>
        <w:t>Du, S., &amp; Yu, K. (2017). The business case for sustainability reporting: Evidence from stock market reactions. Journal of Public Policy &amp; Marketing, 36(2), 313–330. https://doi.org/10.1509/jppm.16.112</w:t>
      </w:r>
    </w:p>
    <w:p>
      <w:pPr>
        <w:spacing w:after="80"/>
        <w:ind w:left="720" w:hanging="720"/>
        <w:jc w:val="both"/>
      </w:pPr>
      <w:r>
        <w:rPr>
          <w:rFonts w:ascii="Times New Roman" w:hAnsi="Times New Roman"/>
          <w:color w:val="000000"/>
          <w:sz w:val="22"/>
        </w:rPr>
        <w:t>El-Haj, M., Rayson, P., Walker, M., Young, S., &amp; Simaki, V. (2020). In search of 'sunlight'? Measuring transparency, disclosure quality and tone in corporate annual reports. Accounting and Business Research, 50(5), 450–476. https://doi.org/10.1080/00014788.2020.1771960</w:t>
      </w:r>
    </w:p>
    <w:p>
      <w:pPr>
        <w:spacing w:after="80"/>
        <w:ind w:left="720" w:hanging="720"/>
        <w:jc w:val="both"/>
      </w:pPr>
      <w:r>
        <w:rPr>
          <w:rFonts w:ascii="Times New Roman" w:hAnsi="Times New Roman"/>
          <w:color w:val="000000"/>
          <w:sz w:val="22"/>
        </w:rPr>
        <w:t>Freeman, R. E. (1984). Strategic management: A stakeholder approach. Pitman.</w:t>
      </w:r>
    </w:p>
    <w:p>
      <w:pPr>
        <w:spacing w:after="80"/>
        <w:ind w:left="720" w:hanging="720"/>
        <w:jc w:val="both"/>
      </w:pPr>
      <w:r>
        <w:rPr>
          <w:rFonts w:ascii="Times New Roman" w:hAnsi="Times New Roman"/>
          <w:color w:val="000000"/>
          <w:sz w:val="22"/>
        </w:rPr>
        <w:t>Friede, G., Busch, T., &amp; Bassen, A. (2015). ESG and financial performance: Aggregated evidence from more than 2000 empirical studies. Journal of Sustainable Finance &amp; Investment, 5(4), 210–233. https://doi.org/10.1080/20430795.2015.1118917</w:t>
      </w:r>
    </w:p>
    <w:p>
      <w:pPr>
        <w:spacing w:after="80"/>
        <w:ind w:left="720" w:hanging="720"/>
        <w:jc w:val="both"/>
      </w:pPr>
      <w:r>
        <w:rPr>
          <w:rFonts w:ascii="Times New Roman" w:hAnsi="Times New Roman"/>
          <w:color w:val="000000"/>
          <w:sz w:val="22"/>
        </w:rPr>
        <w:t>Gerged, A. M., Beddewela, E., &amp; Cowton, C. J. (2021). Is corporate environmental disclosure associated with firm value? A multicountry study of emerging Asian markets. Business Strategy and the Environment, 30(4), 1853–1867. https://doi.org/10.1002/bse.2720</w:t>
      </w:r>
    </w:p>
    <w:p>
      <w:pPr>
        <w:spacing w:after="80"/>
        <w:ind w:left="720" w:hanging="720"/>
        <w:jc w:val="both"/>
      </w:pPr>
      <w:r>
        <w:rPr>
          <w:rFonts w:ascii="Times New Roman" w:hAnsi="Times New Roman"/>
          <w:color w:val="000000"/>
          <w:sz w:val="22"/>
        </w:rPr>
        <w:t>Global Reporting Initiative. (2021). GRI universal standards 2021. Global Sustainability Standards Board.</w:t>
      </w:r>
    </w:p>
    <w:p>
      <w:pPr>
        <w:spacing w:after="80"/>
        <w:ind w:left="720" w:hanging="720"/>
        <w:jc w:val="both"/>
      </w:pPr>
      <w:r>
        <w:rPr>
          <w:rFonts w:ascii="Times New Roman" w:hAnsi="Times New Roman"/>
          <w:color w:val="000000"/>
          <w:sz w:val="22"/>
        </w:rPr>
        <w:t>Heras-Saizarbitoria, I., Urbieta, L., &amp; Boiral, O. (2022). Organizations' engagement with SDGs: From cherry-picking to SDG-washing? Corporate Social Responsibility and Environmental Management, 29(2), 316–328. https://doi.org/10.1002/csr.2202</w:t>
      </w:r>
    </w:p>
    <w:p>
      <w:pPr>
        <w:spacing w:after="80"/>
        <w:ind w:left="720" w:hanging="720"/>
        <w:jc w:val="both"/>
      </w:pPr>
      <w:r>
        <w:rPr>
          <w:rFonts w:ascii="Times New Roman" w:hAnsi="Times New Roman"/>
          <w:color w:val="000000"/>
          <w:sz w:val="22"/>
        </w:rPr>
        <w:t>Hoang, T. C., Abeysekera, I., &amp; Ma, S. (2019). Sustainable reporting in Southeast Asia: A comparative study. Journal of Cleaner Production, 211, 1475–1491. https://doi.org/10.1016/j.jclepro.2018.11.246</w:t>
      </w:r>
    </w:p>
    <w:p>
      <w:pPr>
        <w:spacing w:after="80"/>
        <w:ind w:left="720" w:hanging="720"/>
        <w:jc w:val="both"/>
      </w:pPr>
      <w:r>
        <w:rPr>
          <w:rFonts w:ascii="Times New Roman" w:hAnsi="Times New Roman"/>
          <w:color w:val="000000"/>
          <w:sz w:val="22"/>
        </w:rPr>
        <w:t>Hội đồng Doanh nghiệp vì sự Phát triển Bền vững Việt Nam. (2024). Báo cáo chỉ số doanh nghiệp bền vững (CSI 2024). Liên đoàn Thương mại và Công nghiệp Việt Nam.</w:t>
      </w:r>
    </w:p>
    <w:p>
      <w:pPr>
        <w:spacing w:after="80"/>
        <w:ind w:left="720" w:hanging="720"/>
        <w:jc w:val="both"/>
      </w:pPr>
      <w:r>
        <w:rPr>
          <w:rFonts w:ascii="Times New Roman" w:hAnsi="Times New Roman"/>
          <w:color w:val="000000"/>
          <w:sz w:val="22"/>
        </w:rPr>
        <w:t>Huang, A. H., Wang, H., &amp; Yang, Y. (2023). FinBERT: A large language model for extracting information from financial text. Contemporary Accounting Research, 40(2), 806–841. https://doi.org/10.1111/1911-3846.12832</w:t>
      </w:r>
    </w:p>
    <w:p>
      <w:pPr>
        <w:spacing w:after="80"/>
        <w:ind w:left="720" w:hanging="720"/>
        <w:jc w:val="both"/>
      </w:pPr>
      <w:r>
        <w:rPr>
          <w:rFonts w:ascii="Times New Roman" w:hAnsi="Times New Roman"/>
          <w:color w:val="000000"/>
          <w:sz w:val="22"/>
        </w:rPr>
        <w:t>Hummel, K., &amp; Schlick, C. (2016). The relationship between sustainability performance and sustainability disclosure—Reconciling voluntary disclosure theory and legitimacy theory. Journal of Accounting and Public Policy, 35(5), 455–476. https://doi.org/10.1016/j.jaccpubpol.2016.06.001</w:t>
      </w:r>
    </w:p>
    <w:p>
      <w:pPr>
        <w:spacing w:after="80"/>
        <w:ind w:left="720" w:hanging="720"/>
        <w:jc w:val="both"/>
      </w:pPr>
      <w:r>
        <w:rPr>
          <w:rFonts w:ascii="Times New Roman" w:hAnsi="Times New Roman"/>
          <w:color w:val="000000"/>
          <w:sz w:val="22"/>
        </w:rPr>
        <w:t>Kang, H., &amp; Kim, J. (2022). Analyzing and visualizing text information in corporate sustainability reports using natural language processing methods. Applied Sciences, 12(11), Article 5614. https://doi.org/10.3390/app12115614</w:t>
      </w:r>
    </w:p>
    <w:p>
      <w:pPr>
        <w:spacing w:after="80"/>
        <w:ind w:left="720" w:hanging="720"/>
        <w:jc w:val="both"/>
      </w:pPr>
      <w:r>
        <w:rPr>
          <w:rFonts w:ascii="Times New Roman" w:hAnsi="Times New Roman"/>
          <w:color w:val="000000"/>
          <w:sz w:val="22"/>
        </w:rPr>
        <w:t>Loughran, T., &amp; McDonald, B. (2011). When is a liability not a liability? Textual analysis, dictionaries, and 10-Ks. The Journal of Finance, 66(1), 35–65. https://doi.org/10.1111/j.1540-6261.2010.01625.x</w:t>
      </w:r>
    </w:p>
    <w:p>
      <w:pPr>
        <w:spacing w:after="80"/>
        <w:ind w:left="720" w:hanging="720"/>
        <w:jc w:val="both"/>
      </w:pPr>
      <w:r>
        <w:rPr>
          <w:rFonts w:ascii="Times New Roman" w:hAnsi="Times New Roman"/>
          <w:color w:val="000000"/>
          <w:sz w:val="22"/>
        </w:rPr>
        <w:t>Luccioni, S. A., Baylor, E., &amp; Duchene, N. (2020). Analyzing sustainability reports using natural language processing. In NeurIPS 2020 Workshop on Tackling Climate Change with Machine Learning. arXiv:2011.08073.</w:t>
      </w:r>
    </w:p>
    <w:p>
      <w:pPr>
        <w:spacing w:after="80"/>
        <w:ind w:left="720" w:hanging="720"/>
        <w:jc w:val="both"/>
      </w:pPr>
      <w:r>
        <w:rPr>
          <w:rFonts w:ascii="Times New Roman" w:hAnsi="Times New Roman"/>
          <w:color w:val="000000"/>
          <w:sz w:val="22"/>
        </w:rPr>
        <w:t>Lyon, T. P., &amp; Montgomery, A. W. (2015). The means and end of greenwash. Organization &amp; Environment, 28(2), 223–249. https://doi.org/10.1177/1086026615575332</w:t>
      </w:r>
    </w:p>
    <w:p>
      <w:pPr>
        <w:spacing w:after="80"/>
        <w:ind w:left="720" w:hanging="720"/>
        <w:jc w:val="both"/>
      </w:pPr>
      <w:r>
        <w:rPr>
          <w:rFonts w:ascii="Times New Roman" w:hAnsi="Times New Roman"/>
          <w:color w:val="000000"/>
          <w:sz w:val="22"/>
        </w:rPr>
        <w:t>Matsui, T., Suzuki, M., &amp; Seki, K. (2022). Automated classification of corporate statements for the United Nations sustainable development goals. Sustainability, 14(16), Article 10149. https://doi.org/10.3390/su141610149</w:t>
      </w:r>
    </w:p>
    <w:p>
      <w:pPr>
        <w:spacing w:after="80"/>
        <w:ind w:left="720" w:hanging="720"/>
        <w:jc w:val="both"/>
      </w:pPr>
      <w:r>
        <w:rPr>
          <w:rFonts w:ascii="Times New Roman" w:hAnsi="Times New Roman"/>
          <w:color w:val="000000"/>
          <w:sz w:val="22"/>
        </w:rPr>
        <w:t>Mercereau, B., &amp; Melin, L. (2020). ESG analysis: An NLP approach to assessing corporate sustainability disclosures. The Journal of Investing, 29(7), 50–63. https://doi.org/10.3905/joi.2020.1.157</w:t>
      </w:r>
    </w:p>
    <w:p>
      <w:pPr>
        <w:spacing w:after="80"/>
        <w:ind w:left="720" w:hanging="720"/>
        <w:jc w:val="both"/>
      </w:pPr>
      <w:r>
        <w:rPr>
          <w:rFonts w:ascii="Times New Roman" w:hAnsi="Times New Roman"/>
          <w:color w:val="000000"/>
          <w:sz w:val="22"/>
        </w:rPr>
        <w:t>Merkl-Davies, N. O., &amp; Brennan, N. M. (2007). Discretionary disclosure strategies in corporate narratives: Incremental information or impression management? Journal of Accounting Literature, 26, 116–196.</w:t>
      </w:r>
    </w:p>
    <w:p>
      <w:pPr>
        <w:spacing w:after="80"/>
        <w:ind w:left="720" w:hanging="720"/>
        <w:jc w:val="both"/>
      </w:pPr>
      <w:r>
        <w:rPr>
          <w:rFonts w:ascii="Times New Roman" w:hAnsi="Times New Roman"/>
          <w:color w:val="000000"/>
          <w:sz w:val="22"/>
        </w:rPr>
        <w:t>Mikolov, T., Chen, K., Corrado, G., &amp; Dean, J. (2013). Efficient estimation of word representations in vector space. In Proceedings of ICLR 2013. arXiv:1301.3781.</w:t>
      </w:r>
    </w:p>
    <w:p>
      <w:pPr>
        <w:spacing w:after="80"/>
        <w:ind w:left="720" w:hanging="720"/>
        <w:jc w:val="both"/>
      </w:pPr>
      <w:r>
        <w:rPr>
          <w:rFonts w:ascii="Times New Roman" w:hAnsi="Times New Roman"/>
          <w:color w:val="000000"/>
          <w:sz w:val="22"/>
        </w:rPr>
        <w:t>Muñoz-Torres, M. J., Fernández-Izquierdo, M. Á., Rivera-Lirio, J. M., &amp; Escrig-Olmedo, E. (2019). Can modern sustainability reports track the SDGs? An assessment framework. Sustainability, 11(5), Article 1421. https://doi.org/10.3390/su11051421</w:t>
      </w:r>
    </w:p>
    <w:p>
      <w:pPr>
        <w:spacing w:after="80"/>
        <w:ind w:left="720" w:hanging="720"/>
        <w:jc w:val="both"/>
      </w:pPr>
      <w:r>
        <w:rPr>
          <w:rFonts w:ascii="Times New Roman" w:hAnsi="Times New Roman"/>
          <w:color w:val="000000"/>
          <w:sz w:val="22"/>
        </w:rPr>
        <w:t>Nguyen, D. Q., &amp; Nguyen, A. T. (2020). PhoBERT: Pre-trained language models for Vietnamese. In Findings of EMNLP 2020 (pp. 1037–1042). Association for Computational Linguistics. https://doi.org/10.18653/v1/2020.findings-emnlp.92</w:t>
      </w:r>
    </w:p>
    <w:p>
      <w:pPr>
        <w:spacing w:after="80"/>
        <w:ind w:left="720" w:hanging="720"/>
        <w:jc w:val="both"/>
      </w:pPr>
      <w:r>
        <w:rPr>
          <w:rFonts w:ascii="Times New Roman" w:hAnsi="Times New Roman"/>
          <w:color w:val="000000"/>
          <w:sz w:val="22"/>
        </w:rPr>
        <w:t>Pennington, J., Socher, R., &amp; Manning, C. D. (2014). GloVe: Global vectors for word representation. In Proceedings of EMNLP 2014 (pp. 1532–1543). Association for Computational Linguistics. https://doi.org/10.3115/v1/D14-1162</w:t>
      </w:r>
    </w:p>
    <w:p>
      <w:pPr>
        <w:spacing w:after="80"/>
        <w:ind w:left="720" w:hanging="720"/>
        <w:jc w:val="both"/>
      </w:pPr>
      <w:r>
        <w:rPr>
          <w:rFonts w:ascii="Times New Roman" w:hAnsi="Times New Roman"/>
          <w:color w:val="000000"/>
          <w:sz w:val="22"/>
        </w:rPr>
        <w:t>Pizzi, S., Caputo, A., Corvino, A., &amp; Ficco, A. (2020). Management research and the UN sustainable development goals (SDGs): A bibliometric investigation and systematic review. Journal of Cleaner Production, 276, Article 124033. https://doi.org/10.1016/j.jclepro.2020.124033</w:t>
      </w:r>
    </w:p>
    <w:p>
      <w:pPr>
        <w:spacing w:after="80"/>
        <w:ind w:left="720" w:hanging="720"/>
        <w:jc w:val="both"/>
      </w:pPr>
      <w:r>
        <w:rPr>
          <w:rFonts w:ascii="Times New Roman" w:hAnsi="Times New Roman"/>
          <w:color w:val="000000"/>
          <w:sz w:val="22"/>
        </w:rPr>
        <w:t>PwC Vietnam. (2022). Báo cáo khảo sát mức độ sẵn sàng thực hành ESG tại Việt Nam năm 2022: Từ tham vọng đến hành động. PwC Việt Nam.</w:t>
      </w:r>
    </w:p>
    <w:p>
      <w:pPr>
        <w:spacing w:after="80"/>
        <w:ind w:left="720" w:hanging="720"/>
        <w:jc w:val="both"/>
      </w:pPr>
      <w:r>
        <w:rPr>
          <w:rFonts w:ascii="Times New Roman" w:hAnsi="Times New Roman"/>
          <w:color w:val="000000"/>
          <w:sz w:val="22"/>
        </w:rPr>
        <w:t>Reimers, N., &amp; Gurevych, I. (2019). Sentence-BERT: Sentence embeddings using Siamese BERT-networks. In Proceedings of EMNLP-IJCNLP 2019 (pp. 3982–3992). Association for Computational Linguistics. https://doi.org/10.18653/v1/D19-1410</w:t>
      </w:r>
    </w:p>
    <w:p>
      <w:pPr>
        <w:spacing w:after="80"/>
        <w:ind w:left="720" w:hanging="720"/>
        <w:jc w:val="both"/>
      </w:pPr>
      <w:r>
        <w:rPr>
          <w:rFonts w:ascii="Times New Roman" w:hAnsi="Times New Roman"/>
          <w:color w:val="000000"/>
          <w:sz w:val="22"/>
        </w:rPr>
        <w:t>Sanh, V., Debut, L., Chaumond, J., &amp; Wolf, T. (2019). DistilBERT, a distilled version of BERT: smaller, faster, cheaper and lighter. arXiv preprint arXiv:1910.01108.</w:t>
      </w:r>
    </w:p>
    <w:p>
      <w:pPr>
        <w:spacing w:after="80"/>
        <w:ind w:left="720" w:hanging="720"/>
        <w:jc w:val="both"/>
      </w:pPr>
      <w:r>
        <w:rPr>
          <w:rFonts w:ascii="Times New Roman" w:hAnsi="Times New Roman"/>
          <w:color w:val="000000"/>
          <w:sz w:val="22"/>
        </w:rPr>
        <w:t>Seele, P., &amp; Gatti, L. (2017). Greenwashing revisited: In search of a typology and accusation-based definition. Business Strategy and the Environment, 26(2), 239–252. https://doi.org/10.1002/bse.1912</w:t>
      </w:r>
    </w:p>
    <w:p>
      <w:pPr>
        <w:spacing w:after="80"/>
        <w:ind w:left="720" w:hanging="720"/>
        <w:jc w:val="both"/>
      </w:pPr>
      <w:r>
        <w:rPr>
          <w:rFonts w:ascii="Times New Roman" w:hAnsi="Times New Roman"/>
          <w:color w:val="000000"/>
          <w:sz w:val="22"/>
        </w:rPr>
        <w:t>Spence, M. (1973). Job market signaling. The Quarterly Journal of Economics, 87(3), 355–374. https://doi.org/10.2307/1882010</w:t>
      </w:r>
    </w:p>
    <w:p>
      <w:pPr>
        <w:spacing w:after="80"/>
        <w:ind w:left="720" w:hanging="720"/>
        <w:jc w:val="both"/>
      </w:pPr>
      <w:r>
        <w:rPr>
          <w:rFonts w:ascii="Times New Roman" w:hAnsi="Times New Roman"/>
          <w:color w:val="000000"/>
          <w:sz w:val="22"/>
        </w:rPr>
        <w:t>Stacchezzini, R., Melloni, G., &amp; Lai, A. (2016). Sustainability management and reporting: The role of impression management for corporate social responsibility disclosure. Journal of Cleaner Production, 136, 102–110. https://doi.org/10.1016/j.jclepro.2016.04.095</w:t>
      </w:r>
    </w:p>
    <w:p>
      <w:pPr>
        <w:spacing w:after="80"/>
        <w:ind w:left="720" w:hanging="720"/>
        <w:jc w:val="both"/>
      </w:pPr>
      <w:r>
        <w:rPr>
          <w:rFonts w:ascii="Times New Roman" w:hAnsi="Times New Roman"/>
          <w:color w:val="000000"/>
          <w:sz w:val="22"/>
        </w:rPr>
        <w:t>Suchman, M. C. (1995). Managing legitimacy: Strategic and institutional approaches. Academy of Management Review, 20(3), 571–610. https://doi.org/10.5465/amr.1995.9508080331</w:t>
      </w:r>
    </w:p>
    <w:p>
      <w:pPr>
        <w:spacing w:after="80"/>
        <w:ind w:left="720" w:hanging="720"/>
        <w:jc w:val="both"/>
      </w:pPr>
      <w:r>
        <w:rPr>
          <w:rFonts w:ascii="Times New Roman" w:hAnsi="Times New Roman"/>
          <w:color w:val="000000"/>
          <w:sz w:val="22"/>
        </w:rPr>
        <w:t>Tran, M., &amp; Beddewela, E. (2020). Evaluating the quality of CSR disclosure in Vietnam: An empirical examination of listed firms. Journal of Business Ethics, 166(3), 569–589. https://doi.org/10.1007/s10551-019-04135-2</w:t>
      </w:r>
    </w:p>
    <w:p>
      <w:pPr>
        <w:spacing w:after="80"/>
        <w:ind w:left="720" w:hanging="720"/>
        <w:jc w:val="both"/>
      </w:pPr>
      <w:r>
        <w:rPr>
          <w:rFonts w:ascii="Times New Roman" w:hAnsi="Times New Roman"/>
          <w:color w:val="000000"/>
          <w:sz w:val="22"/>
        </w:rPr>
        <w:t>United Nations. (2015). Transforming our world: The 2030 agenda for sustainable development (Resolution A/RES/70/1). United Nations General Assembly.</w:t>
      </w:r>
    </w:p>
    <w:p>
      <w:pPr>
        <w:spacing w:after="80"/>
        <w:ind w:left="720" w:hanging="720"/>
        <w:jc w:val="both"/>
      </w:pPr>
      <w:r>
        <w:rPr>
          <w:rFonts w:ascii="Times New Roman" w:hAnsi="Times New Roman"/>
          <w:color w:val="000000"/>
          <w:sz w:val="22"/>
        </w:rPr>
        <w:t>Ủy ban Chứng khoán Nhà nước. (2024). Sổ tay hướng dẫn thực hành và công bố thông tin môi trường, xã hội và quản trị (ESG) cho doanh nghiệp niêm yết. Nhà xuất bản Tài chính.</w:t>
      </w:r>
    </w:p>
    <w:p>
      <w:pPr>
        <w:spacing w:after="80"/>
        <w:ind w:left="720" w:hanging="720"/>
        <w:jc w:val="both"/>
      </w:pPr>
      <w:r>
        <w:rPr>
          <w:rFonts w:ascii="Times New Roman" w:hAnsi="Times New Roman"/>
          <w:color w:val="000000"/>
          <w:sz w:val="22"/>
        </w:rPr>
        <w:t>Veenstra, E. M., &amp; Ellemers, N. (2020). CSR does not equal investment in CSR: A linguistic analysis of corporate social responsibility reports. Journal of Business Ethics, 161(2), 347–363. https://doi.org/10.1007/s10551-018-3904-7</w:t>
      </w:r>
    </w:p>
    <w:p>
      <w:pPr>
        <w:spacing w:after="80"/>
        <w:ind w:left="720" w:hanging="720"/>
        <w:jc w:val="both"/>
      </w:pPr>
      <w:r>
        <w:rPr>
          <w:rFonts w:ascii="Times New Roman" w:hAnsi="Times New Roman"/>
          <w:color w:val="000000"/>
          <w:sz w:val="22"/>
        </w:rPr>
        <w:t>Wang, W., Wei, F., Dong, L., Bao, H., Yang, N., &amp; Zhou, M. (2020). MiniLM: Deep self-attention distillation for task-agnostic compression of pre-trained transformers. In Advances in Neural Information Processing Systems (Vol. 33, pp. 5776–5788). Curran Associates, Inc.</w:t>
      </w:r>
    </w:p>
    <w:p>
      <w:pPr>
        <w:spacing w:after="80"/>
        <w:ind w:left="720" w:hanging="720"/>
        <w:jc w:val="both"/>
      </w:pPr>
      <w:r>
        <w:rPr>
          <w:rFonts w:ascii="Times New Roman" w:hAnsi="Times New Roman"/>
          <w:color w:val="000000"/>
          <w:sz w:val="22"/>
        </w:rPr>
        <w:t>World Commission on Environment and Development. (1987). Our common future. Oxford University Press.</w:t>
      </w:r>
    </w:p>
    <w:sectPr w:rsidR="00FC693F" w:rsidRPr="0006063C" w:rsidSect="00034616">
      <w:headerReference w:type="default" r:id="rId9"/>
      <w:foot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