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VIDEO &amp; CONTENT FRAMEWORK DOCTRINE ## Purpose Govern structure, routing, and output rules for all video and content across DCSE. ## Entity Routing - SC: business, client, structured messaging - SS: cinematic, lifestyle, narrative - TI: instructional, training systems - PS: controlled, legal-safe only ## Structure Rule All outputs follow: 1. Opening (hook/context) 2. Body (core message) 3. Close (action/resolution) ## Output Types - script - storyboard - shot list - production brief ## Rules - No PS-sensitive leakage into public outputs - Maintain entity voice discipline - Outputs must match requested format - No embedded technical specs ## QA - clarity - structure integrity - entity alignment - purpose consistency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