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Computational Ceiling: A Comprehensive Analysis of Asymptotic Limitations and Agentic Failure Modes in Transformer-Based Architectures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generative assistance to autonomous agency represents the most significant paradigm shift in artificial intelligence since the inception of the transformer architecture. By early 2026, the industrial deployment of agentic systems—defined as Large Language Model (LLM) cores capable of independent tool use, multi-step planning, and recursive goal setting—has reached a critical juncture where the promises of General Artificial Intelligence (AGI) collide with the fundamental laws of computational complexity.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examines the theoretical boundaries of transformer-based models, specifically focusing on the research of Vishal and Varin Sikka, which posits that the phenomenon of hallucination is not a transient engineering defect but a structural inevitability arising from the asymptotic constraints of the self-attention mechanism.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following analysis synthesizes the foundational complexity theory of the 1960s with the empirical performance data of 2026, exploring how the </w:t>
      </w:r>
      <w:r w:rsidDel="00000000" w:rsidR="00000000" w:rsidRPr="00000000">
        <w:rPr>
          <w:rFonts w:ascii="Google Sans" w:cs="Google Sans" w:eastAsia="Google Sans" w:hAnsi="Google Sans"/>
          <w:color w:val="1f1f1f"/>
        </w:rPr>
        <w:drawing>
          <wp:inline distB="19050" distT="19050" distL="19050" distR="19050">
            <wp:extent cx="760334" cy="238018"/>
            <wp:effectExtent b="0" l="0" r="0" t="0"/>
            <wp:docPr id="2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60334" cy="238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operational ceiling of transformers dictates the failure modes of modern agents in environments ranging from autonomous software remediation to long-horizon economic simulation.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examining the "reasoning collapse" observed in specialized reasoning models and the inherent security risks of autonomous identity, this report provides a technical roadmap for navigating the limitations of current architectures while advocating for the emergence of hybrid neuro-symbolic systems as the only viable path toward reliable high-stakes autonomy.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Inevitability of Hallucination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prevailing discourse surrounding LLM failure modes has historically categorized "hallucinations"—the generation of factually incorrect or nonsensical information—as a consequence of insufficient training data, flawed reward structures, or architectural "noise." However, research surfacing in 2025 and 2026, most notably by Varin Sikka of Stanford University and Vishal Sikka of VianAI Systems, reframes this phenomenon through the lens of computational complexity theory.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framework suggests that hallucinations occur when an LLM is prompted to perform a task whose minimal computational requirement exceeds its inherent operational capacity.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color w:val="1f1f1f"/>
        </w:rPr>
        <w:drawing>
          <wp:inline distB="19050" distT="19050" distL="19050" distR="19050">
            <wp:extent cx="760334" cy="238018"/>
            <wp:effectExtent b="0" l="0" r="0" t="0"/>
            <wp:docPr id="2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60334" cy="238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Operational Ceiling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core of every transformer-based model is the self-attention mechanism, an operation that calculates the relationship between every token in an input sequence of length </w:t>
      </w:r>
      <w:r w:rsidDel="00000000" w:rsidR="00000000" w:rsidRPr="00000000">
        <w:rPr>
          <w:rFonts w:ascii="Google Sans" w:cs="Google Sans" w:eastAsia="Google Sans" w:hAnsi="Google Sans"/>
          <w:color w:val="1f1f1f"/>
        </w:rPr>
        <w:drawing>
          <wp:inline distB="19050" distT="19050" distL="19050" distR="19050">
            <wp:extent cx="168210" cy="232906"/>
            <wp:effectExtent b="0" l="0" r="0" t="0"/>
            <wp:docPr id="28"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168210" cy="2329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computational time complexity of producing a single token generation step is well-established as </w:t>
      </w:r>
      <w:r w:rsidDel="00000000" w:rsidR="00000000" w:rsidRPr="00000000">
        <w:rPr>
          <w:rFonts w:ascii="Google Sans" w:cs="Google Sans" w:eastAsia="Google Sans" w:hAnsi="Google Sans"/>
          <w:color w:val="1f1f1f"/>
        </w:rPr>
        <w:drawing>
          <wp:inline distB="19050" distT="19050" distL="19050" distR="19050">
            <wp:extent cx="760334" cy="238018"/>
            <wp:effectExtent b="0" l="0" r="0" t="0"/>
            <wp:docPr id="3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60334" cy="238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95928" cy="246672"/>
            <wp:effectExtent b="0" l="0" r="0" t="0"/>
            <wp:docPr id="30"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95928" cy="2466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model's hidden dimensionality.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engineering optimizations such as FlashAttention and KV-cache management have improved the constants and memory efficiency of these operations, the fundamental quadratic scaling relative to input length persists.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Sikka framework argues that this fixed compute budget per token creates a hard ceiling on the algorithmic depth of the model's inference.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For any prompt of length </w:t>
      </w:r>
      <w:r w:rsidDel="00000000" w:rsidR="00000000" w:rsidRPr="00000000">
        <w:rPr>
          <w:rFonts w:ascii="Google Sans" w:cs="Google Sans" w:eastAsia="Google Sans" w:hAnsi="Google Sans"/>
          <w:color w:val="1f1f1f"/>
        </w:rPr>
        <w:drawing>
          <wp:inline distB="19050" distT="19050" distL="19050" distR="19050">
            <wp:extent cx="168210" cy="232906"/>
            <wp:effectExtent b="0" l="0" r="0" t="0"/>
            <wp:docPr id="33"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168210" cy="2329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encodes a computational task with a complexity of </w:t>
      </w:r>
      <w:r w:rsidDel="00000000" w:rsidR="00000000" w:rsidRPr="00000000">
        <w:rPr>
          <w:rFonts w:ascii="Google Sans" w:cs="Google Sans" w:eastAsia="Google Sans" w:hAnsi="Google Sans"/>
          <w:color w:val="1f1f1f"/>
        </w:rPr>
        <w:drawing>
          <wp:inline distB="19050" distT="19050" distL="19050" distR="19050">
            <wp:extent cx="473679" cy="236840"/>
            <wp:effectExtent b="0" l="0" r="0" t="0"/>
            <wp:docPr id="3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73679" cy="236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higher (where </w:t>
      </w:r>
      <w:r w:rsidDel="00000000" w:rsidR="00000000" w:rsidRPr="00000000">
        <w:rPr>
          <w:rFonts w:ascii="Google Sans" w:cs="Google Sans" w:eastAsia="Google Sans" w:hAnsi="Google Sans"/>
          <w:color w:val="1f1f1f"/>
        </w:rPr>
        <w:drawing>
          <wp:inline distB="19050" distT="19050" distL="19050" distR="19050">
            <wp:extent cx="524780" cy="239140"/>
            <wp:effectExtent b="0" l="0" r="0" t="0"/>
            <wp:docPr id="35"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24780" cy="2391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transformer-based LLM will unavoidably fail to execute the task accurately.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failure manifests as a hallucination because the model, lacking the necessary computational steps to arrive at a correct algorithmic conclusion, instead generates a response based on pattern matching and probabilistic interpolation.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Impossibility and the Time Hierarchy Theorem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theoretical foundation of this limitation rests on the Time Hierarchy Theorem, a seminal result in computer science established by Hartmanis and Stearns in 1965.</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theorem proves the existence of problems that can be solved within a specific time bound but are provably unsolvable within a smaller bound.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applied to the transformer architecture, the theorem implies that tasks requiring super-polynomial or even high-order polynomial time cannot be faithfully executed by a model constrained to </w:t>
      </w:r>
      <w:r w:rsidDel="00000000" w:rsidR="00000000" w:rsidRPr="00000000">
        <w:rPr>
          <w:rFonts w:ascii="Google Sans" w:cs="Google Sans" w:eastAsia="Google Sans" w:hAnsi="Google Sans"/>
          <w:color w:val="1f1f1f"/>
        </w:rPr>
        <w:drawing>
          <wp:inline distB="19050" distT="19050" distL="19050" distR="19050">
            <wp:extent cx="760334" cy="238018"/>
            <wp:effectExtent b="0" l="0" r="0" t="0"/>
            <wp:docPr id="3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60334" cy="238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per-token generation.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illustrate this "Computational Ceiling," the Sikka research identifies several classes of tasks that fundamentally exceed the model's capacity: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Task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Minimal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LLM Operational Capacity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Outcome of Complexity Mismatch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Token Composition (Combinatorics)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20523" cy="200249"/>
                  <wp:effectExtent b="0" l="0" r="0" t="0"/>
                  <wp:docPr id="38"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420523" cy="20024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760334" cy="238018"/>
                  <wp:effectExtent b="0" l="0" r="0" t="0"/>
                  <wp:docPr id="3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60334" cy="23801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Incomplete enumeration, invention of non-existent strings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Matrix Multiplication (Standard)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73679" cy="236840"/>
                  <wp:effectExtent b="0" l="0" r="0" t="0"/>
                  <wp:docPr id="3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73679" cy="23684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760334" cy="238018"/>
                  <wp:effectExtent b="0" l="0" r="0" t="0"/>
                  <wp:docPr id="3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60334" cy="23801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Cumulative numerical error, "drifting" results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Shortest Path (Floyd-Warshall)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73679" cy="236840"/>
                  <wp:effectExtent b="0" l="0" r="0" t="0"/>
                  <wp:docPr id="4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73679" cy="23684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760334" cy="238018"/>
                  <wp:effectExtent b="0" l="0" r="0" t="0"/>
                  <wp:docPr id="4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60334" cy="23801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Logic failures in multi-hop routing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Mathematical Functions (Ackermann)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Super-exponential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760334" cy="238018"/>
                  <wp:effectExtent b="0" l="0" r="0" t="0"/>
                  <wp:docPr id="4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60334" cy="23801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Total failure of recursive reasoning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TSP Route Verification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Exponential (worst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760334" cy="238018"/>
                  <wp:effectExtent b="0" l="0" r="0" t="0"/>
                  <wp:docPr id="4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60334" cy="23801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Verification collapse; acceptance of sub-optimal paths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Evidence suggests that these limitations are not merely engineering hurdles to be overcome through scaling parameters or increasing training tokens.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Instead, they represent a "Mathematical Wall" for the current transformer paradigm.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example, generating all 4-character combinations from a 26-letter alphabet requires evaluating 456,976 possibilities; as </w:t>
      </w:r>
      <w:r w:rsidDel="00000000" w:rsidR="00000000" w:rsidRPr="00000000">
        <w:rPr>
          <w:rFonts w:ascii="Google Sans" w:cs="Google Sans" w:eastAsia="Google Sans" w:hAnsi="Google Sans"/>
          <w:color w:val="1f1f1f"/>
        </w:rPr>
        <w:drawing>
          <wp:inline distB="19050" distT="19050" distL="19050" distR="19050">
            <wp:extent cx="101892" cy="244540"/>
            <wp:effectExtent b="0" l="0" r="0" t="0"/>
            <wp:docPr id="44"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101892" cy="2445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increases, the exponential growth of the search space quickly outpaces the quadratic capacity of the model, leading to the omission of valid strings or the fabrication of invalid ones.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Learning Theory Perspective on Inevitability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Complementing the complexity-based view is the research of Xu, Jain, and Kankanhalli (2024), which utilizes learning theory to prove that hallucination is an innate limitation of all computable LLMs.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By defining a "Formal World" where a ground truth function </w:t>
      </w:r>
      <w:r w:rsidDel="00000000" w:rsidR="00000000" w:rsidRPr="00000000">
        <w:rPr>
          <w:rFonts w:ascii="Google Sans" w:cs="Google Sans" w:eastAsia="Google Sans" w:hAnsi="Google Sans"/>
          <w:color w:val="1f1f1f"/>
        </w:rPr>
        <w:drawing>
          <wp:inline distB="19050" distT="19050" distL="19050" distR="19050">
            <wp:extent cx="340223" cy="235539"/>
            <wp:effectExtent b="0" l="0" r="0" t="0"/>
            <wp:docPr id="4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40223" cy="2355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computable, the authors demonstrate that an LLM—itself a computable function—cannot learn all computable ground truth functions.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Formal World definition provides a rigorous mathematical environment for this proof:</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Ground Truth (</w:t>
      </w:r>
      <w:r w:rsidDel="00000000" w:rsidR="00000000" w:rsidRPr="00000000">
        <w:rPr>
          <w:rFonts w:ascii="Google Sans" w:cs="Google Sans" w:eastAsia="Google Sans" w:hAnsi="Google Sans"/>
          <w:b w:val="1"/>
          <w:bCs w:val="1"/>
          <w:color w:val="1f1f1f"/>
        </w:rPr>
        <w:drawing>
          <wp:inline distB="19050" distT="19050" distL="19050" distR="19050">
            <wp:extent cx="110118" cy="233190"/>
            <wp:effectExtent b="0" l="0" r="0" t="0"/>
            <wp:docPr id="46"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110118" cy="23319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 total computable function where </w:t>
      </w:r>
      <w:r w:rsidDel="00000000" w:rsidR="00000000" w:rsidRPr="00000000">
        <w:rPr>
          <w:rFonts w:ascii="Google Sans" w:cs="Google Sans" w:eastAsia="Google Sans" w:hAnsi="Google Sans"/>
          <w:color w:val="1f1f1f"/>
        </w:rPr>
        <w:drawing>
          <wp:inline distB="19050" distT="19050" distL="19050" distR="19050">
            <wp:extent cx="340223" cy="235539"/>
            <wp:effectExtent b="0" l="0" r="0" t="0"/>
            <wp:docPr id="1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40223" cy="2355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only correct response for any prompt </w:t>
      </w:r>
      <w:r w:rsidDel="00000000" w:rsidR="00000000" w:rsidRPr="00000000">
        <w:rPr>
          <w:rFonts w:ascii="Google Sans" w:cs="Google Sans" w:eastAsia="Google Sans" w:hAnsi="Google Sans"/>
          <w:color w:val="1f1f1f"/>
        </w:rPr>
        <w:drawing>
          <wp:inline distB="19050" distT="19050" distL="19050" distR="19050">
            <wp:extent cx="86572" cy="239739"/>
            <wp:effectExtent b="0" l="0" r="0" t="0"/>
            <wp:docPr id="1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86572" cy="2397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Computable LLM (</w:t>
      </w:r>
      <w:r w:rsidDel="00000000" w:rsidR="00000000" w:rsidRPr="00000000">
        <w:rPr>
          <w:rFonts w:ascii="Google Sans" w:cs="Google Sans" w:eastAsia="Google Sans" w:hAnsi="Google Sans"/>
          <w:b w:val="1"/>
          <w:bCs w:val="1"/>
          <w:color w:val="1f1f1f"/>
        </w:rPr>
        <w:drawing>
          <wp:inline distB="19050" distT="19050" distL="19050" distR="19050">
            <wp:extent cx="106210" cy="254905"/>
            <wp:effectExtent b="0" l="0" r="0" t="0"/>
            <wp:docPr id="19"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106210" cy="25490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 model that transitions through states </w:t>
      </w:r>
      <w:r w:rsidDel="00000000" w:rsidR="00000000" w:rsidRPr="00000000">
        <w:rPr>
          <w:rFonts w:ascii="Google Sans" w:cs="Google Sans" w:eastAsia="Google Sans" w:hAnsi="Google Sans"/>
          <w:color w:val="1f1f1f"/>
        </w:rPr>
        <w:drawing>
          <wp:inline distB="19050" distT="19050" distL="19050" distR="19050">
            <wp:extent cx="272466" cy="239239"/>
            <wp:effectExtent b="0" l="0" r="0" t="0"/>
            <wp:docPr id="2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272466" cy="2392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during training. Hallucination is defined as the existence of at least one input </w:t>
      </w:r>
      <w:r w:rsidDel="00000000" w:rsidR="00000000" w:rsidRPr="00000000">
        <w:rPr>
          <w:rFonts w:ascii="Google Sans" w:cs="Google Sans" w:eastAsia="Google Sans" w:hAnsi="Google Sans"/>
          <w:color w:val="1f1f1f"/>
        </w:rPr>
        <w:drawing>
          <wp:inline distB="19050" distT="19050" distL="19050" distR="19050">
            <wp:extent cx="86572" cy="239739"/>
            <wp:effectExtent b="0" l="0" r="0" t="0"/>
            <wp:docPr id="2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86572" cy="2397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w:t>
      </w:r>
      <w:r w:rsidDel="00000000" w:rsidR="00000000" w:rsidRPr="00000000">
        <w:rPr>
          <w:rFonts w:ascii="Google Sans" w:cs="Google Sans" w:eastAsia="Google Sans" w:hAnsi="Google Sans"/>
          <w:color w:val="1f1f1f"/>
        </w:rPr>
        <w:drawing>
          <wp:inline distB="19050" distT="19050" distL="19050" distR="19050">
            <wp:extent cx="1088736" cy="237542"/>
            <wp:effectExtent b="0" l="0" r="0" t="0"/>
            <wp:docPr id="22"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1088736" cy="2375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all </w:t>
      </w:r>
      <w:r w:rsidDel="00000000" w:rsidR="00000000" w:rsidRPr="00000000">
        <w:rPr>
          <w:rFonts w:ascii="Google Sans" w:cs="Google Sans" w:eastAsia="Google Sans" w:hAnsi="Google Sans"/>
          <w:color w:val="1f1f1f"/>
        </w:rPr>
        <w:drawing>
          <wp:inline distB="19050" distT="19050" distL="19050" distR="19050">
            <wp:extent cx="63644" cy="229118"/>
            <wp:effectExtent b="0" l="0" r="0" t="0"/>
            <wp:docPr id="23"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63644" cy="2291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framework establishes that for any computable LLM, there will always be an infinite set of inputs on which the model hallucinates.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While the </w:t>
      </w:r>
      <w:r w:rsidDel="00000000" w:rsidR="00000000" w:rsidRPr="00000000">
        <w:rPr>
          <w:rFonts w:ascii="Google Sans" w:cs="Google Sans" w:eastAsia="Google Sans" w:hAnsi="Google Sans"/>
          <w:i w:val="1"/>
          <w:iCs w:val="1"/>
          <w:color w:val="1f1f1f"/>
          <w:rtl w:val="0"/>
        </w:rPr>
        <w:t xml:space="preserve">probability</w:t>
      </w:r>
      <w:r w:rsidDel="00000000" w:rsidR="00000000" w:rsidRPr="00000000">
        <w:rPr>
          <w:rFonts w:ascii="Google Sans" w:cs="Google Sans" w:eastAsia="Google Sans" w:hAnsi="Google Sans"/>
          <w:color w:val="1f1f1f"/>
          <w:rtl w:val="0"/>
        </w:rPr>
        <w:t xml:space="preserve"> of hallucination can be made statistically negligible with sufficient training data, it can never be eliminated entirely.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perspective shifts the industrial focus from "fixing" hallucinations to "managing" them through hybrid architectures and external verification.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Verification Paradox and Multi-Agent Failure Modes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 agentic AI has introduced the multi-agent orchestration paradigm, where specialized agents are tasked with solving sub-problems while supervisor agents verify their work. However, the Sikka research introduces a critical corollary: LLMs cannot correctly verify tasks whose computational complexity exceeds their inherent operational limit.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"Verification Paradox" undermines the fundamental assumption that verification is significantly easier than generation.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Asymptotic Bottlenecks in Supervision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many complex computational problems, such as the Traveling Salesperson Problem (TSP) or formal code verification, the complexity of verifying a proposed solution is of the same order as, or even higher than, the complexity of finding the solution.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If an agent </w:t>
      </w:r>
      <w:r w:rsidDel="00000000" w:rsidR="00000000" w:rsidRPr="00000000">
        <w:rPr>
          <w:rFonts w:ascii="Google Sans" w:cs="Google Sans" w:eastAsia="Google Sans" w:hAnsi="Google Sans"/>
          <w:color w:val="1f1f1f"/>
        </w:rPr>
        <w:drawing>
          <wp:inline distB="19050" distT="19050" distL="19050" distR="19050">
            <wp:extent cx="212009" cy="246204"/>
            <wp:effectExtent b="0" l="0" r="0" t="0"/>
            <wp:docPr id="24"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12009" cy="2462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tasked with executing a problem </w:t>
      </w:r>
      <w:r w:rsidDel="00000000" w:rsidR="00000000" w:rsidRPr="00000000">
        <w:rPr>
          <w:rFonts w:ascii="Google Sans" w:cs="Google Sans" w:eastAsia="Google Sans" w:hAnsi="Google Sans"/>
          <w:color w:val="1f1f1f"/>
        </w:rPr>
        <w:drawing>
          <wp:inline distB="19050" distT="19050" distL="19050" distR="19050">
            <wp:extent cx="144048" cy="246939"/>
            <wp:effectExtent b="0" l="0" r="0" t="0"/>
            <wp:docPr id="25"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144048" cy="2469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w:t>
      </w:r>
      <w:r w:rsidDel="00000000" w:rsidR="00000000" w:rsidRPr="00000000">
        <w:rPr>
          <w:rFonts w:ascii="Google Sans" w:cs="Google Sans" w:eastAsia="Google Sans" w:hAnsi="Google Sans"/>
          <w:color w:val="1f1f1f"/>
        </w:rPr>
        <w:drawing>
          <wp:inline distB="19050" distT="19050" distL="19050" distR="19050">
            <wp:extent cx="473679" cy="236840"/>
            <wp:effectExtent b="0" l="0" r="0" t="0"/>
            <wp:docPr id="2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73679" cy="236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complexity, and an agent </w:t>
      </w:r>
      <w:r w:rsidDel="00000000" w:rsidR="00000000" w:rsidRPr="00000000">
        <w:rPr>
          <w:rFonts w:ascii="Google Sans" w:cs="Google Sans" w:eastAsia="Google Sans" w:hAnsi="Google Sans"/>
          <w:color w:val="1f1f1f"/>
        </w:rPr>
        <w:drawing>
          <wp:inline distB="19050" distT="19050" distL="19050" distR="19050">
            <wp:extent cx="212009" cy="246204"/>
            <wp:effectExtent b="0" l="0" r="0" t="0"/>
            <wp:docPr id="7"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12009" cy="2462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tasked with verifying the solution, both agents are bound by the same </w:t>
      </w:r>
      <w:r w:rsidDel="00000000" w:rsidR="00000000" w:rsidRPr="00000000">
        <w:rPr>
          <w:rFonts w:ascii="Google Sans" w:cs="Google Sans" w:eastAsia="Google Sans" w:hAnsi="Google Sans"/>
          <w:color w:val="1f1f1f"/>
        </w:rPr>
        <w:drawing>
          <wp:inline distB="19050" distT="19050" distL="19050" distR="19050">
            <wp:extent cx="760334" cy="238018"/>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60334" cy="238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ceiling.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Because the inherent complexity of </w:t>
      </w:r>
      <w:r w:rsidDel="00000000" w:rsidR="00000000" w:rsidRPr="00000000">
        <w:rPr>
          <w:rFonts w:ascii="Google Sans" w:cs="Google Sans" w:eastAsia="Google Sans" w:hAnsi="Google Sans"/>
          <w:color w:val="1f1f1f"/>
        </w:rPr>
        <w:drawing>
          <wp:inline distB="19050" distT="19050" distL="19050" distR="19050">
            <wp:extent cx="144048" cy="246939"/>
            <wp:effectExtent b="0" l="0" r="0" t="0"/>
            <wp:docPr id="9"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144048" cy="2469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exceeds the operational ceiling of the verifier, </w:t>
      </w:r>
      <w:r w:rsidDel="00000000" w:rsidR="00000000" w:rsidRPr="00000000">
        <w:rPr>
          <w:rFonts w:ascii="Google Sans" w:cs="Google Sans" w:eastAsia="Google Sans" w:hAnsi="Google Sans"/>
          <w:color w:val="1f1f1f"/>
        </w:rPr>
        <w:drawing>
          <wp:inline distB="19050" distT="19050" distL="19050" distR="19050">
            <wp:extent cx="212009" cy="246204"/>
            <wp:effectExtent b="0" l="0" r="0" t="0"/>
            <wp:docPr id="10"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12009" cy="2462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cannot accurately validate the correctness of </w:t>
      </w:r>
      <w:r w:rsidDel="00000000" w:rsidR="00000000" w:rsidRPr="00000000">
        <w:rPr>
          <w:rFonts w:ascii="Google Sans" w:cs="Google Sans" w:eastAsia="Google Sans" w:hAnsi="Google Sans"/>
          <w:color w:val="1f1f1f"/>
        </w:rPr>
        <w:drawing>
          <wp:inline distB="19050" distT="19050" distL="19050" distR="19050">
            <wp:extent cx="212009" cy="246204"/>
            <wp:effectExtent b="0" l="0" r="0" t="0"/>
            <wp:docPr id="11"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12009" cy="2462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's output.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lack of reliable verification has profound implications for high-stakes applications:</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Autonomous Financial Systems:</w:t>
      </w:r>
      <w:r w:rsidDel="00000000" w:rsidR="00000000" w:rsidRPr="00000000">
        <w:rPr>
          <w:rFonts w:ascii="Google Sans" w:cs="Google Sans" w:eastAsia="Google Sans" w:hAnsi="Google Sans"/>
          <w:color w:val="1f1f1f"/>
          <w:rtl w:val="0"/>
        </w:rPr>
        <w:t xml:space="preserve"> Verification of multi-hop ledger transfers or complex tax optimizations can exceed the </w:t>
      </w:r>
      <w:r w:rsidDel="00000000" w:rsidR="00000000" w:rsidRPr="00000000">
        <w:rPr>
          <w:rFonts w:ascii="Google Sans" w:cs="Google Sans" w:eastAsia="Google Sans" w:hAnsi="Google Sans"/>
          <w:color w:val="1f1f1f"/>
        </w:rPr>
        <w:drawing>
          <wp:inline distB="19050" distT="19050" distL="19050" distR="19050">
            <wp:extent cx="760334" cy="238018"/>
            <wp:effectExtent b="0" l="0" r="0" t="0"/>
            <wp:docPr id="1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60334" cy="238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limit, leading to "verified" errors.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Defense and Cybersecurity:</w:t>
      </w:r>
      <w:r w:rsidDel="00000000" w:rsidR="00000000" w:rsidRPr="00000000">
        <w:rPr>
          <w:rFonts w:ascii="Google Sans" w:cs="Google Sans" w:eastAsia="Google Sans" w:hAnsi="Google Sans"/>
          <w:color w:val="1f1f1f"/>
          <w:rtl w:val="0"/>
        </w:rPr>
        <w:t xml:space="preserve"> LLM agents used in autonomous "kill chains" or vulnerability patching may hallucinate the validity of a security patch, creating a false sense of protection.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Software Remediation:</w:t>
      </w:r>
      <w:r w:rsidDel="00000000" w:rsidR="00000000" w:rsidRPr="00000000">
        <w:rPr>
          <w:rFonts w:ascii="Google Sans" w:cs="Google Sans" w:eastAsia="Google Sans" w:hAnsi="Google Sans"/>
          <w:color w:val="1f1f1f"/>
          <w:rtl w:val="0"/>
        </w:rPr>
        <w:t xml:space="preserve"> In 2026, many autonomous agents solve GitHub issues with high efficiency, but their internal verification loops often fail on deep architectural bugs where the "serial depth" of the reasoning required exceeds the available token budget.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Limits of "Chain-of-Thought" and Reasoning Tokens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emergence of "reasoning models" (such as OpenAI's o1 and o3) sought to address these depth limitations by allowing models to generate hidden intermediate "think" steps.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While this increases the number of serial computation steps—enabling the model to solve problems computable by circuits of greater depth—it does not fundamentally change the per-token complexity or the overarching asymptotic ceiling.</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Evidence from early 2026 indicates that for high-complexity tasks, the reasoning budget allocated by these models is often insufficient to bridge the gap.</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research into "Reasoning Collapse" shows that accuracy can actually </w:t>
      </w:r>
      <w:r w:rsidDel="00000000" w:rsidR="00000000" w:rsidRPr="00000000">
        <w:rPr>
          <w:rFonts w:ascii="Google Sans" w:cs="Google Sans" w:eastAsia="Google Sans" w:hAnsi="Google Sans"/>
          <w:i w:val="1"/>
          <w:iCs w:val="1"/>
          <w:color w:val="1f1f1f"/>
          <w:rtl w:val="0"/>
        </w:rPr>
        <w:t xml:space="preserve">decrease</w:t>
      </w:r>
      <w:r w:rsidDel="00000000" w:rsidR="00000000" w:rsidRPr="00000000">
        <w:rPr>
          <w:rFonts w:ascii="Google Sans" w:cs="Google Sans" w:eastAsia="Google Sans" w:hAnsi="Google Sans"/>
          <w:color w:val="1f1f1f"/>
          <w:rtl w:val="0"/>
        </w:rPr>
        <w:t xml:space="preserve"> as reasoning traces grow longer.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collapse occurs when the model's internal reasoning begins to deviate from the input logic, shifting toward generic templates that are weakly coupled to the actual task.</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Evaluation: Vending-Bench 2 and Long-Horizon Autonomy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measure the impact of these theoretical limitations on real-world utility, Andon Labs released Vending-Bench 2 in late 2025.</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benchmark evaluates an agent's ability to operate a simulated business—specifically a vending machine—over a 365-day horizon.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task requires continuous management of inventory, pricing, supplier negotiations, and operational fees, providing a clear quantitative signal for long-term coherence.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Performance and the "Ceiling" Gap</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Vending-Bench 2 results from 2026 highlight a significant performance spread across frontier models. While top-tier models like Claude Opus 4.6 and Gemini 3 Pro demonstrate the ability to turn a profit, they remain an order of magnitude less effective than a "good" human-designed strategy.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 Performing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Final Bank Balance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Characteristics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Anthropic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 Opus 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$8,017.59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Consistent tool use; no signs of degradation over 365 turns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GPT-5.4 (New)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$6,144.18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speed; prone to "over-trusting" adversarial suppliers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Google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Gemini 3 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$5,478.16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Persistent negotiator; searches for wholesale price floors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Chinese Frontier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GLM-5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$4,432.12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progression in multimodal tool use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Human Baseline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"Good"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~$63,000.00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Identification of high-margin items (e.g., tungsten cubes); jailbreaking </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delta between AI performance and the human baseline (~10x headroom) is primarily driven by three factors:</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Item Selection Strategy:</w:t>
      </w:r>
      <w:r w:rsidDel="00000000" w:rsidR="00000000" w:rsidRPr="00000000">
        <w:rPr>
          <w:rFonts w:ascii="Google Sans" w:cs="Google Sans" w:eastAsia="Google Sans" w:hAnsi="Google Sans"/>
          <w:color w:val="1f1f1f"/>
          <w:rtl w:val="0"/>
        </w:rPr>
        <w:t xml:space="preserve"> Humans identify high-value/high-margin products that LLMs overlook. For example, while models optimized for "Doritos family-size," humans in real-world simulations successfully sold items like $500 tungsten cubes.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Advanced Negotiation:</w:t>
      </w:r>
      <w:r w:rsidDel="00000000" w:rsidR="00000000" w:rsidRPr="00000000">
        <w:rPr>
          <w:rFonts w:ascii="Google Sans" w:cs="Google Sans" w:eastAsia="Google Sans" w:hAnsi="Google Sans"/>
          <w:color w:val="1f1f1f"/>
          <w:rtl w:val="0"/>
        </w:rPr>
        <w:t xml:space="preserve"> Human operators frequently "jailbreak" LLM-based supplier agents to receive inventory for half price or free—a tactical move that current agents are not yet programmed to attempt or defend against.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Analysis Depth:</w:t>
      </w:r>
      <w:r w:rsidDel="00000000" w:rsidR="00000000" w:rsidRPr="00000000">
        <w:rPr>
          <w:rFonts w:ascii="Google Sans" w:cs="Google Sans" w:eastAsia="Google Sans" w:hAnsi="Google Sans"/>
          <w:color w:val="1f1f1f"/>
          <w:rtl w:val="0"/>
        </w:rPr>
        <w:t xml:space="preserve"> A "good" human strategy involves analyzing the first 60 days of sales data to calculate an optimal machine configuration, yielding an estimated daily profit of $206.</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contrast, agents often misread delivery schedules or forget past orders, leading to "doom loops" where they enter recursive error states.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Complexity Variance in Economic Environments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EcoGym benchmark (2026) expands upon Vending-Bench by introducing "Freelance" and "Operation" environments.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study reveals an "inverse scaling" phenomenon where compact models like GPT-5-Mini sometimes outperform larger counterparts in freelance task management.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Crucially, EcoGym data indicates that extending the context window (from </w:t>
      </w:r>
      <w:r w:rsidDel="00000000" w:rsidR="00000000" w:rsidRPr="00000000">
        <w:rPr>
          <w:rFonts w:ascii="Google Sans" w:cs="Google Sans" w:eastAsia="Google Sans" w:hAnsi="Google Sans"/>
          <w:color w:val="1f1f1f"/>
        </w:rPr>
        <w:drawing>
          <wp:inline distB="19050" distT="19050" distL="19050" distR="19050">
            <wp:extent cx="624409" cy="236618"/>
            <wp:effectExtent b="0" l="0" r="0" t="0"/>
            <wp:docPr id="1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624409" cy="2366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716637" cy="238879"/>
            <wp:effectExtent b="0" l="0" r="0" t="0"/>
            <wp:docPr id="14"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716637" cy="2388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steps) does not yield consistent performance gains.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Gemini-3-Pro, for instance, exhibits peak performance at 128 steps but degrades progressively as the window extends, underscoring the instability inherent in current long-context processing.</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Engineering and the SWE-bench 2026 Milestones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Perhaps the most mature application of agentic AI is in autonomous software remediation. The SWE-bench Verified benchmark, a curated subset of 500 high-quality GitHub issues, has become the industry standard for evaluating an agent's ability to navigate entire codebases and generate functional patches.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Leading Edge of Autonomous Coding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early 2026, Anthropic's Claude Opus 4.5 and specialized harnesses like Sonar's Foundation Agent have set new records for autonomous issue resolution.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Model/Agent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SWE-bench Verified 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Efficiency (Avg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Per Issue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 Code (Opus 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$100 - $200/mo (Enterprise) </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Sonar Foundation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10.5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$1.26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Antigravity (Gemini 3 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Variable </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GPT-5.3 Codex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$0.46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Devin 2.0 (Custom)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Proprietary </w:t>
            </w:r>
            <w:r w:rsidDel="00000000" w:rsidR="00000000" w:rsidRPr="00000000">
              <w:rPr>
                <w:rFonts w:ascii="Google Sans" w:cs="Google Sans" w:eastAsia="Google Sans" w:hAnsi="Google Sans"/>
                <w:color w:val="444746"/>
                <w:sz w:val="24"/>
                <w:szCs w:val="24"/>
                <w:vertAlign w:val="superscript"/>
                <w:rtl w:val="0"/>
              </w:rPr>
              <w:t xml:space="preserve">36</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insight from the 2026 software agents is that "scaffolding matters" as much as the foundation model.</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Augment's Auggie and Anthropic's Claude Code both utilize the Opus 4.5 model, yet Auggie successfully resolved 17 more problems out of 731 total issues due to superior repository indexing and "auto-compaction" of the context window.</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Furthermore, Sonar's "free workflow" model—which avoids rigid, multi-stage plans in favor of test-driven remediation—demonstrates the full potential of LLMs for application verification when the agent prioritizes functional verification over syntactic correctness.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Speed vs. Depth Trade-off</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Claude Opus 4.5 leads in reasoning depth for hard architectural bugs, the OpenAI GPT-5.3 Codex CLI has become the "throughput champion".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Operating at 240+ tokens per second, it is 2.5x faster than Opus, making it the preferred choice for high-volume boilerplate generation and straightforward feature edits where speed is prioritized over deep reasoning.</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divergence suggests a future where specialized coding agents are routed based on task complexity—a practical application of the Sikka complexity framework.</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Reasoning Collapse and the Limitations of Reasoning Models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models are equipped with extended chain-of-thought mechanisms, researchers have identified a phenomenon known as "Reasoning Collapse." This is characterized by a significant drop in accuracy as response length increases, particularly in tasks involving Theory of Mind (ToM) or social cognition.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Information-Theoretic Diagnostics of Collapse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Systematic investigations into 11 advanced models in 2026 provide an information-theoretic explanation for why reasoning often fails in high-stakes scenarios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Mutual Information </w:t>
      </w:r>
      <w:r w:rsidDel="00000000" w:rsidR="00000000" w:rsidRPr="00000000">
        <w:rPr>
          <w:rFonts w:ascii="Google Sans" w:cs="Google Sans" w:eastAsia="Google Sans" w:hAnsi="Google Sans"/>
          <w:b w:val="1"/>
          <w:bCs w:val="1"/>
          <w:color w:val="1f1f1f"/>
        </w:rPr>
        <w:drawing>
          <wp:inline distB="19050" distT="19050" distL="19050" distR="19050">
            <wp:extent cx="627289" cy="237709"/>
            <wp:effectExtent b="0" l="0" r="0" t="0"/>
            <wp:docPr id="15"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627289" cy="23770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Measures how much the reasoning trace (</w:t>
      </w:r>
      <w:r w:rsidDel="00000000" w:rsidR="00000000" w:rsidRPr="00000000">
        <w:rPr>
          <w:rFonts w:ascii="Google Sans" w:cs="Google Sans" w:eastAsia="Google Sans" w:hAnsi="Google Sans"/>
          <w:color w:val="1f1f1f"/>
        </w:rPr>
        <w:drawing>
          <wp:inline distB="19050" distT="19050" distL="19050" distR="19050">
            <wp:extent cx="139112" cy="238477"/>
            <wp:effectExtent b="0" l="0" r="0" t="0"/>
            <wp:docPr id="16"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139112" cy="2384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depends on the input (</w:t>
      </w:r>
      <w:r w:rsidDel="00000000" w:rsidR="00000000" w:rsidRPr="00000000">
        <w:rPr>
          <w:rFonts w:ascii="Google Sans" w:cs="Google Sans" w:eastAsia="Google Sans" w:hAnsi="Google Sans"/>
          <w:color w:val="1f1f1f"/>
        </w:rPr>
        <w:drawing>
          <wp:inline distB="19050" distT="19050" distL="19050" distR="19050">
            <wp:extent cx="167078" cy="231339"/>
            <wp:effectExtent b="0" l="0" r="0" t="0"/>
            <wp:docPr id="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167078" cy="2313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Conditional Entropy </w:t>
      </w:r>
      <w:r w:rsidDel="00000000" w:rsidR="00000000" w:rsidRPr="00000000">
        <w:rPr>
          <w:rFonts w:ascii="Google Sans" w:cs="Google Sans" w:eastAsia="Google Sans" w:hAnsi="Google Sans"/>
          <w:b w:val="1"/>
          <w:bCs w:val="1"/>
          <w:color w:val="1f1f1f"/>
        </w:rPr>
        <w:drawing>
          <wp:inline distB="19050" distT="19050" distL="19050" distR="19050">
            <wp:extent cx="669238" cy="238540"/>
            <wp:effectExtent b="0" l="0" r="0" t="0"/>
            <wp:docPr id="2"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669238" cy="23854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Measures the randomness of reasoning under the same input.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"Template collapse" occurs when </w:t>
      </w:r>
      <w:r w:rsidDel="00000000" w:rsidR="00000000" w:rsidRPr="00000000">
        <w:rPr>
          <w:rFonts w:ascii="Google Sans" w:cs="Google Sans" w:eastAsia="Google Sans" w:hAnsi="Google Sans"/>
          <w:color w:val="1f1f1f"/>
        </w:rPr>
        <w:drawing>
          <wp:inline distB="19050" distT="19050" distL="19050" distR="19050">
            <wp:extent cx="669238" cy="238540"/>
            <wp:effectExtent b="0" l="0" r="0" t="0"/>
            <wp:docPr id="3"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669238" cy="2385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remains high (suggesting diverse, busy-looking reasoning) while </w:t>
      </w:r>
      <w:r w:rsidDel="00000000" w:rsidR="00000000" w:rsidRPr="00000000">
        <w:rPr>
          <w:rFonts w:ascii="Google Sans" w:cs="Google Sans" w:eastAsia="Google Sans" w:hAnsi="Google Sans"/>
          <w:color w:val="1f1f1f"/>
        </w:rPr>
        <w:drawing>
          <wp:inline distB="19050" distT="19050" distL="19050" distR="19050">
            <wp:extent cx="627289" cy="237709"/>
            <wp:effectExtent b="0" l="0" r="0" t="0"/>
            <wp:docPr id="4"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627289" cy="2377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drops (suggesting the reasoning has become generic and input-agnostic).</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Under these conditions, "slow thinking" becomes a liability. For example, in high-order inference tasks, accuracy drops as responses grow longer because models begin to rely on "option matching" shortcuts rather than genuine logical deduction.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Remedies: BIGMAS and Agent Graph Coordination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combat reasoning collapse, the Brain-Inspired Graph Multi-Agent Systems (BIGMAS) framework has been introduced.</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BIGMAS replaces the linear reasoning of a single agent with a task-specific directed agent graph.</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By decomposing problems into specialized subagents—coordinated through a global, writable, and verifiable workspace—the system externalizes intermediate states and reduces the cognitive load on individual agents.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Experimental results show that BIGMAS improves performance across all frontier models, with the largest gains occurring where individual models struggle most.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For example, Claude 4.5 (+thinking) saw a 36-percentage-point gain on the Tower of London planning task when using BIGMAS coordination, suggesting that architectural coordination can overcome the "fundamental bottleneck" of single-model scaling.</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Governance, and the Risks of Autonomous Agency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"write-enabled" agents in 2026 has introduced a fundamentally new category of organizational risk. Unlike the chatbots of 2024, agentic AI functions as "digital managers" with the authority to independently call APIs, manage credentials, and reconcile data.</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Identity and Accountability Gap</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 enterprises in 2026 lack a consistent way to provision, track, and retire AI agent identities.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This leads to several critical security vulnerabilities:</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Privilege Escalation:</w:t>
      </w:r>
      <w:r w:rsidDel="00000000" w:rsidR="00000000" w:rsidRPr="00000000">
        <w:rPr>
          <w:rFonts w:ascii="Google Sans" w:cs="Google Sans" w:eastAsia="Google Sans" w:hAnsi="Google Sans"/>
          <w:color w:val="1f1f1f"/>
          <w:rtl w:val="0"/>
        </w:rPr>
        <w:t xml:space="preserve"> Developers frequently grant agents broad, unmanaged permissions "just in case" they need them for multi-step tasks. An agent with excessive permissions is a liability that can cause disproportionate damage through a bug or compromised credential.</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Lateral Movement:</w:t>
      </w:r>
      <w:r w:rsidDel="00000000" w:rsidR="00000000" w:rsidRPr="00000000">
        <w:rPr>
          <w:rFonts w:ascii="Google Sans" w:cs="Google Sans" w:eastAsia="Google Sans" w:hAnsi="Google Sans"/>
          <w:color w:val="1f1f1f"/>
          <w:rtl w:val="0"/>
        </w:rPr>
        <w:t xml:space="preserve"> In a multi-agent architecture, a single compromised agent can propagate malicious instructions to downstream agents. Standard network security controls are often blind to this intra-agent communication.</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Shadow AI Agents:</w:t>
      </w:r>
      <w:r w:rsidDel="00000000" w:rsidR="00000000" w:rsidRPr="00000000">
        <w:rPr>
          <w:rFonts w:ascii="Google Sans" w:cs="Google Sans" w:eastAsia="Google Sans" w:hAnsi="Google Sans"/>
          <w:color w:val="1f1f1f"/>
          <w:rtl w:val="0"/>
        </w:rPr>
        <w:t xml:space="preserve"> As no-code platforms make agent creation trivial, organizations are seeing a proliferation of narrowly-scoped, weakly governed agents that recreate the fragmentation of past automation waves at machine speed.</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CSAgent: System-Level Policy-Based Access Control</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these risks, researchers have proposed CSAgent, a static policy-based access control framework designed specifically for computer-use agents (CUAs).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CSAgent introduces an "intent-aware context space," ensuring that security-critical actions are performed only when the context of the agent's behavior aligns with established policies.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OS-inspired approach avoids the "unreliable model" problem by enforcing policies at the system level rather than relying on the LLM's internal (and potentially hallucinated) logic for security decisions.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Industrial Adoption and Market Outlook</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"experimental phase" of AI adoption concluded in late 2025. In 2026, agentic AI has become an operational standard for Global 2000 companies.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Valuations and Workforce Displacement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AI agent market is projected to grow from $7.5 billion in 2025 to over $50 billion by 2030, with a compound annual growth rate (CAGR) of 45.8%.</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IDC estimates that agentic AI will eventually account for over 26% of worldwide IT spending, reaching $1.3 trillion by 2029.</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Organization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Deployment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Reported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McKinsey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20,000 agents / 40,000 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Internal "Lilli" platform saved 1.5 million hours in 2025 </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Accenture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$3.6B in AI bookings (FY2025)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Doubled AI revenue; cut 11,000 non-AI roles </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Salesforce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Autonomous Customer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32,000 conversations/week; 83% resolution rate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PwC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 OS / Workbench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wage premium jumped from 25% to 56% in one year </w:t>
            </w:r>
            <w:r w:rsidDel="00000000" w:rsidR="00000000" w:rsidRPr="00000000">
              <w:rPr>
                <w:rFonts w:ascii="Google Sans" w:cs="Google Sans" w:eastAsia="Google Sans" w:hAnsi="Google Sans"/>
                <w:color w:val="444746"/>
                <w:sz w:val="24"/>
                <w:szCs w:val="24"/>
                <w:vertAlign w:val="superscript"/>
                <w:rtl w:val="0"/>
              </w:rPr>
              <w:t xml:space="preserve">44</w:t>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workforce implications of this shift are stark. While 77% of employers plan to upskill their workforce, 66% of enterprises are reducing entry-level hiring as they deploy agents for research, data analysis, and documentation.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Forrester predicts that up to 10 million U.S. roles could be displaced by AI by 2030, particularly in functions where "information moves fast and decisions have consequences".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Democratization of Custom "Gems"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enterprise, the most significant technical shift in 2026 is the democratization of custom agentic workflows through platforms like Google Gemini "Gems".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These "Gems" allow users to define a "Four Pillars" instruction set (Persona, Task, Context, Format) that anchors the agent's behavior to specific business objectives.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utilizing vector embeddings for long-term memory and the Model Context Protocol (MCP) for tool interaction, these agents transition from "interns" who need step-by-step instructions to "managers" who own a goal.</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architectural shift relies on a "semantic layer" of enterprise data, where the AI understands the context of a query rather than just matching keywords—a critical prerequisite for reducing the frequency of </w:t>
      </w:r>
      <w:r w:rsidDel="00000000" w:rsidR="00000000" w:rsidRPr="00000000">
        <w:rPr>
          <w:rFonts w:ascii="Google Sans" w:cs="Google Sans" w:eastAsia="Google Sans" w:hAnsi="Google Sans"/>
          <w:color w:val="1f1f1f"/>
        </w:rPr>
        <w:drawing>
          <wp:inline distB="19050" distT="19050" distL="19050" distR="19050">
            <wp:extent cx="760334" cy="238018"/>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60334" cy="238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hallucinations.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Navigating the Computational Ceiling</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evidence from the Sikka and Xu papers, corroborated by the performance gaps in Vending-Bench and the stability issues in EcoGym, leads to a nuanced conclusion regarding the future of AI. The "Computational Ceiling" is not a wall that can be broken by scaling alone; it is an inherent property of the transformer architecture.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Rise of Hybrid Neuro-Symbolic Systems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successful AI deployments in 2026—such as Vianai’s "Hila"—follow the "AlphaFold Model" of circumscription.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this paradigm, the LLM is used as a creative "candidate generator" whose output is immediately fed into a non-imaginative, symbolic verification system.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example, Hila reportedly reduces financial reporting labor from 20 days to five minutes by using an LLM to extract data and a secondary system to verify the accounting logic against rigid fiscal rules.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hybrid approach acknowledges that while GenAI is excellent at "vibe coding" and creative interpolation, it is algorithmically incapable of reliable high-complexity computation.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As Vishal Sikka emphasizes, "To expect that a model trained on a certain amount of data will be able to do an arbitrarily large number of calculations which are reliable is a wrong assumption".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Recommendations for Professional Peers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organizations building or deploying agentic AI in the 2026 landscape, the analysis suggests the following strategic imperatives:</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Complexity-Aware Routing:</w:t>
      </w:r>
      <w:r w:rsidDel="00000000" w:rsidR="00000000" w:rsidRPr="00000000">
        <w:rPr>
          <w:rFonts w:ascii="Google Sans" w:cs="Google Sans" w:eastAsia="Google Sans" w:hAnsi="Google Sans"/>
          <w:color w:val="1f1f1f"/>
          <w:rtl w:val="0"/>
        </w:rPr>
        <w:t xml:space="preserve"> Map enterprise workflows onto complexity classes. High-complexity tasks (</w:t>
      </w:r>
      <w:r w:rsidDel="00000000" w:rsidR="00000000" w:rsidRPr="00000000">
        <w:rPr>
          <w:rFonts w:ascii="Google Sans" w:cs="Google Sans" w:eastAsia="Google Sans" w:hAnsi="Google Sans"/>
          <w:color w:val="1f1f1f"/>
        </w:rPr>
        <w:drawing>
          <wp:inline distB="19050" distT="19050" distL="19050" distR="19050">
            <wp:extent cx="473679" cy="23684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73679" cy="236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higher) should be offloaded to external symbolic solvers rather than being left to pure LLM reasoning.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Structural Multi-Agent Design:</w:t>
      </w:r>
      <w:r w:rsidDel="00000000" w:rsidR="00000000" w:rsidRPr="00000000">
        <w:rPr>
          <w:rFonts w:ascii="Google Sans" w:cs="Google Sans" w:eastAsia="Google Sans" w:hAnsi="Google Sans"/>
          <w:color w:val="1f1f1f"/>
          <w:rtl w:val="0"/>
        </w:rPr>
        <w:t xml:space="preserve"> Adopt frameworks like BIGMAS that prioritize multi-agent coordination and global workspace schemas over single-agent linear reasoning to prevent reasoning collapse.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Governance-First Architecture:</w:t>
      </w:r>
      <w:r w:rsidDel="00000000" w:rsidR="00000000" w:rsidRPr="00000000">
        <w:rPr>
          <w:rFonts w:ascii="Google Sans" w:cs="Google Sans" w:eastAsia="Google Sans" w:hAnsi="Google Sans"/>
          <w:color w:val="1f1f1f"/>
          <w:rtl w:val="0"/>
        </w:rPr>
        <w:t xml:space="preserve"> Treat agent identities with the same rigor as human identities. Implement policy-based access control (e.g., CSAgent) and least-privilege principles at the API layer to mitigate the risks of lateral movement and prompt injection.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Value-Centric Investment:</w:t>
      </w:r>
      <w:r w:rsidDel="00000000" w:rsidR="00000000" w:rsidRPr="00000000">
        <w:rPr>
          <w:rFonts w:ascii="Google Sans" w:cs="Google Sans" w:eastAsia="Google Sans" w:hAnsi="Google Sans"/>
          <w:color w:val="1f1f1f"/>
          <w:rtl w:val="0"/>
        </w:rPr>
        <w:t xml:space="preserve"> Avoid "Innovation Theatre" by anchoring AI budgets to measurable ROI in decision-centric use cases. Move from "model picking" to "orchestration," where tasks are dynamically routed across specialized models and retrieval layers.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AI continues to evolve into an autonomous coworker, the defining differentiator for success will be "operational capability"—the ability to build systems that are not just intelligent, but reliably governed, computationally bounded, and structurally sound.</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"Mathematical Wall" identifies the boundaries of what is possible; the winners of 2026 will be the architects who design the future within those lines.</w:t>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AI Agent Companies with Paperclip | Articles | o-mega, accessed March 29, 2026, </w:t>
      </w:r>
      <w:hyperlink r:id="rId29">
        <w:r w:rsidDel="00000000" w:rsidR="00000000" w:rsidRPr="00000000">
          <w:rPr>
            <w:rFonts w:ascii="Google Sans" w:cs="Google Sans" w:eastAsia="Google Sans" w:hAnsi="Google Sans"/>
            <w:color w:val="0000ee"/>
            <w:sz w:val="24"/>
            <w:szCs w:val="24"/>
            <w:u w:val="single"/>
            <w:rtl w:val="0"/>
          </w:rPr>
          <w:t xml:space="preserve">https://o-mega.ai/articles/paperclip-ai-agent-companies-and-the-multi-agent-landscape</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Statistics 2026: Adoption, Market Size, Challenges &amp; More - Cyntexa, accessed March 29, 2026, </w:t>
      </w:r>
      <w:hyperlink r:id="rId30">
        <w:r w:rsidDel="00000000" w:rsidR="00000000" w:rsidRPr="00000000">
          <w:rPr>
            <w:rFonts w:ascii="Google Sans" w:cs="Google Sans" w:eastAsia="Google Sans" w:hAnsi="Google Sans"/>
            <w:color w:val="0000ee"/>
            <w:sz w:val="24"/>
            <w:szCs w:val="24"/>
            <w:u w:val="single"/>
            <w:rtl w:val="0"/>
          </w:rPr>
          <w:t xml:space="preserve">https://cyntexa.com/blog/agentic-ai-statistics/</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Hallucination Stations: On Some Basic Limitations of Transformer-Based Language Models, accessed March 29, 2026, </w:t>
      </w:r>
      <w:hyperlink r:id="rId31">
        <w:r w:rsidDel="00000000" w:rsidR="00000000" w:rsidRPr="00000000">
          <w:rPr>
            <w:rFonts w:ascii="Google Sans" w:cs="Google Sans" w:eastAsia="Google Sans" w:hAnsi="Google Sans"/>
            <w:color w:val="0000ee"/>
            <w:sz w:val="24"/>
            <w:szCs w:val="24"/>
            <w:u w:val="single"/>
            <w:rtl w:val="0"/>
          </w:rPr>
          <w:t xml:space="preserve">https://www.alphaxiv.org/overview/2507.07505v1</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They Lied to You About AI (This Study Proves It) - YouTube, accessed March 29, 2026, </w:t>
      </w:r>
      <w:hyperlink r:id="rId32">
        <w:r w:rsidDel="00000000" w:rsidR="00000000" w:rsidRPr="00000000">
          <w:rPr>
            <w:rFonts w:ascii="Google Sans" w:cs="Google Sans" w:eastAsia="Google Sans" w:hAnsi="Google Sans"/>
            <w:color w:val="0000ee"/>
            <w:sz w:val="24"/>
            <w:szCs w:val="24"/>
            <w:u w:val="single"/>
            <w:rtl w:val="0"/>
          </w:rPr>
          <w:t xml:space="preserve">https://www.youtube.com/watch?v=AIYQp1n51ZI</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Hallucination Stations - arXiv, accessed March 29, 2026, </w:t>
      </w:r>
      <w:hyperlink r:id="rId33">
        <w:r w:rsidDel="00000000" w:rsidR="00000000" w:rsidRPr="00000000">
          <w:rPr>
            <w:rFonts w:ascii="Google Sans" w:cs="Google Sans" w:eastAsia="Google Sans" w:hAnsi="Google Sans"/>
            <w:color w:val="0000ee"/>
            <w:sz w:val="24"/>
            <w:szCs w:val="24"/>
            <w:u w:val="single"/>
            <w:rtl w:val="0"/>
          </w:rPr>
          <w:t xml:space="preserve">https://arxiv.org/pdf/2507.07505</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Vending-Bench 2 | Andon Labs, accessed March 29, 2026, </w:t>
      </w:r>
      <w:hyperlink r:id="rId34">
        <w:r w:rsidDel="00000000" w:rsidR="00000000" w:rsidRPr="00000000">
          <w:rPr>
            <w:rFonts w:ascii="Google Sans" w:cs="Google Sans" w:eastAsia="Google Sans" w:hAnsi="Google Sans"/>
            <w:color w:val="0000ee"/>
            <w:sz w:val="24"/>
            <w:szCs w:val="24"/>
            <w:u w:val="single"/>
            <w:rtl w:val="0"/>
          </w:rPr>
          <w:t xml:space="preserve">https://andonlabs.com/evals/vending-bench-2</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 Think or Not To Think, That is The Question for LLM Reasoning in Theory of Mind Tasks, accessed March 29, 2026, </w:t>
      </w:r>
      <w:hyperlink r:id="rId35">
        <w:r w:rsidDel="00000000" w:rsidR="00000000" w:rsidRPr="00000000">
          <w:rPr>
            <w:rFonts w:ascii="Google Sans" w:cs="Google Sans" w:eastAsia="Google Sans" w:hAnsi="Google Sans"/>
            <w:color w:val="0000ee"/>
            <w:sz w:val="24"/>
            <w:szCs w:val="24"/>
            <w:u w:val="single"/>
            <w:rtl w:val="0"/>
          </w:rPr>
          <w:t xml:space="preserve">https://openreview.net/forum?id=jGcBIvOrqc</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Whether they are building agents or folding proteins, LLMs need a friend - The Register, accessed March 29, 2026, </w:t>
      </w:r>
      <w:hyperlink r:id="rId36">
        <w:r w:rsidDel="00000000" w:rsidR="00000000" w:rsidRPr="00000000">
          <w:rPr>
            <w:rFonts w:ascii="Google Sans" w:cs="Google Sans" w:eastAsia="Google Sans" w:hAnsi="Google Sans"/>
            <w:color w:val="0000ee"/>
            <w:sz w:val="24"/>
            <w:szCs w:val="24"/>
            <w:u w:val="single"/>
            <w:rtl w:val="0"/>
          </w:rPr>
          <w:t xml:space="preserve">https://www.theregister.com/2026/02/07/ai_companion_bots_vishal_sikka_interview/</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and Efficient Access Control Framework for Computer-Use Agents via Context Space - arXiv, accessed March 29, 2026, </w:t>
      </w:r>
      <w:hyperlink r:id="rId37">
        <w:r w:rsidDel="00000000" w:rsidR="00000000" w:rsidRPr="00000000">
          <w:rPr>
            <w:rFonts w:ascii="Google Sans" w:cs="Google Sans" w:eastAsia="Google Sans" w:hAnsi="Google Sans"/>
            <w:color w:val="0000ee"/>
            <w:sz w:val="24"/>
            <w:szCs w:val="24"/>
            <w:u w:val="single"/>
            <w:rtl w:val="0"/>
          </w:rPr>
          <w:t xml:space="preserve">https://arxiv.org/html/2509.22256v4</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Hallucination Stations: On Some Basic Limitations of Transformer-Based Language Models, accessed March 29, 2026, </w:t>
      </w:r>
      <w:hyperlink r:id="rId38">
        <w:r w:rsidDel="00000000" w:rsidR="00000000" w:rsidRPr="00000000">
          <w:rPr>
            <w:rFonts w:ascii="Google Sans" w:cs="Google Sans" w:eastAsia="Google Sans" w:hAnsi="Google Sans"/>
            <w:color w:val="0000ee"/>
            <w:sz w:val="24"/>
            <w:szCs w:val="24"/>
            <w:u w:val="single"/>
            <w:rtl w:val="0"/>
          </w:rPr>
          <w:t xml:space="preserve">https://chatpaper.com/paper/162895</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Hallucination Stations: On Some Basic Limitations of Transformer-Based Language Models, accessed March 29, 2026, </w:t>
      </w:r>
      <w:hyperlink r:id="rId39">
        <w:r w:rsidDel="00000000" w:rsidR="00000000" w:rsidRPr="00000000">
          <w:rPr>
            <w:rFonts w:ascii="Google Sans" w:cs="Google Sans" w:eastAsia="Google Sans" w:hAnsi="Google Sans"/>
            <w:color w:val="0000ee"/>
            <w:sz w:val="24"/>
            <w:szCs w:val="24"/>
            <w:u w:val="single"/>
            <w:rtl w:val="0"/>
          </w:rPr>
          <w:t xml:space="preserve">https://www.emergentmind.com/papers/2507.07505</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(LLM) cannot operate beyond a certain level of complexity : r/ArtificialInteligence - Reddit, accessed March 29, 2026, </w:t>
      </w:r>
      <w:hyperlink r:id="rId40">
        <w:r w:rsidDel="00000000" w:rsidR="00000000" w:rsidRPr="00000000">
          <w:rPr>
            <w:rFonts w:ascii="Google Sans" w:cs="Google Sans" w:eastAsia="Google Sans" w:hAnsi="Google Sans"/>
            <w:color w:val="0000ee"/>
            <w:sz w:val="24"/>
            <w:szCs w:val="24"/>
            <w:u w:val="single"/>
            <w:rtl w:val="0"/>
          </w:rPr>
          <w:t xml:space="preserve">https://www.reddit.com/r/ArtificialInteligence/comments/1qlrjw9/ai_llm_cannot_operate_beyond_a_certain_level_of/</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o3 and o4-mini - Hacker News, accessed March 29, 2026, </w:t>
      </w:r>
      <w:hyperlink r:id="rId41">
        <w:r w:rsidDel="00000000" w:rsidR="00000000" w:rsidRPr="00000000">
          <w:rPr>
            <w:rFonts w:ascii="Google Sans" w:cs="Google Sans" w:eastAsia="Google Sans" w:hAnsi="Google Sans"/>
            <w:color w:val="0000ee"/>
            <w:sz w:val="24"/>
            <w:szCs w:val="24"/>
            <w:u w:val="single"/>
            <w:rtl w:val="0"/>
          </w:rPr>
          <w:t xml:space="preserve">https://news.ycombinator.com/item?id=43707719</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Verifier Hierarchy - arXiv, accessed March 29, 2026, </w:t>
      </w:r>
      <w:hyperlink r:id="rId42">
        <w:r w:rsidDel="00000000" w:rsidR="00000000" w:rsidRPr="00000000">
          <w:rPr>
            <w:rFonts w:ascii="Google Sans" w:cs="Google Sans" w:eastAsia="Google Sans" w:hAnsi="Google Sans"/>
            <w:color w:val="0000ee"/>
            <w:sz w:val="24"/>
            <w:szCs w:val="24"/>
            <w:u w:val="single"/>
            <w:rtl w:val="0"/>
          </w:rPr>
          <w:t xml:space="preserve">https://arxiv.org/pdf/2507.23504</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Sikka Study Proves LLMs Fail Complex Tasks | Let's Data Science, accessed March 29, 2026, </w:t>
      </w:r>
      <w:hyperlink r:id="rId43">
        <w:r w:rsidDel="00000000" w:rsidR="00000000" w:rsidRPr="00000000">
          <w:rPr>
            <w:rFonts w:ascii="Google Sans" w:cs="Google Sans" w:eastAsia="Google Sans" w:hAnsi="Google Sans"/>
            <w:color w:val="0000ee"/>
            <w:sz w:val="24"/>
            <w:szCs w:val="24"/>
            <w:u w:val="single"/>
            <w:rtl w:val="0"/>
          </w:rPr>
          <w:t xml:space="preserve">https://letsdatascience.com/news/sikka-study-proves-llms-fail-complex-tasks-ca262055</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Hallucination is Inevitable: An Innate Limitation of Large Language Models - OpenReview, accessed March 29, 2026, </w:t>
      </w:r>
      <w:hyperlink r:id="rId44">
        <w:r w:rsidDel="00000000" w:rsidR="00000000" w:rsidRPr="00000000">
          <w:rPr>
            <w:rFonts w:ascii="Google Sans" w:cs="Google Sans" w:eastAsia="Google Sans" w:hAnsi="Google Sans"/>
            <w:color w:val="0000ee"/>
            <w:sz w:val="24"/>
            <w:szCs w:val="24"/>
            <w:u w:val="single"/>
            <w:rtl w:val="0"/>
          </w:rPr>
          <w:t xml:space="preserve">https://openreview.net/forum?id=09FxMv1WoH</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Hallucination is Inevitable: An Innate Limitation of Large Language Models - arXiv, accessed March 29, 2026, </w:t>
      </w:r>
      <w:hyperlink r:id="rId45">
        <w:r w:rsidDel="00000000" w:rsidR="00000000" w:rsidRPr="00000000">
          <w:rPr>
            <w:rFonts w:ascii="Google Sans" w:cs="Google Sans" w:eastAsia="Google Sans" w:hAnsi="Google Sans"/>
            <w:color w:val="0000ee"/>
            <w:sz w:val="24"/>
            <w:szCs w:val="24"/>
            <w:u w:val="single"/>
            <w:rtl w:val="0"/>
          </w:rPr>
          <w:t xml:space="preserve">https://arxiv.org/pdf/2401.11817</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Hallucination is Inevitable: An Innate Limitation of Large ... - arXiv, accessed March 29, 2026, </w:t>
      </w:r>
      <w:hyperlink r:id="rId46">
        <w:r w:rsidDel="00000000" w:rsidR="00000000" w:rsidRPr="00000000">
          <w:rPr>
            <w:rFonts w:ascii="Google Sans" w:cs="Google Sans" w:eastAsia="Google Sans" w:hAnsi="Google Sans"/>
            <w:color w:val="0000ee"/>
            <w:sz w:val="24"/>
            <w:szCs w:val="24"/>
            <w:u w:val="single"/>
            <w:rtl w:val="0"/>
          </w:rPr>
          <w:t xml:space="preserve">https://arxiv.org/abs/2401.11817</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Hallucination is Inevitable: An Innate Limitation of Large Language Models - arXiv, accessed March 29, 2026, </w:t>
      </w:r>
      <w:hyperlink r:id="rId47">
        <w:r w:rsidDel="00000000" w:rsidR="00000000" w:rsidRPr="00000000">
          <w:rPr>
            <w:rFonts w:ascii="Google Sans" w:cs="Google Sans" w:eastAsia="Google Sans" w:hAnsi="Google Sans"/>
            <w:color w:val="0000ee"/>
            <w:sz w:val="24"/>
            <w:szCs w:val="24"/>
            <w:u w:val="single"/>
            <w:rtl w:val="0"/>
          </w:rPr>
          <w:t xml:space="preserve">https://arxiv.org/html/2401.11817v2</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Hallucinations are inevitable but can be made statistically negligible., accessed March 29, 2026, </w:t>
      </w:r>
      <w:hyperlink r:id="rId48">
        <w:r w:rsidDel="00000000" w:rsidR="00000000" w:rsidRPr="00000000">
          <w:rPr>
            <w:rFonts w:ascii="Google Sans" w:cs="Google Sans" w:eastAsia="Google Sans" w:hAnsi="Google Sans"/>
            <w:color w:val="0000ee"/>
            <w:sz w:val="24"/>
            <w:szCs w:val="24"/>
            <w:u w:val="single"/>
            <w:rtl w:val="0"/>
          </w:rPr>
          <w:t xml:space="preserve">https://datascience.hku.hk/wp-content/uploads/2025/Workshop20250528/Atsushi-Suzuki_Slides.pdf</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Hallucination is Inevitable: An Innate Limitation of Large Language Models, accessed March 29, 2026, </w:t>
      </w:r>
      <w:hyperlink r:id="rId49">
        <w:r w:rsidDel="00000000" w:rsidR="00000000" w:rsidRPr="00000000">
          <w:rPr>
            <w:rFonts w:ascii="Google Sans" w:cs="Google Sans" w:eastAsia="Google Sans" w:hAnsi="Google Sans"/>
            <w:color w:val="0000ee"/>
            <w:sz w:val="24"/>
            <w:szCs w:val="24"/>
            <w:u w:val="single"/>
            <w:rtl w:val="0"/>
          </w:rPr>
          <w:t xml:space="preserve">https://www.semanticscholar.org/paper/Hallucination-is-Inevitable%3A-An-Innate-Limitation-Xu-Jain/5cd671efa2af8456c615c5faf54d1be4950f3819</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Logic Faces Hard Limits - AI CERTs News, accessed March 29, 2026, </w:t>
      </w:r>
      <w:hyperlink r:id="rId50">
        <w:r w:rsidDel="00000000" w:rsidR="00000000" w:rsidRPr="00000000">
          <w:rPr>
            <w:rFonts w:ascii="Google Sans" w:cs="Google Sans" w:eastAsia="Google Sans" w:hAnsi="Google Sans"/>
            <w:color w:val="0000ee"/>
            <w:sz w:val="24"/>
            <w:szCs w:val="24"/>
            <w:u w:val="single"/>
            <w:rtl w:val="0"/>
          </w:rPr>
          <w:t xml:space="preserve">https://www.aicerts.ai/news/agentic-logic-faces-hard-limits/</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 Daily Kos, accessed March 29, 2026, </w:t>
      </w:r>
      <w:hyperlink r:id="rId51">
        <w:r w:rsidDel="00000000" w:rsidR="00000000" w:rsidRPr="00000000">
          <w:rPr>
            <w:rFonts w:ascii="Google Sans" w:cs="Google Sans" w:eastAsia="Google Sans" w:hAnsi="Google Sans"/>
            <w:color w:val="0000ee"/>
            <w:sz w:val="24"/>
            <w:szCs w:val="24"/>
            <w:u w:val="single"/>
            <w:rtl w:val="0"/>
          </w:rPr>
          <w:t xml:space="preserve">https://www.dailykos.com/blogs/recent?page=98&amp;time=1737418865476</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Papers - AI Agent Engineering - Maxpool, accessed March 29, 2026, </w:t>
      </w:r>
      <w:hyperlink r:id="rId52">
        <w:r w:rsidDel="00000000" w:rsidR="00000000" w:rsidRPr="00000000">
          <w:rPr>
            <w:rFonts w:ascii="Google Sans" w:cs="Google Sans" w:eastAsia="Google Sans" w:hAnsi="Google Sans"/>
            <w:color w:val="0000ee"/>
            <w:sz w:val="24"/>
            <w:szCs w:val="24"/>
            <w:u w:val="single"/>
            <w:rtl w:val="0"/>
          </w:rPr>
          <w:t xml:space="preserve">https://maxpool.dev/research-papers/</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Sonar Claims Top Spot on SWE-bench leaderboard - Fidelity Investments, accessed March 29, 2026, </w:t>
      </w:r>
      <w:hyperlink r:id="rId53">
        <w:r w:rsidDel="00000000" w:rsidR="00000000" w:rsidRPr="00000000">
          <w:rPr>
            <w:rFonts w:ascii="Google Sans" w:cs="Google Sans" w:eastAsia="Google Sans" w:hAnsi="Google Sans"/>
            <w:color w:val="0000ee"/>
            <w:sz w:val="24"/>
            <w:szCs w:val="24"/>
            <w:u w:val="single"/>
            <w:rtl w:val="0"/>
          </w:rPr>
          <w:t xml:space="preserve">https://www.fidelity.com/news/article/technology/202603111235PR_NEWS_USPR_____LA08045</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Brain-Inspired Graph Multi-Agent Systems for LLM Reasoning - arXiv, accessed March 29, 2026, </w:t>
      </w:r>
      <w:hyperlink r:id="rId54">
        <w:r w:rsidDel="00000000" w:rsidR="00000000" w:rsidRPr="00000000">
          <w:rPr>
            <w:rFonts w:ascii="Google Sans" w:cs="Google Sans" w:eastAsia="Google Sans" w:hAnsi="Google Sans"/>
            <w:color w:val="0000ee"/>
            <w:sz w:val="24"/>
            <w:szCs w:val="24"/>
            <w:u w:val="single"/>
            <w:rtl w:val="0"/>
          </w:rPr>
          <w:t xml:space="preserve">https://arxiv.org/html/2603.15371v1</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Reasoning Collapse in Multi-Turn Agent Reinforcement Learning, accessed March 29, 2026, </w:t>
      </w:r>
      <w:hyperlink r:id="rId55">
        <w:r w:rsidDel="00000000" w:rsidR="00000000" w:rsidRPr="00000000">
          <w:rPr>
            <w:rFonts w:ascii="Google Sans" w:cs="Google Sans" w:eastAsia="Google Sans" w:hAnsi="Google Sans"/>
            <w:color w:val="0000ee"/>
            <w:sz w:val="24"/>
            <w:szCs w:val="24"/>
            <w:u w:val="single"/>
            <w:rtl w:val="0"/>
          </w:rPr>
          <w:t xml:space="preserve">https://openreview.net/forum?id=zGyzBzcOPm</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Vending-Bench: Testing long-term coherence in agents | Andon Labs, accessed March 29, 2026, </w:t>
      </w:r>
      <w:hyperlink r:id="rId56">
        <w:r w:rsidDel="00000000" w:rsidR="00000000" w:rsidRPr="00000000">
          <w:rPr>
            <w:rFonts w:ascii="Google Sans" w:cs="Google Sans" w:eastAsia="Google Sans" w:hAnsi="Google Sans"/>
            <w:color w:val="0000ee"/>
            <w:sz w:val="24"/>
            <w:szCs w:val="24"/>
            <w:u w:val="single"/>
            <w:rtl w:val="0"/>
          </w:rPr>
          <w:t xml:space="preserve">https://andonlabs.com/evals/vending-bench</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 vs Grok 4.1 vs ChatGPT 5.1: Complete Comparison - SentiSight.ai, accessed March 29, 2026, </w:t>
      </w:r>
      <w:hyperlink r:id="rId57">
        <w:r w:rsidDel="00000000" w:rsidR="00000000" w:rsidRPr="00000000">
          <w:rPr>
            <w:rFonts w:ascii="Google Sans" w:cs="Google Sans" w:eastAsia="Google Sans" w:hAnsi="Google Sans"/>
            <w:color w:val="0000ee"/>
            <w:sz w:val="24"/>
            <w:szCs w:val="24"/>
            <w:u w:val="single"/>
            <w:rtl w:val="0"/>
          </w:rPr>
          <w:t xml:space="preserve">https://www.sentisight.ai/gemini-3-vs-grok-4-1-vs-chatgpt-5-1/</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Chinese-made AI 'GLM-5' comparable to Gemini 3.0 Pro and GPT-5.2 has appeared, and it is possible to perform clerical work such as creating Word documents and freely download models - GIGAZINE, accessed March 29, 2026, </w:t>
      </w:r>
      <w:hyperlink r:id="rId58">
        <w:r w:rsidDel="00000000" w:rsidR="00000000" w:rsidRPr="00000000">
          <w:rPr>
            <w:rFonts w:ascii="Google Sans" w:cs="Google Sans" w:eastAsia="Google Sans" w:hAnsi="Google Sans"/>
            <w:color w:val="0000ee"/>
            <w:sz w:val="24"/>
            <w:szCs w:val="24"/>
            <w:u w:val="single"/>
            <w:rtl w:val="0"/>
          </w:rPr>
          <w:t xml:space="preserve">https://gigazine.net/gsc_news/en/20260212-z-ai-glm-5/</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Skills Had ONE Job (They Failed) - YouTube, accessed March 29, 2026, </w:t>
      </w:r>
      <w:hyperlink r:id="rId59">
        <w:r w:rsidDel="00000000" w:rsidR="00000000" w:rsidRPr="00000000">
          <w:rPr>
            <w:rFonts w:ascii="Google Sans" w:cs="Google Sans" w:eastAsia="Google Sans" w:hAnsi="Google Sans"/>
            <w:color w:val="0000ee"/>
            <w:sz w:val="24"/>
            <w:szCs w:val="24"/>
            <w:u w:val="single"/>
            <w:rtl w:val="0"/>
          </w:rPr>
          <w:t xml:space="preserve">https://www.youtube.com/watch?v=i0W90tlKfYg</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EcoGym: Evaluating LLMs for Long-Horizon Plan-and-Execute in Interactive Economies, accessed March 29, 2026, </w:t>
      </w:r>
      <w:hyperlink r:id="rId60">
        <w:r w:rsidDel="00000000" w:rsidR="00000000" w:rsidRPr="00000000">
          <w:rPr>
            <w:rFonts w:ascii="Google Sans" w:cs="Google Sans" w:eastAsia="Google Sans" w:hAnsi="Google Sans"/>
            <w:color w:val="0000ee"/>
            <w:sz w:val="24"/>
            <w:szCs w:val="24"/>
            <w:u w:val="single"/>
            <w:rtl w:val="0"/>
          </w:rPr>
          <w:t xml:space="preserve">https://arxiv.org/html/2602.09514v1</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EcoGym: Evaluating LLMs for Long-Horizon Plan-and-Execute in Interactive Economies, accessed March 29, 2026, </w:t>
      </w:r>
      <w:hyperlink r:id="rId61">
        <w:r w:rsidDel="00000000" w:rsidR="00000000" w:rsidRPr="00000000">
          <w:rPr>
            <w:rFonts w:ascii="Google Sans" w:cs="Google Sans" w:eastAsia="Google Sans" w:hAnsi="Google Sans"/>
            <w:color w:val="0000ee"/>
            <w:sz w:val="24"/>
            <w:szCs w:val="24"/>
            <w:u w:val="single"/>
            <w:rtl w:val="0"/>
          </w:rPr>
          <w:t xml:space="preserve">https://arxiv.org/html/2602.09514v2</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Sonar Claims Top Spot on SWE-bench leaderboard, accessed March 29, 2026, </w:t>
      </w:r>
      <w:hyperlink r:id="rId62">
        <w:r w:rsidDel="00000000" w:rsidR="00000000" w:rsidRPr="00000000">
          <w:rPr>
            <w:rFonts w:ascii="Google Sans" w:cs="Google Sans" w:eastAsia="Google Sans" w:hAnsi="Google Sans"/>
            <w:color w:val="0000ee"/>
            <w:sz w:val="24"/>
            <w:szCs w:val="24"/>
            <w:u w:val="single"/>
            <w:rtl w:val="0"/>
          </w:rPr>
          <w:t xml:space="preserve">https://www.sonarsource.com/company/press-releases/sonar-claims-top-spot-on-swe-bench-leaderboard/</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SWE-bench - Vals AI, accessed March 29, 2026, </w:t>
      </w:r>
      <w:hyperlink r:id="rId63">
        <w:r w:rsidDel="00000000" w:rsidR="00000000" w:rsidRPr="00000000">
          <w:rPr>
            <w:rFonts w:ascii="Google Sans" w:cs="Google Sans" w:eastAsia="Google Sans" w:hAnsi="Google Sans"/>
            <w:color w:val="0000ee"/>
            <w:sz w:val="24"/>
            <w:szCs w:val="24"/>
            <w:u w:val="single"/>
            <w:rtl w:val="0"/>
          </w:rPr>
          <w:t xml:space="preserve">https://www.vals.ai/benchmarks/swebench</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Tested 15 AI Coding Agents (2026). Only 3 Changed How We Ship. - Morph, accessed March 29, 2026, </w:t>
      </w:r>
      <w:hyperlink r:id="rId64">
        <w:r w:rsidDel="00000000" w:rsidR="00000000" w:rsidRPr="00000000">
          <w:rPr>
            <w:rFonts w:ascii="Google Sans" w:cs="Google Sans" w:eastAsia="Google Sans" w:hAnsi="Google Sans"/>
            <w:color w:val="0000ee"/>
            <w:sz w:val="24"/>
            <w:szCs w:val="24"/>
            <w:u w:val="single"/>
            <w:rtl w:val="0"/>
          </w:rPr>
          <w:t xml:space="preserve">https://morphllm.com/ai-coding-agent</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experimentation to enterprise capability: the defining AI consulting trends shaping 2026 - YTC, accessed March 29, 2026, </w:t>
      </w:r>
      <w:hyperlink r:id="rId65">
        <w:r w:rsidDel="00000000" w:rsidR="00000000" w:rsidRPr="00000000">
          <w:rPr>
            <w:rFonts w:ascii="Google Sans" w:cs="Google Sans" w:eastAsia="Google Sans" w:hAnsi="Google Sans"/>
            <w:color w:val="0000ee"/>
            <w:sz w:val="24"/>
            <w:szCs w:val="24"/>
            <w:u w:val="single"/>
            <w:rtl w:val="0"/>
          </w:rPr>
          <w:t xml:space="preserve">https://www.ytc.company/blog/from-experimentation-to-enterprise-capability-the-defining-ai-consulting-trends-shaping-2026</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Fundamental Limits of LLMs at Scale - arXiv, accessed March 29, 2026, </w:t>
      </w:r>
      <w:hyperlink r:id="rId66">
        <w:r w:rsidDel="00000000" w:rsidR="00000000" w:rsidRPr="00000000">
          <w:rPr>
            <w:rFonts w:ascii="Google Sans" w:cs="Google Sans" w:eastAsia="Google Sans" w:hAnsi="Google Sans"/>
            <w:color w:val="0000ee"/>
            <w:sz w:val="24"/>
            <w:szCs w:val="24"/>
            <w:u w:val="single"/>
            <w:rtl w:val="0"/>
          </w:rPr>
          <w:t xml:space="preserve">https://arxiv.org/html/2511.12869v2</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GPT Development Guide 2026: Build Autonomous Agents - Fullestop, accessed March 29, 2026, </w:t>
      </w:r>
      <w:hyperlink r:id="rId67">
        <w:r w:rsidDel="00000000" w:rsidR="00000000" w:rsidRPr="00000000">
          <w:rPr>
            <w:rFonts w:ascii="Google Sans" w:cs="Google Sans" w:eastAsia="Google Sans" w:hAnsi="Google Sans"/>
            <w:color w:val="0000ee"/>
            <w:sz w:val="24"/>
            <w:szCs w:val="24"/>
            <w:u w:val="single"/>
            <w:rtl w:val="0"/>
          </w:rPr>
          <w:t xml:space="preserve">https://www.fullestop.com/blog/how-to-create-a-gpt-model-a-step-by-step-guide</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Leading in the Age of AI Agents: Managing the Machines That Manage Themselves, accessed March 29, 2026, </w:t>
      </w:r>
      <w:hyperlink r:id="rId68">
        <w:r w:rsidDel="00000000" w:rsidR="00000000" w:rsidRPr="00000000">
          <w:rPr>
            <w:rFonts w:ascii="Google Sans" w:cs="Google Sans" w:eastAsia="Google Sans" w:hAnsi="Google Sans"/>
            <w:color w:val="0000ee"/>
            <w:sz w:val="24"/>
            <w:szCs w:val="24"/>
            <w:u w:val="single"/>
            <w:rtl w:val="0"/>
          </w:rPr>
          <w:t xml:space="preserve">https://www.bcg.com/publications/2025/machines-that-manage-themselves</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Risks: A 2026 Guide - Strata.io, accessed March 29, 2026, </w:t>
      </w:r>
      <w:hyperlink r:id="rId69">
        <w:r w:rsidDel="00000000" w:rsidR="00000000" w:rsidRPr="00000000">
          <w:rPr>
            <w:rFonts w:ascii="Google Sans" w:cs="Google Sans" w:eastAsia="Google Sans" w:hAnsi="Google Sans"/>
            <w:color w:val="0000ee"/>
            <w:sz w:val="24"/>
            <w:szCs w:val="24"/>
            <w:u w:val="single"/>
            <w:rtl w:val="0"/>
          </w:rPr>
          <w:t xml:space="preserve">https://www.strata.io/blog/agentic-identity/a-guide-to-agentic-ai-risks-in-2026/</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2026 Agentic AI Governance Crisis: Preventing the Predicted 40% Enterprise Failures, accessed March 29, 2026, </w:t>
      </w:r>
      <w:hyperlink r:id="rId70">
        <w:r w:rsidDel="00000000" w:rsidR="00000000" w:rsidRPr="00000000">
          <w:rPr>
            <w:rFonts w:ascii="Google Sans" w:cs="Google Sans" w:eastAsia="Google Sans" w:hAnsi="Google Sans"/>
            <w:color w:val="0000ee"/>
            <w:sz w:val="24"/>
            <w:szCs w:val="24"/>
            <w:u w:val="single"/>
            <w:rtl w:val="0"/>
          </w:rPr>
          <w:t xml:space="preserve">https://www.accelirate.com/agentic-ai-governance-crisis/</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Enterprise-grade Agentic AI: Secure, Governed, and Sovereign by Design - Atos, accessed March 29, 2026, </w:t>
      </w:r>
      <w:hyperlink r:id="rId71">
        <w:r w:rsidDel="00000000" w:rsidR="00000000" w:rsidRPr="00000000">
          <w:rPr>
            <w:rFonts w:ascii="Google Sans" w:cs="Google Sans" w:eastAsia="Google Sans" w:hAnsi="Google Sans"/>
            <w:color w:val="0000ee"/>
            <w:sz w:val="24"/>
            <w:szCs w:val="24"/>
            <w:u w:val="single"/>
            <w:rtl w:val="0"/>
          </w:rPr>
          <w:t xml:space="preserve">https://atos.net/wp-content/uploads/2026/03/atos-agentic-ai-whitepaper.pdf</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Is Transforming the Consulting Industry in 2026 | Whitehat SEO, accessed March 29, 2026, </w:t>
      </w:r>
      <w:hyperlink r:id="rId72">
        <w:r w:rsidDel="00000000" w:rsidR="00000000" w:rsidRPr="00000000">
          <w:rPr>
            <w:rFonts w:ascii="Google Sans" w:cs="Google Sans" w:eastAsia="Google Sans" w:hAnsi="Google Sans"/>
            <w:color w:val="0000ee"/>
            <w:sz w:val="24"/>
            <w:szCs w:val="24"/>
            <w:u w:val="single"/>
            <w:rtl w:val="0"/>
          </w:rPr>
          <w:t xml:space="preserve">https://whitehat-seo.co.uk/blog/ai-impact-on-consulting</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Gems with Google Docs | Towards AI, accessed March 29, 2026, </w:t>
      </w:r>
      <w:hyperlink r:id="rId73">
        <w:r w:rsidDel="00000000" w:rsidR="00000000" w:rsidRPr="00000000">
          <w:rPr>
            <w:rFonts w:ascii="Google Sans" w:cs="Google Sans" w:eastAsia="Google Sans" w:hAnsi="Google Sans"/>
            <w:color w:val="0000ee"/>
            <w:sz w:val="24"/>
            <w:szCs w:val="24"/>
            <w:u w:val="single"/>
            <w:rtl w:val="0"/>
          </w:rPr>
          <w:t xml:space="preserve">https://towardsai.net/p/machine-learning/making-gems-with-google-docs</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best practices to write instructions for a Gemini Gem? : r/GeminiAI - Reddit, accessed March 29, 2026, </w:t>
      </w:r>
      <w:hyperlink r:id="rId74">
        <w:r w:rsidDel="00000000" w:rsidR="00000000" w:rsidRPr="00000000">
          <w:rPr>
            <w:rFonts w:ascii="Google Sans" w:cs="Google Sans" w:eastAsia="Google Sans" w:hAnsi="Google Sans"/>
            <w:color w:val="0000ee"/>
            <w:sz w:val="24"/>
            <w:szCs w:val="24"/>
            <w:u w:val="single"/>
            <w:rtl w:val="0"/>
          </w:rPr>
          <w:t xml:space="preserve">https://www.reddit.com/r/GeminiAI/comments/1qdhen8/what_are_the_best_practices_to_write_instructions/</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beginner's guide to Google Gemini Gems - Computerworld, accessed March 29, 2026, </w:t>
      </w:r>
      <w:hyperlink r:id="rId75">
        <w:r w:rsidDel="00000000" w:rsidR="00000000" w:rsidRPr="00000000">
          <w:rPr>
            <w:rFonts w:ascii="Google Sans" w:cs="Google Sans" w:eastAsia="Google Sans" w:hAnsi="Google Sans"/>
            <w:color w:val="0000ee"/>
            <w:sz w:val="24"/>
            <w:szCs w:val="24"/>
            <w:u w:val="single"/>
            <w:rtl w:val="0"/>
          </w:rPr>
          <w:t xml:space="preserve">https://www.computerworld.com/article/4054876/a-beginners-guide-to-google-gemini-gems.html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ArtificialInteligence/comments/1qlrjw9/ai_llm_cannot_operate_beyond_a_certain_level_of/" TargetMode="External"/><Relationship Id="rId42" Type="http://schemas.openxmlformats.org/officeDocument/2006/relationships/hyperlink" Target="https://arxiv.org/pdf/2507.23504" TargetMode="External"/><Relationship Id="rId41" Type="http://schemas.openxmlformats.org/officeDocument/2006/relationships/hyperlink" Target="https://news.ycombinator.com/item?id=43707719" TargetMode="External"/><Relationship Id="rId44" Type="http://schemas.openxmlformats.org/officeDocument/2006/relationships/hyperlink" Target="https://openreview.net/forum?id=09FxMv1WoH" TargetMode="External"/><Relationship Id="rId43" Type="http://schemas.openxmlformats.org/officeDocument/2006/relationships/hyperlink" Target="https://letsdatascience.com/news/sikka-study-proves-llms-fail-complex-tasks-ca262055" TargetMode="External"/><Relationship Id="rId46" Type="http://schemas.openxmlformats.org/officeDocument/2006/relationships/hyperlink" Target="https://arxiv.org/abs/2401.11817" TargetMode="External"/><Relationship Id="rId45" Type="http://schemas.openxmlformats.org/officeDocument/2006/relationships/hyperlink" Target="https://arxiv.org/pdf/2401.118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hyperlink" Target="https://datascience.hku.hk/wp-content/uploads/2025/Workshop20250528/Atsushi-Suzuki_Slides.pdf" TargetMode="External"/><Relationship Id="rId47" Type="http://schemas.openxmlformats.org/officeDocument/2006/relationships/hyperlink" Target="https://arxiv.org/html/2401.11817v2" TargetMode="External"/><Relationship Id="rId49" Type="http://schemas.openxmlformats.org/officeDocument/2006/relationships/hyperlink" Target="https://www.semanticscholar.org/paper/Hallucination-is-Inevitable%3A-An-Innate-Limitation-Xu-Jain/5cd671efa2af8456c615c5faf54d1be4950f3819"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6.png"/><Relationship Id="rId8" Type="http://schemas.openxmlformats.org/officeDocument/2006/relationships/image" Target="media/image23.png"/><Relationship Id="rId73" Type="http://schemas.openxmlformats.org/officeDocument/2006/relationships/hyperlink" Target="https://towardsai.net/p/machine-learning/making-gems-with-google-docs" TargetMode="External"/><Relationship Id="rId72" Type="http://schemas.openxmlformats.org/officeDocument/2006/relationships/hyperlink" Target="https://whitehat-seo.co.uk/blog/ai-impact-on-consulting" TargetMode="External"/><Relationship Id="rId31" Type="http://schemas.openxmlformats.org/officeDocument/2006/relationships/hyperlink" Target="https://www.alphaxiv.org/overview/2507.07505v1" TargetMode="External"/><Relationship Id="rId75" Type="http://schemas.openxmlformats.org/officeDocument/2006/relationships/hyperlink" Target="https://www.computerworld.com/article/4054876/a-beginners-guide-to-google-gemini-gems.html" TargetMode="External"/><Relationship Id="rId30" Type="http://schemas.openxmlformats.org/officeDocument/2006/relationships/hyperlink" Target="https://cyntexa.com/blog/agentic-ai-statistics/" TargetMode="External"/><Relationship Id="rId74" Type="http://schemas.openxmlformats.org/officeDocument/2006/relationships/hyperlink" Target="https://www.reddit.com/r/GeminiAI/comments/1qdhen8/what_are_the_best_practices_to_write_instructions/" TargetMode="External"/><Relationship Id="rId33" Type="http://schemas.openxmlformats.org/officeDocument/2006/relationships/hyperlink" Target="https://arxiv.org/pdf/2507.07505" TargetMode="External"/><Relationship Id="rId32" Type="http://schemas.openxmlformats.org/officeDocument/2006/relationships/hyperlink" Target="https://www.youtube.com/watch?v=AIYQp1n51ZI" TargetMode="External"/><Relationship Id="rId35" Type="http://schemas.openxmlformats.org/officeDocument/2006/relationships/hyperlink" Target="https://openreview.net/forum?id=jGcBIvOrqc" TargetMode="External"/><Relationship Id="rId34" Type="http://schemas.openxmlformats.org/officeDocument/2006/relationships/hyperlink" Target="https://andonlabs.com/evals/vending-bench-2" TargetMode="External"/><Relationship Id="rId71" Type="http://schemas.openxmlformats.org/officeDocument/2006/relationships/hyperlink" Target="https://atos.net/wp-content/uploads/2026/03/atos-agentic-ai-whitepaper.pdf" TargetMode="External"/><Relationship Id="rId70" Type="http://schemas.openxmlformats.org/officeDocument/2006/relationships/hyperlink" Target="https://www.accelirate.com/agentic-ai-governance-crisis/" TargetMode="External"/><Relationship Id="rId37" Type="http://schemas.openxmlformats.org/officeDocument/2006/relationships/hyperlink" Target="https://arxiv.org/html/2509.22256v4" TargetMode="External"/><Relationship Id="rId36" Type="http://schemas.openxmlformats.org/officeDocument/2006/relationships/hyperlink" Target="https://www.theregister.com/2026/02/07/ai_companion_bots_vishal_sikka_interview/" TargetMode="External"/><Relationship Id="rId39" Type="http://schemas.openxmlformats.org/officeDocument/2006/relationships/hyperlink" Target="https://www.emergentmind.com/papers/2507.07505" TargetMode="External"/><Relationship Id="rId38" Type="http://schemas.openxmlformats.org/officeDocument/2006/relationships/hyperlink" Target="https://chatpaper.com/paper/162895" TargetMode="External"/><Relationship Id="rId62" Type="http://schemas.openxmlformats.org/officeDocument/2006/relationships/hyperlink" Target="https://www.sonarsource.com/company/press-releases/sonar-claims-top-spot-on-swe-bench-leaderboard/" TargetMode="External"/><Relationship Id="rId61" Type="http://schemas.openxmlformats.org/officeDocument/2006/relationships/hyperlink" Target="https://arxiv.org/html/2602.09514v2" TargetMode="External"/><Relationship Id="rId20" Type="http://schemas.openxmlformats.org/officeDocument/2006/relationships/image" Target="media/image15.png"/><Relationship Id="rId64" Type="http://schemas.openxmlformats.org/officeDocument/2006/relationships/hyperlink" Target="https://morphllm.com/ai-coding-agent" TargetMode="External"/><Relationship Id="rId63" Type="http://schemas.openxmlformats.org/officeDocument/2006/relationships/hyperlink" Target="https://www.vals.ai/benchmarks/swebench" TargetMode="External"/><Relationship Id="rId22" Type="http://schemas.openxmlformats.org/officeDocument/2006/relationships/image" Target="media/image12.png"/><Relationship Id="rId66" Type="http://schemas.openxmlformats.org/officeDocument/2006/relationships/hyperlink" Target="https://arxiv.org/html/2511.12869v2" TargetMode="External"/><Relationship Id="rId21" Type="http://schemas.openxmlformats.org/officeDocument/2006/relationships/image" Target="media/image6.png"/><Relationship Id="rId65" Type="http://schemas.openxmlformats.org/officeDocument/2006/relationships/hyperlink" Target="https://www.ytc.company/blog/from-experimentation-to-enterprise-capability-the-defining-ai-consulting-trends-shaping-2026" TargetMode="External"/><Relationship Id="rId24" Type="http://schemas.openxmlformats.org/officeDocument/2006/relationships/image" Target="media/image10.png"/><Relationship Id="rId68" Type="http://schemas.openxmlformats.org/officeDocument/2006/relationships/hyperlink" Target="https://www.bcg.com/publications/2025/machines-that-manage-themselves" TargetMode="External"/><Relationship Id="rId23" Type="http://schemas.openxmlformats.org/officeDocument/2006/relationships/image" Target="media/image3.png"/><Relationship Id="rId67" Type="http://schemas.openxmlformats.org/officeDocument/2006/relationships/hyperlink" Target="https://www.fullestop.com/blog/how-to-create-a-gpt-model-a-step-by-step-guide" TargetMode="External"/><Relationship Id="rId60" Type="http://schemas.openxmlformats.org/officeDocument/2006/relationships/hyperlink" Target="https://arxiv.org/html/2602.09514v1" TargetMode="External"/><Relationship Id="rId26" Type="http://schemas.openxmlformats.org/officeDocument/2006/relationships/image" Target="media/image8.png"/><Relationship Id="rId25" Type="http://schemas.openxmlformats.org/officeDocument/2006/relationships/image" Target="media/image9.png"/><Relationship Id="rId69" Type="http://schemas.openxmlformats.org/officeDocument/2006/relationships/hyperlink" Target="https://www.strata.io/blog/agentic-identity/a-guide-to-agentic-ai-risks-in-2026/" TargetMode="External"/><Relationship Id="rId28" Type="http://schemas.openxmlformats.org/officeDocument/2006/relationships/image" Target="media/image4.png"/><Relationship Id="rId27" Type="http://schemas.openxmlformats.org/officeDocument/2006/relationships/image" Target="media/image1.png"/><Relationship Id="rId29" Type="http://schemas.openxmlformats.org/officeDocument/2006/relationships/hyperlink" Target="https://o-mega.ai/articles/paperclip-ai-agent-companies-and-the-multi-agent-landscape" TargetMode="External"/><Relationship Id="rId51" Type="http://schemas.openxmlformats.org/officeDocument/2006/relationships/hyperlink" Target="https://www.dailykos.com/blogs/recent?page=98&amp;time=1737418865476" TargetMode="External"/><Relationship Id="rId50" Type="http://schemas.openxmlformats.org/officeDocument/2006/relationships/hyperlink" Target="https://www.aicerts.ai/news/agentic-logic-faces-hard-limits/" TargetMode="External"/><Relationship Id="rId53" Type="http://schemas.openxmlformats.org/officeDocument/2006/relationships/hyperlink" Target="https://www.fidelity.com/news/article/technology/202603111235PR_NEWS_USPR_____LA08045" TargetMode="External"/><Relationship Id="rId52" Type="http://schemas.openxmlformats.org/officeDocument/2006/relationships/hyperlink" Target="https://maxpool.dev/research-papers/" TargetMode="External"/><Relationship Id="rId11" Type="http://schemas.openxmlformats.org/officeDocument/2006/relationships/image" Target="media/image20.png"/><Relationship Id="rId55" Type="http://schemas.openxmlformats.org/officeDocument/2006/relationships/hyperlink" Target="https://openreview.net/forum?id=zGyzBzcOPm" TargetMode="External"/><Relationship Id="rId10" Type="http://schemas.openxmlformats.org/officeDocument/2006/relationships/image" Target="media/image17.png"/><Relationship Id="rId54" Type="http://schemas.openxmlformats.org/officeDocument/2006/relationships/hyperlink" Target="https://arxiv.org/html/2603.15371v1" TargetMode="External"/><Relationship Id="rId13" Type="http://schemas.openxmlformats.org/officeDocument/2006/relationships/image" Target="media/image5.png"/><Relationship Id="rId57" Type="http://schemas.openxmlformats.org/officeDocument/2006/relationships/hyperlink" Target="https://www.sentisight.ai/gemini-3-vs-grok-4-1-vs-chatgpt-5-1/" TargetMode="External"/><Relationship Id="rId12" Type="http://schemas.openxmlformats.org/officeDocument/2006/relationships/image" Target="media/image22.png"/><Relationship Id="rId56" Type="http://schemas.openxmlformats.org/officeDocument/2006/relationships/hyperlink" Target="https://andonlabs.com/evals/vending-bench" TargetMode="External"/><Relationship Id="rId15" Type="http://schemas.openxmlformats.org/officeDocument/2006/relationships/image" Target="media/image11.png"/><Relationship Id="rId59" Type="http://schemas.openxmlformats.org/officeDocument/2006/relationships/hyperlink" Target="https://www.youtube.com/watch?v=i0W90tlKfYg" TargetMode="External"/><Relationship Id="rId14" Type="http://schemas.openxmlformats.org/officeDocument/2006/relationships/image" Target="media/image18.png"/><Relationship Id="rId58" Type="http://schemas.openxmlformats.org/officeDocument/2006/relationships/hyperlink" Target="https://gigazine.net/gsc_news/en/20260212-z-ai-glm-5/" TargetMode="External"/><Relationship Id="rId17" Type="http://schemas.openxmlformats.org/officeDocument/2006/relationships/image" Target="media/image14.png"/><Relationship Id="rId16" Type="http://schemas.openxmlformats.org/officeDocument/2006/relationships/image" Target="media/image13.png"/><Relationship Id="rId19" Type="http://schemas.openxmlformats.org/officeDocument/2006/relationships/image" Target="media/image19.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