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D0" w:rsidRDefault="003423B0" w:rsidP="00BE0B71">
      <w:pPr>
        <w:pStyle w:val="Heading1"/>
      </w:pPr>
      <w:r>
        <w:t>Purpose</w:t>
      </w:r>
      <w:r w:rsidR="0081588B">
        <w:t xml:space="preserve"> and background</w:t>
      </w:r>
    </w:p>
    <w:p w:rsidR="003460D0" w:rsidRDefault="00351301" w:rsidP="0081588B">
      <w:pPr>
        <w:pStyle w:val="BodyText"/>
      </w:pPr>
      <w:r>
        <w:t xml:space="preserve">The </w:t>
      </w:r>
      <w:r w:rsidR="006F436A">
        <w:t>company</w:t>
      </w:r>
      <w:r>
        <w:t xml:space="preserve"> is releasing a report </w:t>
      </w:r>
      <w:r w:rsidR="006C069F">
        <w:t xml:space="preserve">titled </w:t>
      </w:r>
      <w:r w:rsidR="0081588B">
        <w:t xml:space="preserve">‘Australia's 2030 climate change emissions reduction target – abatement potential’. The report </w:t>
      </w:r>
      <w:r>
        <w:t>outlines</w:t>
      </w:r>
      <w:r w:rsidR="0081588B">
        <w:t xml:space="preserve"> the potential paths Australia can take to reduce </w:t>
      </w:r>
      <w:r>
        <w:t xml:space="preserve">our national greenhouse gas </w:t>
      </w:r>
      <w:r w:rsidR="0081588B" w:rsidRPr="0081588B">
        <w:t>emissions by 26 to 28 percent below 2005 levels by 2030</w:t>
      </w:r>
      <w:r w:rsidR="0081588B">
        <w:t xml:space="preserve">. In this report </w:t>
      </w:r>
      <w:r w:rsidR="00192F64">
        <w:t>we</w:t>
      </w:r>
      <w:r w:rsidR="0081588B">
        <w:t xml:space="preserve"> considered over 70 </w:t>
      </w:r>
      <w:r>
        <w:t>emissions reduction</w:t>
      </w:r>
      <w:r w:rsidR="0081588B">
        <w:t xml:space="preserve"> measures </w:t>
      </w:r>
      <w:r w:rsidR="00C059CD">
        <w:t xml:space="preserve">(abatement) </w:t>
      </w:r>
      <w:r w:rsidR="0081588B">
        <w:t xml:space="preserve">that could be </w:t>
      </w:r>
      <w:r>
        <w:t>pursued</w:t>
      </w:r>
      <w:r w:rsidR="0081588B">
        <w:t>.</w:t>
      </w:r>
    </w:p>
    <w:p w:rsidR="00351301" w:rsidRDefault="00351301" w:rsidP="0081588B">
      <w:pPr>
        <w:pStyle w:val="BodyText"/>
      </w:pPr>
      <w:r>
        <w:t xml:space="preserve">As part of a communications campaign to promote the report out to </w:t>
      </w:r>
      <w:r w:rsidR="00A5391D">
        <w:t>industry</w:t>
      </w:r>
      <w:r>
        <w:t xml:space="preserve">, the media and commentators, </w:t>
      </w:r>
      <w:r w:rsidR="00B0737C">
        <w:t>we</w:t>
      </w:r>
      <w:r>
        <w:t xml:space="preserve"> seek to </w:t>
      </w:r>
      <w:r w:rsidR="00A5391D">
        <w:t>creat</w:t>
      </w:r>
      <w:r>
        <w:t>e</w:t>
      </w:r>
      <w:r w:rsidR="00A5391D">
        <w:t xml:space="preserve"> an interactive </w:t>
      </w:r>
      <w:r>
        <w:t>graphic showing the emissions reduction challenge and the contribution different measures can have according to the year in which they are implemented in the lead up to 2030</w:t>
      </w:r>
      <w:r w:rsidR="00A5391D">
        <w:t xml:space="preserve">. </w:t>
      </w:r>
    </w:p>
    <w:p w:rsidR="0081588B" w:rsidRDefault="006E4501" w:rsidP="0081588B">
      <w:pPr>
        <w:pStyle w:val="BodyText"/>
      </w:pPr>
      <w:r>
        <w:t>We</w:t>
      </w:r>
      <w:r w:rsidR="00351301">
        <w:t xml:space="preserve"> </w:t>
      </w:r>
      <w:r>
        <w:t>are</w:t>
      </w:r>
      <w:r w:rsidR="00351301">
        <w:t xml:space="preserve"> arguably Australia’s leaders in emissions forecasting and in understanding the commercial realities that determine the success or otherwise of different policy settings.  We would like a graphic that reflects this leadership position and attracts and engages the </w:t>
      </w:r>
      <w:r w:rsidR="001E6B89">
        <w:t>attention of a wide audience.</w:t>
      </w:r>
    </w:p>
    <w:p w:rsidR="00BE0B71" w:rsidRDefault="00BE0B71" w:rsidP="00BE0B71">
      <w:pPr>
        <w:pStyle w:val="Heading1"/>
      </w:pPr>
      <w:r>
        <w:t>Specifications</w:t>
      </w:r>
    </w:p>
    <w:p w:rsidR="003460D0" w:rsidRDefault="00BE0B71" w:rsidP="00BE0B71">
      <w:pPr>
        <w:pStyle w:val="Heading2"/>
      </w:pPr>
      <w:r>
        <w:t>Architecture</w:t>
      </w:r>
    </w:p>
    <w:p w:rsidR="00BE0B71" w:rsidRDefault="00BE0B71" w:rsidP="00BE0B71">
      <w:pPr>
        <w:pStyle w:val="ListBullet"/>
      </w:pPr>
      <w:r>
        <w:t>The graph should be constructed in HTML (not Flash) and work on the following devices and browsers:</w:t>
      </w:r>
    </w:p>
    <w:p w:rsidR="00BE0B71" w:rsidRDefault="00BE0B71" w:rsidP="00BE0B71">
      <w:pPr>
        <w:pStyle w:val="ListBullet2"/>
      </w:pPr>
      <w:r>
        <w:t>Chrome on Windows, Mac and iOS and Android</w:t>
      </w:r>
    </w:p>
    <w:p w:rsidR="00BE0B71" w:rsidRDefault="00BE0B71" w:rsidP="00BE0B71">
      <w:pPr>
        <w:pStyle w:val="ListBullet2"/>
      </w:pPr>
      <w:r>
        <w:t>Safari on Mac, iPad and iPhone</w:t>
      </w:r>
    </w:p>
    <w:p w:rsidR="00BE0B71" w:rsidRDefault="00BE0B71" w:rsidP="00BE0B71">
      <w:pPr>
        <w:pStyle w:val="ListBullet2"/>
      </w:pPr>
      <w:r>
        <w:t>IE10 and IE 11 on Windows</w:t>
      </w:r>
    </w:p>
    <w:p w:rsidR="00BE0B71" w:rsidRDefault="00BE0B71" w:rsidP="00BE0B71">
      <w:pPr>
        <w:pStyle w:val="ListBullet2"/>
      </w:pPr>
      <w:r>
        <w:t>Firefox on Windows, Mac and iOS and Android</w:t>
      </w:r>
    </w:p>
    <w:p w:rsidR="00BE0B71" w:rsidRDefault="00BE0B71" w:rsidP="00BE0B71">
      <w:pPr>
        <w:pStyle w:val="ListBullet"/>
      </w:pPr>
      <w:r>
        <w:t>The graph should be responsive if possible</w:t>
      </w:r>
      <w:r w:rsidR="00B344AF">
        <w:t>.</w:t>
      </w:r>
    </w:p>
    <w:p w:rsidR="00BE0B71" w:rsidRDefault="00BE0B71" w:rsidP="00BE0B71">
      <w:pPr>
        <w:pStyle w:val="ListBullet"/>
      </w:pPr>
      <w:r>
        <w:t>The graph should be able to be embedded in other page.  We should be able to provide news agencies with HTML code to embed the graph into their pages.</w:t>
      </w:r>
    </w:p>
    <w:p w:rsidR="00B344AF" w:rsidRDefault="00B344AF" w:rsidP="00BE0B71">
      <w:pPr>
        <w:pStyle w:val="ListBullet"/>
      </w:pPr>
      <w:r>
        <w:t>If possible, end users should not be able to access the raw data behind the graph.</w:t>
      </w:r>
    </w:p>
    <w:p w:rsidR="00BE0B71" w:rsidRDefault="00BE0B71" w:rsidP="00BE0B71">
      <w:pPr>
        <w:pStyle w:val="Heading2"/>
      </w:pPr>
      <w:r>
        <w:t>Design</w:t>
      </w:r>
    </w:p>
    <w:p w:rsidR="00BE0B71" w:rsidRDefault="00BE0B71" w:rsidP="00BE0B71">
      <w:pPr>
        <w:pStyle w:val="ListBullet"/>
      </w:pPr>
      <w:r>
        <w:t>The graph should feature an X axis with time in years and a Y axis with emissions in GtCO</w:t>
      </w:r>
      <w:r w:rsidRPr="00A5391D">
        <w:rPr>
          <w:vertAlign w:val="subscript"/>
        </w:rPr>
        <w:t>2</w:t>
      </w:r>
      <w:r>
        <w:rPr>
          <w:vertAlign w:val="subscript"/>
        </w:rPr>
        <w:t>-e</w:t>
      </w:r>
    </w:p>
    <w:p w:rsidR="00BE0B71" w:rsidRDefault="00334DA0" w:rsidP="00BE0B71">
      <w:pPr>
        <w:pStyle w:val="ListBullet"/>
      </w:pPr>
      <w:r>
        <w:t>There</w:t>
      </w:r>
      <w:r w:rsidR="00B96913">
        <w:t xml:space="preserve"> will be 4 </w:t>
      </w:r>
      <w:r>
        <w:t>static plots.</w:t>
      </w:r>
    </w:p>
    <w:p w:rsidR="00B96913" w:rsidRDefault="00B96913" w:rsidP="00B96913">
      <w:pPr>
        <w:pStyle w:val="ListBullet2"/>
      </w:pPr>
      <w:r>
        <w:t>The current emissions growth path if nothing is done (referred to as “business as usual” or BAU)</w:t>
      </w:r>
    </w:p>
    <w:p w:rsidR="00334DA0" w:rsidRDefault="00334DA0" w:rsidP="00334DA0">
      <w:pPr>
        <w:pStyle w:val="ListBullet2"/>
      </w:pPr>
      <w:r>
        <w:t>Australia’s goal to reduce emissions</w:t>
      </w:r>
      <w:r w:rsidR="00B96913">
        <w:t xml:space="preserve">. There will be three target values with a checkbox whereby the user can hide or show any of them. </w:t>
      </w:r>
    </w:p>
    <w:p w:rsidR="00334DA0" w:rsidRDefault="00B96913" w:rsidP="00BE0B71">
      <w:pPr>
        <w:pStyle w:val="ListBullet"/>
      </w:pPr>
      <w:r>
        <w:t>The final</w:t>
      </w:r>
      <w:r w:rsidR="00334DA0">
        <w:t xml:space="preserve"> plot will show the Australia emissions with different “</w:t>
      </w:r>
      <w:r w:rsidR="00334DA0" w:rsidRPr="00334DA0">
        <w:t>abatement measure</w:t>
      </w:r>
      <w:r w:rsidR="00334DA0">
        <w:t>s” selected.</w:t>
      </w:r>
      <w:r w:rsidR="00B344AF">
        <w:t xml:space="preserve">  Each abatement measure will reduce the BAU level of emissions.</w:t>
      </w:r>
      <w:r>
        <w:t xml:space="preserve"> This </w:t>
      </w:r>
      <w:r w:rsidR="00334DA0">
        <w:t>plot will initially be the same as the BAU plot, but will be reduced as abatement measures are selected.</w:t>
      </w:r>
    </w:p>
    <w:p w:rsidR="00334DA0" w:rsidRDefault="00334DA0" w:rsidP="00BE0B71">
      <w:pPr>
        <w:pStyle w:val="ListBullet"/>
      </w:pPr>
      <w:r>
        <w:lastRenderedPageBreak/>
        <w:t>The design must include:</w:t>
      </w:r>
    </w:p>
    <w:p w:rsidR="00334DA0" w:rsidRDefault="00B71565" w:rsidP="00334DA0">
      <w:pPr>
        <w:pStyle w:val="ListBullet2"/>
      </w:pPr>
      <w:r>
        <w:t>The five</w:t>
      </w:r>
      <w:r w:rsidR="00334DA0">
        <w:t xml:space="preserve"> line plots – “Australia’s Target”</w:t>
      </w:r>
      <w:r>
        <w:t xml:space="preserve"> (28%, 50%, 80%)</w:t>
      </w:r>
      <w:r w:rsidR="00334DA0">
        <w:t>, “BAU” and “BAU with abatement measures”</w:t>
      </w:r>
    </w:p>
    <w:p w:rsidR="00334DA0" w:rsidRDefault="00334DA0" w:rsidP="00334DA0">
      <w:pPr>
        <w:pStyle w:val="ListBullet2"/>
      </w:pPr>
      <w:r>
        <w:t>A way of selecting abatement measures</w:t>
      </w:r>
    </w:p>
    <w:p w:rsidR="00334DA0" w:rsidRDefault="00334DA0" w:rsidP="00334DA0">
      <w:pPr>
        <w:pStyle w:val="ListBullet2"/>
      </w:pPr>
      <w:r>
        <w:t xml:space="preserve">A way of selecting the year of </w:t>
      </w:r>
      <w:r w:rsidR="00FC7D2E">
        <w:t>commencement</w:t>
      </w:r>
      <w:r>
        <w:t xml:space="preserve"> for each abatement measure</w:t>
      </w:r>
    </w:p>
    <w:p w:rsidR="00B344AF" w:rsidRDefault="00334DA0" w:rsidP="00B344AF">
      <w:pPr>
        <w:pStyle w:val="ListBullet2"/>
      </w:pPr>
      <w:r>
        <w:t>A way of showing the volume of abatement measures for each year and the breakdown of contribution by each abatement measure.</w:t>
      </w:r>
    </w:p>
    <w:p w:rsidR="00FC7D2E" w:rsidRDefault="00FC7D2E" w:rsidP="00FC7D2E">
      <w:pPr>
        <w:pStyle w:val="ListBullet"/>
      </w:pPr>
      <w:r>
        <w:t>The way of showing the volume of abatement co</w:t>
      </w:r>
      <w:r w:rsidR="001E6B89">
        <w:t>u</w:t>
      </w:r>
      <w:r>
        <w:t>ld be a stacked bar chart showing the contribution of each measure or another means of showing the breakdown.</w:t>
      </w:r>
    </w:p>
    <w:p w:rsidR="00FC7D2E" w:rsidRDefault="00FC7D2E" w:rsidP="00FC7D2E">
      <w:pPr>
        <w:pStyle w:val="ListBullet"/>
      </w:pPr>
      <w:r>
        <w:t>If an abatement measure is selected a CSS hover/popup should appear explaining the abatement measure.  This should only occur the first time that the abatement measure is selected.</w:t>
      </w:r>
    </w:p>
    <w:p w:rsidR="00B344AF" w:rsidRDefault="00B344AF" w:rsidP="00B344AF">
      <w:pPr>
        <w:pStyle w:val="ListBullet"/>
        <w:numPr>
          <w:ilvl w:val="0"/>
          <w:numId w:val="0"/>
        </w:numPr>
        <w:ind w:left="851" w:hanging="567"/>
      </w:pPr>
      <w:proofErr w:type="spellStart"/>
      <w:r>
        <w:t>Eg</w:t>
      </w:r>
      <w:proofErr w:type="spellEnd"/>
      <w:r>
        <w:t>:</w:t>
      </w:r>
    </w:p>
    <w:tbl>
      <w:tblPr>
        <w:tblStyle w:val="EPLTablePlain"/>
        <w:tblW w:w="5580" w:type="dxa"/>
        <w:tblLook w:val="04A0" w:firstRow="1" w:lastRow="0" w:firstColumn="1" w:lastColumn="0" w:noHBand="0" w:noVBand="1"/>
      </w:tblPr>
      <w:tblGrid>
        <w:gridCol w:w="2380"/>
        <w:gridCol w:w="1180"/>
        <w:gridCol w:w="2020"/>
      </w:tblGrid>
      <w:tr w:rsidR="00B344AF" w:rsidRPr="00B344AF" w:rsidTr="00B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3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Measure</w:t>
            </w:r>
          </w:p>
        </w:tc>
        <w:tc>
          <w:tcPr>
            <w:tcW w:w="11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Active</w:t>
            </w:r>
          </w:p>
        </w:tc>
        <w:tc>
          <w:tcPr>
            <w:tcW w:w="202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Year Commencing</w:t>
            </w:r>
          </w:p>
        </w:tc>
      </w:tr>
      <w:tr w:rsidR="00B344AF" w:rsidRPr="00B344AF" w:rsidTr="00B344AF">
        <w:trPr>
          <w:trHeight w:val="300"/>
        </w:trPr>
        <w:tc>
          <w:tcPr>
            <w:tcW w:w="23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Abatement Measure 1</w:t>
            </w:r>
          </w:p>
        </w:tc>
        <w:tc>
          <w:tcPr>
            <w:tcW w:w="11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Yes</w:t>
            </w:r>
          </w:p>
        </w:tc>
        <w:tc>
          <w:tcPr>
            <w:tcW w:w="202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2016</w:t>
            </w:r>
          </w:p>
        </w:tc>
      </w:tr>
      <w:tr w:rsidR="00B344AF" w:rsidRPr="00B344AF" w:rsidTr="00B344AF">
        <w:trPr>
          <w:trHeight w:val="300"/>
        </w:trPr>
        <w:tc>
          <w:tcPr>
            <w:tcW w:w="23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Abatement Measure 2</w:t>
            </w:r>
          </w:p>
        </w:tc>
        <w:tc>
          <w:tcPr>
            <w:tcW w:w="11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No</w:t>
            </w:r>
          </w:p>
        </w:tc>
        <w:tc>
          <w:tcPr>
            <w:tcW w:w="202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2018</w:t>
            </w:r>
          </w:p>
        </w:tc>
      </w:tr>
      <w:tr w:rsidR="00B344AF" w:rsidRPr="00B344AF" w:rsidTr="00B344AF">
        <w:trPr>
          <w:trHeight w:val="300"/>
        </w:trPr>
        <w:tc>
          <w:tcPr>
            <w:tcW w:w="23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Abatement Measure 3</w:t>
            </w:r>
          </w:p>
        </w:tc>
        <w:tc>
          <w:tcPr>
            <w:tcW w:w="11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Yes</w:t>
            </w:r>
          </w:p>
        </w:tc>
        <w:tc>
          <w:tcPr>
            <w:tcW w:w="202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2017</w:t>
            </w:r>
          </w:p>
        </w:tc>
      </w:tr>
      <w:tr w:rsidR="00B344AF" w:rsidRPr="00B344AF" w:rsidTr="00B344AF">
        <w:trPr>
          <w:trHeight w:val="300"/>
        </w:trPr>
        <w:tc>
          <w:tcPr>
            <w:tcW w:w="23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Abatement Measure 4</w:t>
            </w:r>
          </w:p>
        </w:tc>
        <w:tc>
          <w:tcPr>
            <w:tcW w:w="118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Yes</w:t>
            </w:r>
          </w:p>
        </w:tc>
        <w:tc>
          <w:tcPr>
            <w:tcW w:w="2020" w:type="dxa"/>
            <w:noWrap/>
            <w:hideMark/>
          </w:tcPr>
          <w:p w:rsidR="00B344AF" w:rsidRPr="00B344AF" w:rsidRDefault="00B344AF" w:rsidP="00B344AF">
            <w:pPr>
              <w:pStyle w:val="TableMain"/>
            </w:pPr>
            <w:r w:rsidRPr="00B344AF">
              <w:t>2016</w:t>
            </w:r>
          </w:p>
        </w:tc>
      </w:tr>
    </w:tbl>
    <w:p w:rsidR="00B344AF" w:rsidRDefault="001E6B89" w:rsidP="00B344AF">
      <w:pPr>
        <w:pStyle w:val="ListBullet"/>
        <w:numPr>
          <w:ilvl w:val="0"/>
          <w:numId w:val="0"/>
        </w:numPr>
        <w:ind w:left="851" w:hanging="567"/>
      </w:pPr>
      <w:r>
        <w:t>Note:  “Active” could be a tick box check box</w:t>
      </w:r>
    </w:p>
    <w:p w:rsidR="001E6B89" w:rsidRDefault="001E6B89" w:rsidP="00B344AF">
      <w:pPr>
        <w:pStyle w:val="ListBullet"/>
        <w:numPr>
          <w:ilvl w:val="0"/>
          <w:numId w:val="0"/>
        </w:numPr>
        <w:ind w:left="851" w:hanging="567"/>
      </w:pPr>
      <w:r>
        <w:t>Note: Year Commencing should be a drop down containing all of the years in the graph.</w:t>
      </w:r>
    </w:p>
    <w:p w:rsidR="00B344AF" w:rsidRDefault="00D60F6E" w:rsidP="00B344AF">
      <w:pPr>
        <w:pStyle w:val="ListBullet"/>
        <w:numPr>
          <w:ilvl w:val="0"/>
          <w:numId w:val="0"/>
        </w:numPr>
        <w:ind w:left="851" w:hanging="567"/>
      </w:pPr>
      <w:r>
        <w:rPr>
          <w:noProof/>
          <w:lang w:val="en-US" w:eastAsia="zh-CN"/>
        </w:rPr>
        <w:drawing>
          <wp:inline distT="0" distB="0" distL="0" distR="0" wp14:anchorId="089B6583" wp14:editId="5DEFA567">
            <wp:extent cx="5760085" cy="2630808"/>
            <wp:effectExtent l="0" t="0" r="12065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44AF" w:rsidRDefault="00B344AF" w:rsidP="00B344AF">
      <w:pPr>
        <w:pStyle w:val="ListBullet"/>
        <w:numPr>
          <w:ilvl w:val="0"/>
          <w:numId w:val="0"/>
        </w:numPr>
        <w:ind w:left="851" w:hanging="567"/>
      </w:pPr>
    </w:p>
    <w:p w:rsidR="00B344AF" w:rsidRDefault="00D60F6E" w:rsidP="00B344AF">
      <w:pPr>
        <w:pStyle w:val="ListBullet"/>
        <w:numPr>
          <w:ilvl w:val="0"/>
          <w:numId w:val="0"/>
        </w:numPr>
        <w:ind w:left="851" w:hanging="567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760085" cy="2915599"/>
            <wp:effectExtent l="0" t="0" r="0" b="0"/>
            <wp:docPr id="7" name="Picture 7" descr="C:\Users\mcleanc\AppData\Local\Temp\SNAGHTMLdeae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leanc\AppData\Local\Temp\SNAGHTMLdeaeb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65" w:rsidRDefault="00B71565">
      <w:pPr>
        <w:spacing w:before="0" w:after="0" w:line="240" w:lineRule="auto"/>
      </w:pPr>
      <w:proofErr w:type="spellStart"/>
      <w:r>
        <w:t>Mockup</w:t>
      </w:r>
      <w:proofErr w:type="spellEnd"/>
      <w:r>
        <w:t xml:space="preserve"> of potential layout.</w:t>
      </w:r>
    </w:p>
    <w:p w:rsidR="00B71565" w:rsidRDefault="00B71565">
      <w:pPr>
        <w:spacing w:before="0" w:after="0" w:line="240" w:lineRule="auto"/>
        <w:rPr>
          <w:rFonts w:ascii="Times New Roman" w:eastAsia="SC STKaiti" w:hAnsi="Times New Roman" w:cs="Times New Roman"/>
          <w:color w:val="DD6225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4BBBDC" wp14:editId="0D796918">
            <wp:extent cx="5760085" cy="4123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34DA0" w:rsidRDefault="00334DA0" w:rsidP="00334DA0">
      <w:pPr>
        <w:pStyle w:val="Heading2"/>
      </w:pPr>
      <w:r>
        <w:lastRenderedPageBreak/>
        <w:t>Abatement Measures</w:t>
      </w:r>
    </w:p>
    <w:p w:rsidR="00334DA0" w:rsidRDefault="00334DA0" w:rsidP="00D60F6E">
      <w:pPr>
        <w:pStyle w:val="ListBullet"/>
        <w:keepNext/>
      </w:pPr>
      <w:r>
        <w:t>Each abatement measure will have:</w:t>
      </w:r>
    </w:p>
    <w:p w:rsidR="00334DA0" w:rsidRDefault="00334DA0" w:rsidP="00D60F6E">
      <w:pPr>
        <w:pStyle w:val="ListBullet2"/>
        <w:keepNext/>
      </w:pPr>
      <w:r>
        <w:t>An identifying number</w:t>
      </w:r>
      <w:r w:rsidR="00B71565">
        <w:t>:</w:t>
      </w:r>
    </w:p>
    <w:p w:rsidR="00B71565" w:rsidRDefault="00B71565" w:rsidP="00B71565">
      <w:pPr>
        <w:pStyle w:val="ListBullet3"/>
      </w:pPr>
      <w:r>
        <w:t>Whole numbers are fields (1, 2, 3, etc.)</w:t>
      </w:r>
    </w:p>
    <w:p w:rsidR="00B71565" w:rsidRDefault="00B71565" w:rsidP="00B71565">
      <w:pPr>
        <w:pStyle w:val="ListBullet3"/>
      </w:pPr>
      <w:r>
        <w:t>Next level are subfields (1.1, 1.2, 1.3, etc.)</w:t>
      </w:r>
    </w:p>
    <w:p w:rsidR="00B71565" w:rsidRDefault="00B71565" w:rsidP="00B71565">
      <w:pPr>
        <w:pStyle w:val="ListBullet3"/>
      </w:pPr>
      <w:r>
        <w:t>Last level are dropdowns (1.1.1, 1.1.2, 1.1.3, etc.)</w:t>
      </w:r>
    </w:p>
    <w:p w:rsidR="00334DA0" w:rsidRDefault="00D60F6E" w:rsidP="00D60F6E">
      <w:pPr>
        <w:pStyle w:val="ListBullet2"/>
        <w:keepNext/>
      </w:pPr>
      <w:r>
        <w:t>A name</w:t>
      </w:r>
    </w:p>
    <w:p w:rsidR="00D60F6E" w:rsidRDefault="00B71565" w:rsidP="00D60F6E">
      <w:pPr>
        <w:pStyle w:val="ListBullet2"/>
        <w:keepNext/>
      </w:pPr>
      <w:r>
        <w:t>Type</w:t>
      </w:r>
      <w:r w:rsidR="00D60F6E">
        <w:t xml:space="preserve"> – </w:t>
      </w:r>
      <w:r>
        <w:t>field, subfield or dropdown</w:t>
      </w:r>
    </w:p>
    <w:p w:rsidR="00FC7D2E" w:rsidRDefault="00FC7D2E" w:rsidP="00FC7D2E">
      <w:pPr>
        <w:pStyle w:val="ListBullet2"/>
        <w:keepNext/>
      </w:pPr>
      <w:r>
        <w:t>Reduction – the reduction amount for each year</w:t>
      </w:r>
    </w:p>
    <w:tbl>
      <w:tblPr>
        <w:tblStyle w:val="EPLTablePlain"/>
        <w:tblW w:w="0" w:type="auto"/>
        <w:tblLook w:val="04A0" w:firstRow="1" w:lastRow="0" w:firstColumn="1" w:lastColumn="0" w:noHBand="0" w:noVBand="1"/>
      </w:tblPr>
      <w:tblGrid>
        <w:gridCol w:w="923"/>
        <w:gridCol w:w="1312"/>
        <w:gridCol w:w="928"/>
        <w:gridCol w:w="1096"/>
        <w:gridCol w:w="1096"/>
        <w:gridCol w:w="1096"/>
        <w:gridCol w:w="1096"/>
        <w:gridCol w:w="573"/>
      </w:tblGrid>
      <w:tr w:rsidR="00B71565" w:rsidRPr="00D60F6E" w:rsidTr="00217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ID Number</w:t>
            </w:r>
          </w:p>
        </w:tc>
        <w:tc>
          <w:tcPr>
            <w:tcW w:w="1312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Name</w:t>
            </w:r>
          </w:p>
        </w:tc>
        <w:tc>
          <w:tcPr>
            <w:tcW w:w="928" w:type="dxa"/>
          </w:tcPr>
          <w:p w:rsidR="00B71565" w:rsidRDefault="00B71565" w:rsidP="00D60F6E">
            <w:pPr>
              <w:pStyle w:val="TableMain"/>
              <w:keepNext/>
            </w:pPr>
            <w:r>
              <w:t>Type</w:t>
            </w:r>
          </w:p>
        </w:tc>
        <w:tc>
          <w:tcPr>
            <w:tcW w:w="1096" w:type="dxa"/>
          </w:tcPr>
          <w:p w:rsidR="00B71565" w:rsidRDefault="00B71565" w:rsidP="00D60F6E">
            <w:pPr>
              <w:pStyle w:val="TableMain"/>
              <w:keepNext/>
            </w:pPr>
            <w:r>
              <w:t>Reduction Year 1</w:t>
            </w:r>
          </w:p>
        </w:tc>
        <w:tc>
          <w:tcPr>
            <w:tcW w:w="1096" w:type="dxa"/>
          </w:tcPr>
          <w:p w:rsidR="00B71565" w:rsidRDefault="00B71565" w:rsidP="00D60F6E">
            <w:pPr>
              <w:pStyle w:val="TableMain"/>
              <w:keepNext/>
            </w:pPr>
            <w:r>
              <w:t>Reduction Year 2</w:t>
            </w:r>
          </w:p>
        </w:tc>
        <w:tc>
          <w:tcPr>
            <w:tcW w:w="1096" w:type="dxa"/>
          </w:tcPr>
          <w:p w:rsidR="00B71565" w:rsidRDefault="00B71565" w:rsidP="00D60F6E">
            <w:pPr>
              <w:pStyle w:val="TableMain"/>
              <w:keepNext/>
            </w:pPr>
            <w:r>
              <w:t>Reduction Year 3</w:t>
            </w:r>
          </w:p>
        </w:tc>
        <w:tc>
          <w:tcPr>
            <w:tcW w:w="1096" w:type="dxa"/>
          </w:tcPr>
          <w:p w:rsidR="00B71565" w:rsidRDefault="00B71565" w:rsidP="00D60F6E">
            <w:pPr>
              <w:pStyle w:val="TableMain"/>
              <w:keepNext/>
            </w:pPr>
            <w:r>
              <w:t>Reduction Year 4</w:t>
            </w:r>
          </w:p>
        </w:tc>
        <w:tc>
          <w:tcPr>
            <w:tcW w:w="573" w:type="dxa"/>
          </w:tcPr>
          <w:p w:rsidR="00B71565" w:rsidRDefault="00B71565" w:rsidP="00D60F6E">
            <w:pPr>
              <w:pStyle w:val="TableMain"/>
              <w:keepNext/>
            </w:pPr>
            <w:proofErr w:type="spellStart"/>
            <w:r>
              <w:t>etc</w:t>
            </w:r>
            <w:proofErr w:type="spellEnd"/>
          </w:p>
        </w:tc>
      </w:tr>
      <w:tr w:rsidR="00B71565" w:rsidRPr="00D60F6E" w:rsidTr="00217D43">
        <w:tc>
          <w:tcPr>
            <w:tcW w:w="923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1</w:t>
            </w:r>
          </w:p>
        </w:tc>
        <w:tc>
          <w:tcPr>
            <w:tcW w:w="1312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Measure 1</w:t>
            </w:r>
          </w:p>
        </w:tc>
        <w:tc>
          <w:tcPr>
            <w:tcW w:w="928" w:type="dxa"/>
          </w:tcPr>
          <w:p w:rsidR="00B71565" w:rsidRDefault="00B71565" w:rsidP="00D60F6E">
            <w:pPr>
              <w:pStyle w:val="TableMain"/>
              <w:keepNext/>
            </w:pPr>
            <w:r>
              <w:t>2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2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5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5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5</w:t>
            </w:r>
          </w:p>
        </w:tc>
        <w:tc>
          <w:tcPr>
            <w:tcW w:w="573" w:type="dxa"/>
          </w:tcPr>
          <w:p w:rsidR="00B71565" w:rsidRPr="00D60F6E" w:rsidRDefault="00B71565" w:rsidP="00D60F6E">
            <w:pPr>
              <w:pStyle w:val="TableMain"/>
              <w:keepNext/>
            </w:pPr>
            <w:r>
              <w:t>5</w:t>
            </w:r>
          </w:p>
        </w:tc>
      </w:tr>
      <w:tr w:rsidR="00B71565" w:rsidRPr="00D60F6E" w:rsidTr="00217D43">
        <w:tc>
          <w:tcPr>
            <w:tcW w:w="923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  <w:tc>
          <w:tcPr>
            <w:tcW w:w="1312" w:type="dxa"/>
          </w:tcPr>
          <w:p w:rsidR="00B71565" w:rsidRPr="00D60F6E" w:rsidRDefault="00B71565" w:rsidP="00D60F6E">
            <w:pPr>
              <w:pStyle w:val="TableMain"/>
            </w:pPr>
            <w:r>
              <w:t>Measure 2</w:t>
            </w:r>
          </w:p>
        </w:tc>
        <w:tc>
          <w:tcPr>
            <w:tcW w:w="928" w:type="dxa"/>
          </w:tcPr>
          <w:p w:rsidR="00B71565" w:rsidRDefault="00B71565" w:rsidP="00D60F6E">
            <w:pPr>
              <w:pStyle w:val="TableMain"/>
            </w:pPr>
            <w:r>
              <w:t>1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1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4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4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4</w:t>
            </w:r>
          </w:p>
        </w:tc>
        <w:tc>
          <w:tcPr>
            <w:tcW w:w="573" w:type="dxa"/>
          </w:tcPr>
          <w:p w:rsidR="00B71565" w:rsidRPr="00D60F6E" w:rsidRDefault="00B71565" w:rsidP="00D60F6E">
            <w:pPr>
              <w:pStyle w:val="TableMain"/>
            </w:pPr>
            <w:r>
              <w:t>4</w:t>
            </w:r>
          </w:p>
        </w:tc>
      </w:tr>
      <w:tr w:rsidR="00B71565" w:rsidRPr="00D60F6E" w:rsidTr="00217D43">
        <w:tc>
          <w:tcPr>
            <w:tcW w:w="923" w:type="dxa"/>
          </w:tcPr>
          <w:p w:rsidR="00B71565" w:rsidRPr="00D60F6E" w:rsidRDefault="00B71565" w:rsidP="00D60F6E">
            <w:pPr>
              <w:pStyle w:val="TableMain"/>
            </w:pPr>
            <w:r>
              <w:t>3</w:t>
            </w:r>
          </w:p>
        </w:tc>
        <w:tc>
          <w:tcPr>
            <w:tcW w:w="1312" w:type="dxa"/>
          </w:tcPr>
          <w:p w:rsidR="00B71565" w:rsidRPr="00D60F6E" w:rsidRDefault="00B71565" w:rsidP="00D60F6E">
            <w:pPr>
              <w:pStyle w:val="TableMain"/>
            </w:pPr>
            <w:r>
              <w:t>Measure 3</w:t>
            </w:r>
          </w:p>
        </w:tc>
        <w:tc>
          <w:tcPr>
            <w:tcW w:w="928" w:type="dxa"/>
          </w:tcPr>
          <w:p w:rsidR="00B71565" w:rsidRDefault="00B71565" w:rsidP="00D60F6E">
            <w:pPr>
              <w:pStyle w:val="TableMain"/>
            </w:pPr>
            <w:r>
              <w:t>3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  <w:tc>
          <w:tcPr>
            <w:tcW w:w="573" w:type="dxa"/>
          </w:tcPr>
          <w:p w:rsidR="00B71565" w:rsidRPr="00D60F6E" w:rsidRDefault="00B71565" w:rsidP="00D60F6E">
            <w:pPr>
              <w:pStyle w:val="TableMain"/>
            </w:pPr>
            <w:r>
              <w:t>2</w:t>
            </w:r>
          </w:p>
        </w:tc>
      </w:tr>
    </w:tbl>
    <w:p w:rsidR="00D60F6E" w:rsidRDefault="00D60F6E" w:rsidP="00D60F6E">
      <w:pPr>
        <w:pStyle w:val="ListBullet"/>
        <w:numPr>
          <w:ilvl w:val="0"/>
          <w:numId w:val="0"/>
        </w:numPr>
        <w:ind w:left="851" w:hanging="567"/>
      </w:pPr>
    </w:p>
    <w:p w:rsidR="00FC7D2E" w:rsidRDefault="00FC7D2E" w:rsidP="00FC7D2E">
      <w:pPr>
        <w:pStyle w:val="Heading2"/>
      </w:pPr>
      <w:r>
        <w:t>Calculating reductions</w:t>
      </w:r>
    </w:p>
    <w:p w:rsidR="00D750EB" w:rsidRDefault="00D750EB" w:rsidP="00D750EB">
      <w:pPr>
        <w:pStyle w:val="ListBullet"/>
      </w:pPr>
      <w:r>
        <w:t>The reductions for each year are calculated by adding all of the active emission measure in that year.</w:t>
      </w:r>
    </w:p>
    <w:p w:rsidR="001E6B89" w:rsidRPr="00FC7D2E" w:rsidRDefault="00D750EB" w:rsidP="001E6B89">
      <w:pPr>
        <w:pStyle w:val="ListBullet"/>
      </w:pPr>
      <w:r>
        <w:t xml:space="preserve">Each </w:t>
      </w:r>
      <w:r w:rsidR="001E6B89">
        <w:t xml:space="preserve">emission measure has a reduction amount for each year after it is first activated.  For example, if a measure is set to be active in 2018, the “Reduction Year 1” value will apply in that year, “Reduction Year 2” will apply in 2019, </w:t>
      </w:r>
      <w:proofErr w:type="gramStart"/>
      <w:r w:rsidR="001E6B89">
        <w:t>“</w:t>
      </w:r>
      <w:proofErr w:type="gramEnd"/>
      <w:r w:rsidR="001E6B89">
        <w:t>Reduction Year 3” will apply in 2020 and so on.</w:t>
      </w:r>
    </w:p>
    <w:p w:rsidR="00334DA0" w:rsidRDefault="00334DA0" w:rsidP="00376BB7">
      <w:pPr>
        <w:pStyle w:val="Heading2"/>
      </w:pPr>
      <w:r>
        <w:lastRenderedPageBreak/>
        <w:t>Data</w:t>
      </w:r>
    </w:p>
    <w:p w:rsidR="00334DA0" w:rsidRDefault="00FC7D2E" w:rsidP="00376BB7">
      <w:pPr>
        <w:pStyle w:val="ListBullet"/>
        <w:keepNext/>
      </w:pPr>
      <w:r>
        <w:t>The data for the main chart (target and BAU) should be in a CSV or XML format.  The chart should be dynamic so that if further years are added to the CSV/XML file they will be automatically included in the chart.</w:t>
      </w:r>
    </w:p>
    <w:tbl>
      <w:tblPr>
        <w:tblStyle w:val="EPLTablePlain"/>
        <w:tblW w:w="2940" w:type="dxa"/>
        <w:tblInd w:w="1012" w:type="dxa"/>
        <w:tblLook w:val="04A0" w:firstRow="1" w:lastRow="0" w:firstColumn="1" w:lastColumn="0" w:noHBand="0" w:noVBand="1"/>
      </w:tblPr>
      <w:tblGrid>
        <w:gridCol w:w="1020"/>
        <w:gridCol w:w="960"/>
        <w:gridCol w:w="960"/>
      </w:tblGrid>
      <w:tr w:rsidR="00376BB7" w:rsidRPr="00376BB7" w:rsidTr="00376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Year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Target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BAU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2016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25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2017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22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26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2018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24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27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2019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25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28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2020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26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30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2021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27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32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2022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28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34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2023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29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35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2024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30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37</w:t>
            </w:r>
          </w:p>
        </w:tc>
      </w:tr>
      <w:tr w:rsidR="00376BB7" w:rsidRPr="00376BB7" w:rsidTr="00376BB7">
        <w:trPr>
          <w:trHeight w:val="300"/>
        </w:trPr>
        <w:tc>
          <w:tcPr>
            <w:tcW w:w="102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2025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31</w:t>
            </w:r>
          </w:p>
        </w:tc>
        <w:tc>
          <w:tcPr>
            <w:tcW w:w="960" w:type="dxa"/>
            <w:noWrap/>
            <w:hideMark/>
          </w:tcPr>
          <w:p w:rsidR="00376BB7" w:rsidRPr="00376BB7" w:rsidRDefault="00376BB7" w:rsidP="00376BB7">
            <w:pPr>
              <w:pStyle w:val="TableMain"/>
              <w:keepNext/>
            </w:pPr>
            <w:r w:rsidRPr="00376BB7">
              <w:t>38</w:t>
            </w:r>
          </w:p>
        </w:tc>
      </w:tr>
    </w:tbl>
    <w:p w:rsidR="00376BB7" w:rsidRDefault="00376BB7" w:rsidP="00376BB7">
      <w:pPr>
        <w:pStyle w:val="ListBullet"/>
        <w:numPr>
          <w:ilvl w:val="0"/>
          <w:numId w:val="0"/>
        </w:numPr>
        <w:ind w:left="851"/>
      </w:pPr>
    </w:p>
    <w:p w:rsidR="00FC7D2E" w:rsidRDefault="00FC7D2E" w:rsidP="00FC7D2E">
      <w:pPr>
        <w:pStyle w:val="ListBullet"/>
      </w:pPr>
      <w:r>
        <w:t>The data for the abatement measures should be in CSV or XML format.  The chart should be dynamic so that if further abatement measures are added to the CSV/XML file they will be automatically included in the chart.</w:t>
      </w:r>
    </w:p>
    <w:tbl>
      <w:tblPr>
        <w:tblStyle w:val="EPLTablePlain"/>
        <w:tblW w:w="9287" w:type="dxa"/>
        <w:tblInd w:w="892" w:type="dxa"/>
        <w:tblLook w:val="04A0" w:firstRow="1" w:lastRow="0" w:firstColumn="1" w:lastColumn="0" w:noHBand="0" w:noVBand="1"/>
      </w:tblPr>
      <w:tblGrid>
        <w:gridCol w:w="959"/>
        <w:gridCol w:w="1701"/>
        <w:gridCol w:w="1296"/>
        <w:gridCol w:w="1334"/>
        <w:gridCol w:w="1096"/>
        <w:gridCol w:w="1096"/>
        <w:gridCol w:w="1096"/>
        <w:gridCol w:w="709"/>
      </w:tblGrid>
      <w:tr w:rsidR="00376BB7" w:rsidRPr="00D60F6E" w:rsidTr="00376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ID Number</w:t>
            </w:r>
          </w:p>
        </w:tc>
        <w:tc>
          <w:tcPr>
            <w:tcW w:w="1701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Name</w:t>
            </w:r>
          </w:p>
        </w:tc>
        <w:tc>
          <w:tcPr>
            <w:tcW w:w="1296" w:type="dxa"/>
          </w:tcPr>
          <w:p w:rsidR="00376BB7" w:rsidRPr="00D60F6E" w:rsidRDefault="00B71565" w:rsidP="004439B1">
            <w:pPr>
              <w:pStyle w:val="TableMain"/>
              <w:keepNext/>
            </w:pPr>
            <w:r>
              <w:t>Type</w:t>
            </w:r>
          </w:p>
        </w:tc>
        <w:tc>
          <w:tcPr>
            <w:tcW w:w="1334" w:type="dxa"/>
          </w:tcPr>
          <w:p w:rsidR="00376BB7" w:rsidRDefault="00376BB7" w:rsidP="004439B1">
            <w:pPr>
              <w:pStyle w:val="TableMain"/>
              <w:keepNext/>
            </w:pPr>
            <w:r>
              <w:t>Reduction Year 1</w:t>
            </w:r>
          </w:p>
        </w:tc>
        <w:tc>
          <w:tcPr>
            <w:tcW w:w="1096" w:type="dxa"/>
          </w:tcPr>
          <w:p w:rsidR="00376BB7" w:rsidRDefault="00376BB7" w:rsidP="004439B1">
            <w:pPr>
              <w:pStyle w:val="TableMain"/>
              <w:keepNext/>
            </w:pPr>
            <w:r>
              <w:t>Reduction Year 2</w:t>
            </w:r>
          </w:p>
        </w:tc>
        <w:tc>
          <w:tcPr>
            <w:tcW w:w="1096" w:type="dxa"/>
          </w:tcPr>
          <w:p w:rsidR="00376BB7" w:rsidRDefault="00376BB7" w:rsidP="004439B1">
            <w:pPr>
              <w:pStyle w:val="TableMain"/>
              <w:keepNext/>
            </w:pPr>
            <w:r>
              <w:t>Reduction Year 3</w:t>
            </w:r>
          </w:p>
        </w:tc>
        <w:tc>
          <w:tcPr>
            <w:tcW w:w="1096" w:type="dxa"/>
          </w:tcPr>
          <w:p w:rsidR="00376BB7" w:rsidRDefault="00376BB7" w:rsidP="004439B1">
            <w:pPr>
              <w:pStyle w:val="TableMain"/>
              <w:keepNext/>
            </w:pPr>
            <w:r>
              <w:t>Reduction Year 4</w:t>
            </w:r>
          </w:p>
        </w:tc>
        <w:tc>
          <w:tcPr>
            <w:tcW w:w="709" w:type="dxa"/>
          </w:tcPr>
          <w:p w:rsidR="00376BB7" w:rsidRDefault="00376BB7" w:rsidP="004439B1">
            <w:pPr>
              <w:pStyle w:val="TableMain"/>
              <w:keepNext/>
            </w:pPr>
            <w:proofErr w:type="spellStart"/>
            <w:r>
              <w:t>etc</w:t>
            </w:r>
            <w:proofErr w:type="spellEnd"/>
          </w:p>
        </w:tc>
      </w:tr>
      <w:tr w:rsidR="00376BB7" w:rsidRPr="00D60F6E" w:rsidTr="00376BB7">
        <w:tc>
          <w:tcPr>
            <w:tcW w:w="959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1</w:t>
            </w:r>
          </w:p>
        </w:tc>
        <w:tc>
          <w:tcPr>
            <w:tcW w:w="1701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Measure 1</w:t>
            </w:r>
          </w:p>
        </w:tc>
        <w:tc>
          <w:tcPr>
            <w:tcW w:w="1296" w:type="dxa"/>
          </w:tcPr>
          <w:p w:rsidR="00376BB7" w:rsidRPr="00D60F6E" w:rsidRDefault="00B71565" w:rsidP="004439B1">
            <w:pPr>
              <w:pStyle w:val="TableMain"/>
              <w:keepNext/>
            </w:pPr>
            <w:r>
              <w:t>field</w:t>
            </w:r>
          </w:p>
        </w:tc>
        <w:tc>
          <w:tcPr>
            <w:tcW w:w="1334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2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5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5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5</w:t>
            </w:r>
          </w:p>
        </w:tc>
        <w:tc>
          <w:tcPr>
            <w:tcW w:w="709" w:type="dxa"/>
          </w:tcPr>
          <w:p w:rsidR="00376BB7" w:rsidRPr="00D60F6E" w:rsidRDefault="00376BB7" w:rsidP="004439B1">
            <w:pPr>
              <w:pStyle w:val="TableMain"/>
              <w:keepNext/>
            </w:pPr>
            <w:r>
              <w:t>5</w:t>
            </w:r>
          </w:p>
        </w:tc>
      </w:tr>
      <w:tr w:rsidR="00376BB7" w:rsidRPr="00D60F6E" w:rsidTr="00376BB7">
        <w:tc>
          <w:tcPr>
            <w:tcW w:w="959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  <w:tc>
          <w:tcPr>
            <w:tcW w:w="1701" w:type="dxa"/>
          </w:tcPr>
          <w:p w:rsidR="00376BB7" w:rsidRPr="00D60F6E" w:rsidRDefault="00376BB7" w:rsidP="004439B1">
            <w:pPr>
              <w:pStyle w:val="TableMain"/>
            </w:pPr>
            <w:r>
              <w:t>Measure 2</w:t>
            </w:r>
          </w:p>
        </w:tc>
        <w:tc>
          <w:tcPr>
            <w:tcW w:w="1296" w:type="dxa"/>
          </w:tcPr>
          <w:p w:rsidR="00376BB7" w:rsidRPr="00D60F6E" w:rsidRDefault="00B71565" w:rsidP="004439B1">
            <w:pPr>
              <w:pStyle w:val="TableMain"/>
            </w:pPr>
            <w:r>
              <w:t>field</w:t>
            </w:r>
          </w:p>
        </w:tc>
        <w:tc>
          <w:tcPr>
            <w:tcW w:w="1334" w:type="dxa"/>
          </w:tcPr>
          <w:p w:rsidR="00376BB7" w:rsidRPr="00D60F6E" w:rsidRDefault="00376BB7" w:rsidP="004439B1">
            <w:pPr>
              <w:pStyle w:val="TableMain"/>
            </w:pPr>
            <w:r>
              <w:t>1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4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4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4</w:t>
            </w:r>
          </w:p>
        </w:tc>
        <w:tc>
          <w:tcPr>
            <w:tcW w:w="709" w:type="dxa"/>
          </w:tcPr>
          <w:p w:rsidR="00376BB7" w:rsidRPr="00D60F6E" w:rsidRDefault="00376BB7" w:rsidP="004439B1">
            <w:pPr>
              <w:pStyle w:val="TableMain"/>
            </w:pPr>
            <w:r>
              <w:t>4</w:t>
            </w:r>
          </w:p>
        </w:tc>
      </w:tr>
      <w:tr w:rsidR="00376BB7" w:rsidRPr="00D60F6E" w:rsidTr="00376BB7">
        <w:tc>
          <w:tcPr>
            <w:tcW w:w="959" w:type="dxa"/>
          </w:tcPr>
          <w:p w:rsidR="00376BB7" w:rsidRPr="00D60F6E" w:rsidRDefault="00376BB7" w:rsidP="004439B1">
            <w:pPr>
              <w:pStyle w:val="TableMain"/>
            </w:pPr>
            <w:r>
              <w:t>3</w:t>
            </w:r>
          </w:p>
        </w:tc>
        <w:tc>
          <w:tcPr>
            <w:tcW w:w="1701" w:type="dxa"/>
          </w:tcPr>
          <w:p w:rsidR="00376BB7" w:rsidRPr="00D60F6E" w:rsidRDefault="00376BB7" w:rsidP="004439B1">
            <w:pPr>
              <w:pStyle w:val="TableMain"/>
            </w:pPr>
            <w:r>
              <w:t>Measure 3</w:t>
            </w:r>
          </w:p>
        </w:tc>
        <w:tc>
          <w:tcPr>
            <w:tcW w:w="1296" w:type="dxa"/>
          </w:tcPr>
          <w:p w:rsidR="00376BB7" w:rsidRPr="00D60F6E" w:rsidRDefault="00B71565" w:rsidP="004439B1">
            <w:pPr>
              <w:pStyle w:val="TableMain"/>
            </w:pPr>
            <w:r>
              <w:t>field</w:t>
            </w:r>
          </w:p>
        </w:tc>
        <w:tc>
          <w:tcPr>
            <w:tcW w:w="1334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  <w:tc>
          <w:tcPr>
            <w:tcW w:w="1096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  <w:tc>
          <w:tcPr>
            <w:tcW w:w="709" w:type="dxa"/>
          </w:tcPr>
          <w:p w:rsidR="00376BB7" w:rsidRPr="00D60F6E" w:rsidRDefault="00376BB7" w:rsidP="004439B1">
            <w:pPr>
              <w:pStyle w:val="TableMain"/>
            </w:pPr>
            <w:r>
              <w:t>2</w:t>
            </w:r>
          </w:p>
        </w:tc>
      </w:tr>
    </w:tbl>
    <w:p w:rsidR="00376BB7" w:rsidRDefault="00376BB7" w:rsidP="00376BB7">
      <w:pPr>
        <w:pStyle w:val="ListBullet"/>
        <w:numPr>
          <w:ilvl w:val="0"/>
          <w:numId w:val="0"/>
        </w:numPr>
        <w:ind w:left="851"/>
      </w:pPr>
    </w:p>
    <w:p w:rsidR="00334DA0" w:rsidRDefault="00FC7D2E" w:rsidP="00FC7D2E">
      <w:pPr>
        <w:pStyle w:val="ListBullet"/>
      </w:pPr>
      <w:r>
        <w:t>The data for the hover/popup should be in XML/HTML format, whatever is most appropriate.</w:t>
      </w:r>
    </w:p>
    <w:p w:rsidR="00600807" w:rsidRDefault="001E6B89" w:rsidP="00FC7D2E">
      <w:r>
        <w:t>Energetics should be able to edit these files to change the chart.</w:t>
      </w:r>
    </w:p>
    <w:p w:rsidR="00F9029C" w:rsidRDefault="00F9029C" w:rsidP="00F9029C">
      <w:pPr>
        <w:pStyle w:val="BodyText"/>
      </w:pPr>
    </w:p>
    <w:p w:rsidR="00F9029C" w:rsidRPr="00972F76" w:rsidRDefault="00F9029C" w:rsidP="00F9029C">
      <w:pPr>
        <w:pStyle w:val="BodyText"/>
        <w:rPr>
          <w:color w:val="FF0000"/>
        </w:rPr>
      </w:pPr>
      <w:bookmarkStart w:id="0" w:name="_GoBack"/>
      <w:r w:rsidRPr="00972F76">
        <w:rPr>
          <w:color w:val="FF0000"/>
        </w:rPr>
        <w:t>I’d like to build this interactive graph by accessing CSV/XML directly without using database.</w:t>
      </w:r>
      <w:bookmarkEnd w:id="0"/>
    </w:p>
    <w:sectPr w:rsidR="00F9029C" w:rsidRPr="00972F76" w:rsidSect="00006C40">
      <w:footerReference w:type="even" r:id="rId10"/>
      <w:footerReference w:type="default" r:id="rId11"/>
      <w:footerReference w:type="first" r:id="rId12"/>
      <w:type w:val="continuous"/>
      <w:pgSz w:w="11907" w:h="16840" w:code="9"/>
      <w:pgMar w:top="1440" w:right="1418" w:bottom="1440" w:left="1418" w:header="56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ACB" w:rsidRDefault="006C4ACB" w:rsidP="009B5F47">
      <w:pPr>
        <w:pStyle w:val="BodyText"/>
      </w:pPr>
      <w:r>
        <w:separator/>
      </w:r>
    </w:p>
  </w:endnote>
  <w:endnote w:type="continuationSeparator" w:id="0">
    <w:p w:rsidR="006C4ACB" w:rsidRDefault="006C4ACB" w:rsidP="009B5F47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C STKaiti">
    <w:altName w:val="MS Mincho"/>
    <w:charset w:val="86"/>
    <w:family w:val="auto"/>
    <w:pitch w:val="variable"/>
    <w:sig w:usb0="00000000" w:usb1="080F0000" w:usb2="00000010" w:usb3="00000000" w:csb0="0004009F" w:csb1="00000000"/>
  </w:font>
  <w:font w:name="Arial Bold"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9E2" w:rsidRDefault="000D7005" w:rsidP="00067B1B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</w:rPr>
      <w:fldChar w:fldCharType="begin"/>
    </w:r>
    <w:r w:rsidR="009279E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5FC">
      <w:rPr>
        <w:rStyle w:val="PageNumber"/>
        <w:rFonts w:hint="eastAsia"/>
        <w:noProof/>
      </w:rPr>
      <w:t>3</w:t>
    </w:r>
    <w:r>
      <w:rPr>
        <w:rStyle w:val="PageNumber"/>
      </w:rPr>
      <w:fldChar w:fldCharType="end"/>
    </w:r>
  </w:p>
  <w:p w:rsidR="009279E2" w:rsidRDefault="009279E2" w:rsidP="0055013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9E2" w:rsidRPr="000301FD" w:rsidRDefault="009279E2" w:rsidP="000301FD">
    <w:pPr>
      <w:pStyle w:val="Footer"/>
      <w:tabs>
        <w:tab w:val="clear" w:pos="7371"/>
        <w:tab w:val="center" w:pos="3969"/>
        <w:tab w:val="right" w:pos="779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9E2" w:rsidRPr="000301FD" w:rsidRDefault="009279E2" w:rsidP="000301FD">
    <w:pPr>
      <w:pStyle w:val="Footer"/>
      <w:tabs>
        <w:tab w:val="clear" w:pos="7371"/>
        <w:tab w:val="center" w:pos="3969"/>
        <w:tab w:val="right" w:pos="779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ACB" w:rsidRDefault="006C4ACB" w:rsidP="009B5F47">
      <w:pPr>
        <w:pStyle w:val="BodyText"/>
      </w:pPr>
      <w:r>
        <w:separator/>
      </w:r>
    </w:p>
  </w:footnote>
  <w:footnote w:type="continuationSeparator" w:id="0">
    <w:p w:rsidR="006C4ACB" w:rsidRDefault="006C4ACB" w:rsidP="009B5F47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08FA"/>
    <w:multiLevelType w:val="hybridMultilevel"/>
    <w:tmpl w:val="22406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D3198"/>
    <w:multiLevelType w:val="multilevel"/>
    <w:tmpl w:val="8B40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F4C3F2B"/>
    <w:multiLevelType w:val="multilevel"/>
    <w:tmpl w:val="E84EAA0A"/>
    <w:lvl w:ilvl="0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  <w:sz w:val="16"/>
        <w:u w:color="3E3A39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TableBulle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3">
      <w:start w:val="1"/>
      <w:numFmt w:val="bullet"/>
      <w:lvlRestart w:val="2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2"/>
        </w:tabs>
        <w:ind w:left="3402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7"/>
        </w:tabs>
        <w:ind w:left="3827" w:hanging="425"/>
      </w:pPr>
      <w:rPr>
        <w:rFonts w:ascii="Symbol" w:hAnsi="Symbol" w:hint="default"/>
      </w:rPr>
    </w:lvl>
  </w:abstractNum>
  <w:abstractNum w:abstractNumId="3">
    <w:nsid w:val="702F7B04"/>
    <w:multiLevelType w:val="multilevel"/>
    <w:tmpl w:val="18E0881A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920"/>
        </w:tabs>
        <w:ind w:left="4320" w:hanging="1440"/>
      </w:pPr>
      <w:rPr>
        <w:rFonts w:hint="default"/>
      </w:rPr>
    </w:lvl>
  </w:abstractNum>
  <w:abstractNum w:abstractNumId="4">
    <w:nsid w:val="7E155048"/>
    <w:multiLevelType w:val="multilevel"/>
    <w:tmpl w:val="E508EAF2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color w:val="3E3A39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3E3A39"/>
        <w:sz w:val="1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3E3A39"/>
        <w:sz w:val="16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color w:val="3E3A39"/>
        <w:sz w:val="16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567"/>
      </w:pPr>
      <w:rPr>
        <w:rFonts w:ascii="Symbol" w:hAnsi="Symbol" w:hint="default"/>
        <w:sz w:val="16"/>
        <w:szCs w:val="16"/>
      </w:rPr>
    </w:lvl>
    <w:lvl w:ilvl="7">
      <w:start w:val="1"/>
      <w:numFmt w:val="bullet"/>
      <w:lvlText w:val=""/>
      <w:lvlJc w:val="left"/>
      <w:pPr>
        <w:tabs>
          <w:tab w:val="num" w:pos="4820"/>
        </w:tabs>
        <w:ind w:left="4820" w:hanging="567"/>
      </w:pPr>
      <w:rPr>
        <w:rFonts w:ascii="Symbol" w:hAnsi="Symbol" w:hint="default"/>
        <w:sz w:val="16"/>
        <w:szCs w:val="16"/>
      </w:rPr>
    </w:lvl>
    <w:lvl w:ilvl="8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  <w:sz w:val="16"/>
        <w:szCs w:val="16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dd622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PL_doc_reference" w:val="Document Reference"/>
  </w:docVars>
  <w:rsids>
    <w:rsidRoot w:val="000E3791"/>
    <w:rsid w:val="00006C40"/>
    <w:rsid w:val="00010C33"/>
    <w:rsid w:val="00016646"/>
    <w:rsid w:val="000301FD"/>
    <w:rsid w:val="00050D2B"/>
    <w:rsid w:val="00053160"/>
    <w:rsid w:val="00053283"/>
    <w:rsid w:val="00067B1B"/>
    <w:rsid w:val="00083F3A"/>
    <w:rsid w:val="00091FF0"/>
    <w:rsid w:val="0009718C"/>
    <w:rsid w:val="000A16A3"/>
    <w:rsid w:val="000A76CA"/>
    <w:rsid w:val="000A7DD3"/>
    <w:rsid w:val="000B5E99"/>
    <w:rsid w:val="000C2294"/>
    <w:rsid w:val="000C4256"/>
    <w:rsid w:val="000C57A1"/>
    <w:rsid w:val="000D0A35"/>
    <w:rsid w:val="000D7005"/>
    <w:rsid w:val="000E3791"/>
    <w:rsid w:val="000E5F36"/>
    <w:rsid w:val="000E72BC"/>
    <w:rsid w:val="001046C3"/>
    <w:rsid w:val="00113596"/>
    <w:rsid w:val="001167C3"/>
    <w:rsid w:val="001173A0"/>
    <w:rsid w:val="00121CEA"/>
    <w:rsid w:val="00124293"/>
    <w:rsid w:val="00141C62"/>
    <w:rsid w:val="0015270A"/>
    <w:rsid w:val="00173025"/>
    <w:rsid w:val="00174D82"/>
    <w:rsid w:val="00183724"/>
    <w:rsid w:val="00192F64"/>
    <w:rsid w:val="00194283"/>
    <w:rsid w:val="001966A9"/>
    <w:rsid w:val="001A556E"/>
    <w:rsid w:val="001A5E64"/>
    <w:rsid w:val="001A7E90"/>
    <w:rsid w:val="001B3CDB"/>
    <w:rsid w:val="001D0351"/>
    <w:rsid w:val="001D1938"/>
    <w:rsid w:val="001D6F8F"/>
    <w:rsid w:val="001E1D87"/>
    <w:rsid w:val="001E27E6"/>
    <w:rsid w:val="001E6B89"/>
    <w:rsid w:val="001F5F92"/>
    <w:rsid w:val="002003AB"/>
    <w:rsid w:val="00214EE2"/>
    <w:rsid w:val="0021525A"/>
    <w:rsid w:val="00216940"/>
    <w:rsid w:val="00217D43"/>
    <w:rsid w:val="002227F6"/>
    <w:rsid w:val="00226D4D"/>
    <w:rsid w:val="0023065A"/>
    <w:rsid w:val="00240952"/>
    <w:rsid w:val="00247B04"/>
    <w:rsid w:val="0025411C"/>
    <w:rsid w:val="002659B1"/>
    <w:rsid w:val="00271A47"/>
    <w:rsid w:val="00282FB6"/>
    <w:rsid w:val="00286B56"/>
    <w:rsid w:val="00287DA3"/>
    <w:rsid w:val="00294D9E"/>
    <w:rsid w:val="002A5AAE"/>
    <w:rsid w:val="002B57A5"/>
    <w:rsid w:val="002C090D"/>
    <w:rsid w:val="002C5D28"/>
    <w:rsid w:val="002C7531"/>
    <w:rsid w:val="002D58C1"/>
    <w:rsid w:val="002E4323"/>
    <w:rsid w:val="002F6277"/>
    <w:rsid w:val="00301F58"/>
    <w:rsid w:val="00331A31"/>
    <w:rsid w:val="00334DA0"/>
    <w:rsid w:val="00341A0C"/>
    <w:rsid w:val="003423B0"/>
    <w:rsid w:val="00343BAD"/>
    <w:rsid w:val="003460D0"/>
    <w:rsid w:val="00351301"/>
    <w:rsid w:val="00361474"/>
    <w:rsid w:val="00365E45"/>
    <w:rsid w:val="00371EB9"/>
    <w:rsid w:val="00376BB7"/>
    <w:rsid w:val="00377723"/>
    <w:rsid w:val="003905DD"/>
    <w:rsid w:val="003931E4"/>
    <w:rsid w:val="003A0239"/>
    <w:rsid w:val="003B540D"/>
    <w:rsid w:val="003B6B00"/>
    <w:rsid w:val="003D2366"/>
    <w:rsid w:val="003E7756"/>
    <w:rsid w:val="003F1960"/>
    <w:rsid w:val="004006A9"/>
    <w:rsid w:val="00400EEC"/>
    <w:rsid w:val="00411556"/>
    <w:rsid w:val="00414390"/>
    <w:rsid w:val="00417432"/>
    <w:rsid w:val="00430D89"/>
    <w:rsid w:val="004475D1"/>
    <w:rsid w:val="004818C7"/>
    <w:rsid w:val="004824E2"/>
    <w:rsid w:val="00486FE7"/>
    <w:rsid w:val="00490FE8"/>
    <w:rsid w:val="004D569F"/>
    <w:rsid w:val="004F0FD6"/>
    <w:rsid w:val="00501D75"/>
    <w:rsid w:val="00513712"/>
    <w:rsid w:val="00514793"/>
    <w:rsid w:val="00536824"/>
    <w:rsid w:val="00546374"/>
    <w:rsid w:val="00547A1C"/>
    <w:rsid w:val="0055013E"/>
    <w:rsid w:val="00556B0A"/>
    <w:rsid w:val="00561521"/>
    <w:rsid w:val="00575414"/>
    <w:rsid w:val="00591E25"/>
    <w:rsid w:val="005C2BB9"/>
    <w:rsid w:val="005D532E"/>
    <w:rsid w:val="005D6613"/>
    <w:rsid w:val="005D7287"/>
    <w:rsid w:val="005F7392"/>
    <w:rsid w:val="00600807"/>
    <w:rsid w:val="00604DE9"/>
    <w:rsid w:val="006074E6"/>
    <w:rsid w:val="006137FA"/>
    <w:rsid w:val="006302DA"/>
    <w:rsid w:val="006342FD"/>
    <w:rsid w:val="0064271A"/>
    <w:rsid w:val="006606A2"/>
    <w:rsid w:val="00667D12"/>
    <w:rsid w:val="006746AB"/>
    <w:rsid w:val="00677F35"/>
    <w:rsid w:val="00691EBA"/>
    <w:rsid w:val="00692A9A"/>
    <w:rsid w:val="006953AE"/>
    <w:rsid w:val="006A0C68"/>
    <w:rsid w:val="006C069F"/>
    <w:rsid w:val="006C4ACB"/>
    <w:rsid w:val="006C5D12"/>
    <w:rsid w:val="006C6C12"/>
    <w:rsid w:val="006D5C62"/>
    <w:rsid w:val="006D7652"/>
    <w:rsid w:val="006E2B14"/>
    <w:rsid w:val="006E4501"/>
    <w:rsid w:val="006F0C43"/>
    <w:rsid w:val="006F3506"/>
    <w:rsid w:val="006F436A"/>
    <w:rsid w:val="00711787"/>
    <w:rsid w:val="00712F15"/>
    <w:rsid w:val="0072623E"/>
    <w:rsid w:val="00733EAF"/>
    <w:rsid w:val="0073723B"/>
    <w:rsid w:val="00754440"/>
    <w:rsid w:val="00754C4F"/>
    <w:rsid w:val="00756530"/>
    <w:rsid w:val="00764061"/>
    <w:rsid w:val="00772A93"/>
    <w:rsid w:val="0079737F"/>
    <w:rsid w:val="007A341C"/>
    <w:rsid w:val="007B54CE"/>
    <w:rsid w:val="007C4023"/>
    <w:rsid w:val="007F40F1"/>
    <w:rsid w:val="0080458E"/>
    <w:rsid w:val="0080659E"/>
    <w:rsid w:val="00807A04"/>
    <w:rsid w:val="00807C02"/>
    <w:rsid w:val="00813F0C"/>
    <w:rsid w:val="00815298"/>
    <w:rsid w:val="0081588B"/>
    <w:rsid w:val="008351DB"/>
    <w:rsid w:val="00835DCB"/>
    <w:rsid w:val="00842AE0"/>
    <w:rsid w:val="00867231"/>
    <w:rsid w:val="008761AE"/>
    <w:rsid w:val="00884339"/>
    <w:rsid w:val="008909B6"/>
    <w:rsid w:val="00894D59"/>
    <w:rsid w:val="008A2D6B"/>
    <w:rsid w:val="008B5423"/>
    <w:rsid w:val="008C2507"/>
    <w:rsid w:val="008D700F"/>
    <w:rsid w:val="008E1A5A"/>
    <w:rsid w:val="008E3D8B"/>
    <w:rsid w:val="00907003"/>
    <w:rsid w:val="00911061"/>
    <w:rsid w:val="00914485"/>
    <w:rsid w:val="009218A8"/>
    <w:rsid w:val="009279E2"/>
    <w:rsid w:val="00927A08"/>
    <w:rsid w:val="00931497"/>
    <w:rsid w:val="0093260A"/>
    <w:rsid w:val="0093451B"/>
    <w:rsid w:val="00950243"/>
    <w:rsid w:val="0096435E"/>
    <w:rsid w:val="009711FC"/>
    <w:rsid w:val="00972661"/>
    <w:rsid w:val="00972F76"/>
    <w:rsid w:val="00981863"/>
    <w:rsid w:val="0098340D"/>
    <w:rsid w:val="00996429"/>
    <w:rsid w:val="009B5F47"/>
    <w:rsid w:val="009D5A28"/>
    <w:rsid w:val="009E2BE9"/>
    <w:rsid w:val="009E601E"/>
    <w:rsid w:val="009E65E6"/>
    <w:rsid w:val="00A00E49"/>
    <w:rsid w:val="00A14A11"/>
    <w:rsid w:val="00A34BF0"/>
    <w:rsid w:val="00A41E99"/>
    <w:rsid w:val="00A5391D"/>
    <w:rsid w:val="00A62D76"/>
    <w:rsid w:val="00A74E5A"/>
    <w:rsid w:val="00A76D4E"/>
    <w:rsid w:val="00A864B7"/>
    <w:rsid w:val="00A91C01"/>
    <w:rsid w:val="00A96E8A"/>
    <w:rsid w:val="00AA2C7E"/>
    <w:rsid w:val="00AA5089"/>
    <w:rsid w:val="00AE28C5"/>
    <w:rsid w:val="00B00806"/>
    <w:rsid w:val="00B0737C"/>
    <w:rsid w:val="00B17FC6"/>
    <w:rsid w:val="00B2164F"/>
    <w:rsid w:val="00B344AF"/>
    <w:rsid w:val="00B42487"/>
    <w:rsid w:val="00B452D6"/>
    <w:rsid w:val="00B47A84"/>
    <w:rsid w:val="00B535D5"/>
    <w:rsid w:val="00B71565"/>
    <w:rsid w:val="00B86079"/>
    <w:rsid w:val="00B96913"/>
    <w:rsid w:val="00BA124B"/>
    <w:rsid w:val="00BA36AD"/>
    <w:rsid w:val="00BB7C00"/>
    <w:rsid w:val="00BC25D0"/>
    <w:rsid w:val="00BC5B8C"/>
    <w:rsid w:val="00BD5A8D"/>
    <w:rsid w:val="00BE0B71"/>
    <w:rsid w:val="00BE16D4"/>
    <w:rsid w:val="00BF446F"/>
    <w:rsid w:val="00BF5053"/>
    <w:rsid w:val="00BF6446"/>
    <w:rsid w:val="00BF7650"/>
    <w:rsid w:val="00C0255D"/>
    <w:rsid w:val="00C059CD"/>
    <w:rsid w:val="00C05B0B"/>
    <w:rsid w:val="00C11FB7"/>
    <w:rsid w:val="00C14105"/>
    <w:rsid w:val="00C201D9"/>
    <w:rsid w:val="00C24B9D"/>
    <w:rsid w:val="00C35082"/>
    <w:rsid w:val="00C47D3A"/>
    <w:rsid w:val="00C52829"/>
    <w:rsid w:val="00C56042"/>
    <w:rsid w:val="00C56BD2"/>
    <w:rsid w:val="00C66AE2"/>
    <w:rsid w:val="00C765FC"/>
    <w:rsid w:val="00C83AE7"/>
    <w:rsid w:val="00C84D18"/>
    <w:rsid w:val="00C850B4"/>
    <w:rsid w:val="00C93788"/>
    <w:rsid w:val="00CA38A1"/>
    <w:rsid w:val="00CA6D9B"/>
    <w:rsid w:val="00CB6BD7"/>
    <w:rsid w:val="00CC062C"/>
    <w:rsid w:val="00CC5693"/>
    <w:rsid w:val="00CC5E78"/>
    <w:rsid w:val="00CD5993"/>
    <w:rsid w:val="00CD7666"/>
    <w:rsid w:val="00CF2D3A"/>
    <w:rsid w:val="00D03DD0"/>
    <w:rsid w:val="00D057A4"/>
    <w:rsid w:val="00D0615A"/>
    <w:rsid w:val="00D10542"/>
    <w:rsid w:val="00D312E8"/>
    <w:rsid w:val="00D33F79"/>
    <w:rsid w:val="00D34751"/>
    <w:rsid w:val="00D352FF"/>
    <w:rsid w:val="00D369FD"/>
    <w:rsid w:val="00D452D7"/>
    <w:rsid w:val="00D4551A"/>
    <w:rsid w:val="00D56FA4"/>
    <w:rsid w:val="00D60F6E"/>
    <w:rsid w:val="00D67D4E"/>
    <w:rsid w:val="00D71CF1"/>
    <w:rsid w:val="00D750EB"/>
    <w:rsid w:val="00D919E5"/>
    <w:rsid w:val="00D96706"/>
    <w:rsid w:val="00DA1FE5"/>
    <w:rsid w:val="00DA2E20"/>
    <w:rsid w:val="00DA44CB"/>
    <w:rsid w:val="00DA4BE2"/>
    <w:rsid w:val="00DA69B9"/>
    <w:rsid w:val="00DB1D8F"/>
    <w:rsid w:val="00DB7387"/>
    <w:rsid w:val="00DE3D0F"/>
    <w:rsid w:val="00DE7B01"/>
    <w:rsid w:val="00E03739"/>
    <w:rsid w:val="00E17942"/>
    <w:rsid w:val="00E27CD0"/>
    <w:rsid w:val="00E44073"/>
    <w:rsid w:val="00E52C4F"/>
    <w:rsid w:val="00E61BFB"/>
    <w:rsid w:val="00E7183B"/>
    <w:rsid w:val="00E73F99"/>
    <w:rsid w:val="00E74215"/>
    <w:rsid w:val="00E74C5F"/>
    <w:rsid w:val="00E8159F"/>
    <w:rsid w:val="00E86D5D"/>
    <w:rsid w:val="00E90938"/>
    <w:rsid w:val="00E96586"/>
    <w:rsid w:val="00EB22A6"/>
    <w:rsid w:val="00EB5781"/>
    <w:rsid w:val="00EB681B"/>
    <w:rsid w:val="00EB7F31"/>
    <w:rsid w:val="00EC7A1B"/>
    <w:rsid w:val="00ED103C"/>
    <w:rsid w:val="00ED2893"/>
    <w:rsid w:val="00ED2C7F"/>
    <w:rsid w:val="00EF1BB8"/>
    <w:rsid w:val="00EF28EE"/>
    <w:rsid w:val="00F15478"/>
    <w:rsid w:val="00F23391"/>
    <w:rsid w:val="00F23551"/>
    <w:rsid w:val="00F24C1D"/>
    <w:rsid w:val="00F350A0"/>
    <w:rsid w:val="00F35CAF"/>
    <w:rsid w:val="00F45EBE"/>
    <w:rsid w:val="00F561F5"/>
    <w:rsid w:val="00F563AD"/>
    <w:rsid w:val="00F62313"/>
    <w:rsid w:val="00F73314"/>
    <w:rsid w:val="00F803EB"/>
    <w:rsid w:val="00F825D8"/>
    <w:rsid w:val="00F9029C"/>
    <w:rsid w:val="00F9447C"/>
    <w:rsid w:val="00F95643"/>
    <w:rsid w:val="00FA32D1"/>
    <w:rsid w:val="00FB0466"/>
    <w:rsid w:val="00FB128D"/>
    <w:rsid w:val="00FC7D2E"/>
    <w:rsid w:val="00FD7198"/>
    <w:rsid w:val="00FD7D7F"/>
    <w:rsid w:val="00FE2D25"/>
    <w:rsid w:val="00FF061F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622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3460D0"/>
    <w:pPr>
      <w:spacing w:before="120" w:after="120" w:line="264" w:lineRule="auto"/>
    </w:pPr>
    <w:rPr>
      <w:rFonts w:ascii="Arial" w:eastAsia="SimSun" w:hAnsi="Arial" w:cs="Arial"/>
      <w:lang w:eastAsia="zh-CN"/>
    </w:rPr>
  </w:style>
  <w:style w:type="paragraph" w:styleId="Heading1">
    <w:name w:val="heading 1"/>
    <w:next w:val="BodyText"/>
    <w:qFormat/>
    <w:rsid w:val="00BF5053"/>
    <w:pPr>
      <w:keepNext/>
      <w:keepLines/>
      <w:numPr>
        <w:numId w:val="2"/>
      </w:numPr>
      <w:spacing w:before="120" w:after="360"/>
      <w:outlineLvl w:val="0"/>
    </w:pPr>
    <w:rPr>
      <w:rFonts w:eastAsia="SC STKaiti"/>
      <w:color w:val="DD6225"/>
      <w:sz w:val="32"/>
      <w:szCs w:val="32"/>
      <w:lang w:eastAsia="zh-CN"/>
    </w:rPr>
  </w:style>
  <w:style w:type="paragraph" w:styleId="Heading2">
    <w:name w:val="heading 2"/>
    <w:basedOn w:val="Heading1"/>
    <w:next w:val="BodyText"/>
    <w:qFormat/>
    <w:rsid w:val="00EB5781"/>
    <w:pPr>
      <w:numPr>
        <w:ilvl w:val="1"/>
      </w:numPr>
      <w:spacing w:before="240" w:after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BodyText"/>
    <w:qFormat/>
    <w:rsid w:val="00E03739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qFormat/>
    <w:rsid w:val="00CD5993"/>
    <w:pPr>
      <w:keepLines w:val="0"/>
      <w:numPr>
        <w:ilvl w:val="3"/>
      </w:numPr>
      <w:jc w:val="both"/>
      <w:outlineLvl w:val="3"/>
    </w:pPr>
    <w:rPr>
      <w:szCs w:val="40"/>
    </w:rPr>
  </w:style>
  <w:style w:type="paragraph" w:styleId="Heading5">
    <w:name w:val="heading 5"/>
    <w:basedOn w:val="Heading4"/>
    <w:next w:val="BodyText"/>
    <w:qFormat/>
    <w:rsid w:val="002C7531"/>
    <w:pPr>
      <w:numPr>
        <w:ilvl w:val="4"/>
      </w:numPr>
      <w:outlineLvl w:val="4"/>
    </w:pPr>
    <w:rPr>
      <w:bCs/>
      <w:i/>
      <w:iCs/>
      <w:szCs w:val="24"/>
    </w:rPr>
  </w:style>
  <w:style w:type="paragraph" w:styleId="Heading6">
    <w:name w:val="heading 6"/>
    <w:basedOn w:val="Heading5"/>
    <w:next w:val="BodyText"/>
    <w:qFormat/>
    <w:rsid w:val="00F62313"/>
    <w:pPr>
      <w:numPr>
        <w:ilvl w:val="5"/>
      </w:numPr>
      <w:outlineLvl w:val="5"/>
    </w:pPr>
    <w:rPr>
      <w:b/>
      <w:bCs w:val="0"/>
      <w:sz w:val="20"/>
      <w:szCs w:val="20"/>
    </w:rPr>
  </w:style>
  <w:style w:type="paragraph" w:styleId="Heading7">
    <w:name w:val="heading 7"/>
    <w:aliases w:val="Letter Heading"/>
    <w:basedOn w:val="Heading6"/>
    <w:next w:val="BodyText"/>
    <w:qFormat/>
    <w:rsid w:val="00894D59"/>
    <w:pPr>
      <w:numPr>
        <w:ilvl w:val="6"/>
      </w:numPr>
      <w:outlineLvl w:val="6"/>
    </w:pPr>
    <w:rPr>
      <w:i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351DB"/>
    <w:pPr>
      <w:spacing w:before="160" w:after="160" w:line="288" w:lineRule="auto"/>
      <w:jc w:val="both"/>
    </w:pPr>
  </w:style>
  <w:style w:type="table" w:styleId="TableGrid">
    <w:name w:val="Table Grid"/>
    <w:basedOn w:val="TableNormal"/>
    <w:rsid w:val="00996429"/>
    <w:pPr>
      <w:spacing w:before="120" w:after="120"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A0C68"/>
    <w:pPr>
      <w:pBdr>
        <w:bottom w:val="single" w:sz="2" w:space="1" w:color="auto"/>
      </w:pBdr>
      <w:spacing w:before="1120" w:after="160" w:line="240" w:lineRule="auto"/>
    </w:pPr>
    <w:rPr>
      <w:caps/>
      <w:color w:val="3E3A39"/>
      <w:sz w:val="16"/>
      <w:szCs w:val="12"/>
    </w:rPr>
  </w:style>
  <w:style w:type="paragraph" w:styleId="Footer">
    <w:name w:val="footer"/>
    <w:basedOn w:val="Normal"/>
    <w:link w:val="FooterChar"/>
    <w:rsid w:val="00914485"/>
    <w:pPr>
      <w:tabs>
        <w:tab w:val="center" w:pos="7371"/>
      </w:tabs>
      <w:spacing w:before="0" w:after="0" w:line="240" w:lineRule="auto"/>
    </w:pPr>
    <w:rPr>
      <w:color w:val="808080"/>
      <w:sz w:val="14"/>
      <w:szCs w:val="14"/>
    </w:rPr>
  </w:style>
  <w:style w:type="paragraph" w:customStyle="1" w:styleId="Appendix">
    <w:name w:val="Appendix"/>
    <w:basedOn w:val="PageHeading"/>
    <w:next w:val="BodyText"/>
    <w:rsid w:val="00EF1BB8"/>
    <w:pPr>
      <w:tabs>
        <w:tab w:val="num" w:pos="720"/>
      </w:tabs>
      <w:spacing w:after="720"/>
      <w:ind w:left="2665" w:hanging="2665"/>
    </w:pPr>
  </w:style>
  <w:style w:type="paragraph" w:customStyle="1" w:styleId="PageHeading">
    <w:name w:val="Page Heading"/>
    <w:next w:val="BodyText"/>
    <w:qFormat/>
    <w:rsid w:val="00F15478"/>
    <w:pPr>
      <w:pageBreakBefore/>
      <w:spacing w:before="120" w:after="480"/>
    </w:pPr>
    <w:rPr>
      <w:rFonts w:eastAsia="SimSun"/>
      <w:color w:val="DD6225"/>
      <w:sz w:val="40"/>
      <w:szCs w:val="40"/>
      <w:lang w:eastAsia="zh-CN"/>
    </w:rPr>
  </w:style>
  <w:style w:type="paragraph" w:customStyle="1" w:styleId="IntroText">
    <w:name w:val="Intro Text"/>
    <w:qFormat/>
    <w:rsid w:val="002C090D"/>
    <w:pPr>
      <w:spacing w:line="280" w:lineRule="exact"/>
      <w:jc w:val="both"/>
    </w:pPr>
    <w:rPr>
      <w:rFonts w:eastAsia="SimSun"/>
      <w:color w:val="DD6225"/>
      <w:sz w:val="28"/>
      <w:szCs w:val="24"/>
      <w:lang w:eastAsia="zh-CN"/>
    </w:rPr>
  </w:style>
  <w:style w:type="paragraph" w:styleId="ListBullet">
    <w:name w:val="List Bullet"/>
    <w:basedOn w:val="BodyText"/>
    <w:rsid w:val="00815298"/>
    <w:pPr>
      <w:numPr>
        <w:numId w:val="3"/>
      </w:numPr>
    </w:pPr>
    <w:rPr>
      <w:rFonts w:eastAsia="SC STKaiti"/>
      <w:szCs w:val="18"/>
      <w:lang w:eastAsia="en-AU"/>
    </w:rPr>
  </w:style>
  <w:style w:type="paragraph" w:styleId="ListBullet2">
    <w:name w:val="List Bullet 2"/>
    <w:basedOn w:val="BodyText"/>
    <w:rsid w:val="00D67D4E"/>
    <w:pPr>
      <w:numPr>
        <w:ilvl w:val="1"/>
        <w:numId w:val="3"/>
      </w:numPr>
    </w:pPr>
    <w:rPr>
      <w:rFonts w:eastAsia="SC STKaiti"/>
      <w:szCs w:val="24"/>
    </w:rPr>
  </w:style>
  <w:style w:type="paragraph" w:styleId="ListBullet3">
    <w:name w:val="List Bullet 3"/>
    <w:basedOn w:val="BodyText"/>
    <w:rsid w:val="00DB7387"/>
    <w:pPr>
      <w:numPr>
        <w:ilvl w:val="2"/>
        <w:numId w:val="3"/>
      </w:numPr>
    </w:pPr>
    <w:rPr>
      <w:rFonts w:eastAsia="SC STKaiti"/>
      <w:szCs w:val="24"/>
    </w:rPr>
  </w:style>
  <w:style w:type="paragraph" w:styleId="Caption">
    <w:name w:val="caption"/>
    <w:basedOn w:val="Normal"/>
    <w:next w:val="Normal"/>
    <w:qFormat/>
    <w:rsid w:val="00377723"/>
    <w:rPr>
      <w:b/>
      <w:bCs/>
      <w:sz w:val="18"/>
    </w:rPr>
  </w:style>
  <w:style w:type="paragraph" w:styleId="TOC2">
    <w:name w:val="toc 2"/>
    <w:basedOn w:val="Normal"/>
    <w:next w:val="Normal"/>
    <w:autoRedefine/>
    <w:semiHidden/>
    <w:rsid w:val="00B42487"/>
    <w:pPr>
      <w:ind w:left="200"/>
    </w:pPr>
  </w:style>
  <w:style w:type="paragraph" w:styleId="TOC1">
    <w:name w:val="toc 1"/>
    <w:basedOn w:val="Normal"/>
    <w:next w:val="Normal"/>
    <w:autoRedefine/>
    <w:semiHidden/>
    <w:rsid w:val="001E1D87"/>
    <w:rPr>
      <w:b/>
    </w:rPr>
  </w:style>
  <w:style w:type="paragraph" w:styleId="TOC3">
    <w:name w:val="toc 3"/>
    <w:basedOn w:val="Normal"/>
    <w:next w:val="Normal"/>
    <w:autoRedefine/>
    <w:semiHidden/>
    <w:rsid w:val="00C66AE2"/>
    <w:pPr>
      <w:ind w:left="400"/>
    </w:pPr>
  </w:style>
  <w:style w:type="character" w:styleId="Hyperlink">
    <w:name w:val="Hyperlink"/>
    <w:basedOn w:val="DefaultParagraphFont"/>
    <w:uiPriority w:val="99"/>
    <w:rsid w:val="00C850B4"/>
    <w:rPr>
      <w:color w:val="9D520E"/>
      <w:u w:val="single"/>
    </w:rPr>
  </w:style>
  <w:style w:type="paragraph" w:styleId="TOC4">
    <w:name w:val="toc 4"/>
    <w:basedOn w:val="Normal"/>
    <w:next w:val="Normal"/>
    <w:autoRedefine/>
    <w:semiHidden/>
    <w:rsid w:val="00091FF0"/>
    <w:pPr>
      <w:ind w:left="600"/>
    </w:pPr>
  </w:style>
  <w:style w:type="character" w:styleId="PageNumber">
    <w:name w:val="page number"/>
    <w:basedOn w:val="DefaultParagraphFont"/>
    <w:rsid w:val="00CA6D9B"/>
    <w:rPr>
      <w:rFonts w:ascii="Arial Bold" w:hAnsi="Arial Bold"/>
      <w:b/>
      <w:color w:val="FFFFFF"/>
    </w:rPr>
  </w:style>
  <w:style w:type="paragraph" w:customStyle="1" w:styleId="TableMain">
    <w:name w:val="Table Main"/>
    <w:rsid w:val="00CA38A1"/>
    <w:pPr>
      <w:spacing w:before="120" w:after="120"/>
    </w:pPr>
    <w:rPr>
      <w:rFonts w:ascii="Arial" w:eastAsia="SC STKaiti" w:hAnsi="Arial" w:cs="Arial"/>
      <w:sz w:val="18"/>
      <w:szCs w:val="18"/>
      <w:lang w:eastAsia="zh-CN"/>
    </w:rPr>
  </w:style>
  <w:style w:type="paragraph" w:customStyle="1" w:styleId="TableBullet1">
    <w:name w:val="Table Bullet 1"/>
    <w:basedOn w:val="TableMain"/>
    <w:rsid w:val="00FA32D1"/>
    <w:pPr>
      <w:numPr>
        <w:numId w:val="4"/>
      </w:numPr>
      <w:ind w:right="142"/>
    </w:pPr>
  </w:style>
  <w:style w:type="paragraph" w:customStyle="1" w:styleId="TableBullet2">
    <w:name w:val="Table Bullet 2"/>
    <w:basedOn w:val="TableBullet1"/>
    <w:rsid w:val="00053283"/>
    <w:pPr>
      <w:numPr>
        <w:numId w:val="0"/>
      </w:numPr>
      <w:ind w:right="125"/>
    </w:pPr>
    <w:rPr>
      <w:szCs w:val="24"/>
    </w:rPr>
  </w:style>
  <w:style w:type="paragraph" w:customStyle="1" w:styleId="TableBullet3">
    <w:name w:val="Table Bullet 3"/>
    <w:basedOn w:val="TableBullet2"/>
    <w:qFormat/>
    <w:rsid w:val="008D700F"/>
    <w:pPr>
      <w:numPr>
        <w:ilvl w:val="2"/>
        <w:numId w:val="4"/>
      </w:numPr>
    </w:pPr>
  </w:style>
  <w:style w:type="table" w:customStyle="1" w:styleId="EPLTablePlain">
    <w:name w:val="EPL_Table_Plain"/>
    <w:basedOn w:val="TableNormal"/>
    <w:rsid w:val="00911061"/>
    <w:rPr>
      <w:rFonts w:ascii="Arial" w:hAnsi="Arial"/>
      <w:sz w:val="18"/>
    </w:rPr>
    <w:tblPr>
      <w:tblInd w:w="0" w:type="dxa"/>
      <w:tblBorders>
        <w:top w:val="single" w:sz="2" w:space="0" w:color="C0C0C0"/>
        <w:left w:val="single" w:sz="2" w:space="0" w:color="FFFFFF"/>
        <w:bottom w:val="single" w:sz="2" w:space="0" w:color="C0C0C0"/>
        <w:right w:val="single" w:sz="2" w:space="0" w:color="FFFFFF"/>
        <w:insideH w:val="single" w:sz="2" w:space="0" w:color="C0C0C0"/>
        <w:insideV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rPr>
        <w:rFonts w:ascii="Arial" w:hAnsi="Arial"/>
        <w:b/>
        <w:color w:val="FFFFFF"/>
        <w:sz w:val="18"/>
      </w:rPr>
      <w:tblPr/>
      <w:trPr>
        <w:cantSplit/>
        <w:tblHeader/>
      </w:trPr>
      <w:tcPr>
        <w:tcBorders>
          <w:top w:val="single" w:sz="2" w:space="0" w:color="C0C0C0"/>
          <w:left w:val="single" w:sz="2" w:space="0" w:color="FFFFFF"/>
          <w:bottom w:val="single" w:sz="2" w:space="0" w:color="C0C0C0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DD6225"/>
      </w:tcPr>
    </w:tblStylePr>
  </w:style>
  <w:style w:type="table" w:customStyle="1" w:styleId="EPLTableStandard">
    <w:name w:val="EPL_Table_Standard"/>
    <w:basedOn w:val="TableNormal"/>
    <w:rsid w:val="006137FA"/>
    <w:rPr>
      <w:rFonts w:ascii="Arial" w:hAnsi="Arial"/>
      <w:sz w:val="18"/>
      <w:szCs w:val="18"/>
    </w:rPr>
    <w:tblPr>
      <w:tblStyleRowBandSize w:val="1"/>
      <w:tblInd w:w="0" w:type="dxa"/>
      <w:tblBorders>
        <w:top w:val="single" w:sz="2" w:space="0" w:color="C0C0C0"/>
        <w:left w:val="single" w:sz="2" w:space="0" w:color="FFFFFF"/>
        <w:bottom w:val="single" w:sz="2" w:space="0" w:color="C0C0C0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MV Boli" w:hAnsi="MV Boli"/>
        <w:b/>
        <w:i w:val="0"/>
        <w:color w:val="FFFFFF"/>
        <w:sz w:val="18"/>
        <w:szCs w:val="18"/>
      </w:rPr>
      <w:tblPr/>
      <w:trPr>
        <w:tblHeader/>
      </w:trPr>
      <w:tcPr>
        <w:tcBorders>
          <w:top w:val="single" w:sz="2" w:space="0" w:color="C0C0C0"/>
          <w:left w:val="single" w:sz="2" w:space="0" w:color="FFFFFF"/>
          <w:bottom w:val="single" w:sz="2" w:space="0" w:color="C0C0C0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DD6225"/>
      </w:tcPr>
    </w:tblStylePr>
    <w:tblStylePr w:type="band1Horz">
      <w:rPr>
        <w:sz w:val="18"/>
      </w:rPr>
      <w:tblPr/>
      <w:tcPr>
        <w:tcBorders>
          <w:top w:val="single" w:sz="2" w:space="0" w:color="C0C0C0"/>
          <w:left w:val="single" w:sz="2" w:space="0" w:color="FFFFFF"/>
          <w:bottom w:val="single" w:sz="2" w:space="0" w:color="C0C0C0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F3F3F3"/>
      </w:tcPr>
    </w:tblStylePr>
    <w:tblStylePr w:type="band2Horz">
      <w:rPr>
        <w:sz w:val="18"/>
      </w:rPr>
      <w:tblPr/>
      <w:tcPr>
        <w:tcBorders>
          <w:top w:val="nil"/>
          <w:left w:val="single" w:sz="2" w:space="0" w:color="FFFFFF"/>
          <w:bottom w:val="nil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DDDDDD"/>
      </w:tcPr>
    </w:tblStylePr>
  </w:style>
  <w:style w:type="character" w:styleId="FootnoteReference">
    <w:name w:val="footnote reference"/>
    <w:basedOn w:val="DefaultParagraphFont"/>
    <w:semiHidden/>
    <w:rsid w:val="0025411C"/>
    <w:rPr>
      <w:vertAlign w:val="superscript"/>
    </w:rPr>
  </w:style>
  <w:style w:type="paragraph" w:styleId="FootnoteText">
    <w:name w:val="footnote text"/>
    <w:basedOn w:val="Normal"/>
    <w:semiHidden/>
    <w:rsid w:val="000C57A1"/>
    <w:rPr>
      <w:sz w:val="16"/>
    </w:rPr>
  </w:style>
  <w:style w:type="paragraph" w:styleId="ListBullet4">
    <w:name w:val="List Bullet 4"/>
    <w:basedOn w:val="Normal"/>
    <w:autoRedefine/>
    <w:rsid w:val="00D352FF"/>
    <w:pPr>
      <w:numPr>
        <w:ilvl w:val="3"/>
        <w:numId w:val="3"/>
      </w:numPr>
    </w:pPr>
  </w:style>
  <w:style w:type="paragraph" w:styleId="ListBullet5">
    <w:name w:val="List Bullet 5"/>
    <w:basedOn w:val="Normal"/>
    <w:autoRedefine/>
    <w:rsid w:val="008E1A5A"/>
    <w:pPr>
      <w:numPr>
        <w:ilvl w:val="4"/>
        <w:numId w:val="3"/>
      </w:numPr>
    </w:pPr>
  </w:style>
  <w:style w:type="paragraph" w:customStyle="1" w:styleId="EPLCopyrightandDisclaimer">
    <w:name w:val="EPL Copyright and Disclaimer"/>
    <w:basedOn w:val="BodyText"/>
    <w:rsid w:val="001D0351"/>
    <w:pPr>
      <w:spacing w:before="120" w:after="120"/>
    </w:pPr>
    <w:rPr>
      <w:sz w:val="16"/>
    </w:rPr>
  </w:style>
  <w:style w:type="paragraph" w:customStyle="1" w:styleId="EPLMainAddress">
    <w:name w:val="EPL Main Address"/>
    <w:qFormat/>
    <w:rsid w:val="00F45EBE"/>
    <w:pPr>
      <w:spacing w:before="60" w:after="60"/>
    </w:pPr>
    <w:rPr>
      <w:rFonts w:ascii="Arial" w:eastAsia="SimSun" w:hAnsi="Arial" w:cs="Arial"/>
      <w:color w:val="3E3A39"/>
      <w:sz w:val="18"/>
      <w:szCs w:val="18"/>
      <w:lang w:eastAsia="zh-CN"/>
    </w:rPr>
  </w:style>
  <w:style w:type="paragraph" w:customStyle="1" w:styleId="EPLMainAddressOrange">
    <w:name w:val="EPL Main Address Orange"/>
    <w:qFormat/>
    <w:rsid w:val="00331A31"/>
    <w:pPr>
      <w:spacing w:before="240"/>
    </w:pPr>
    <w:rPr>
      <w:rFonts w:ascii="Arial Bold" w:eastAsia="SimSun" w:hAnsi="Arial Bold" w:cs="Arial"/>
      <w:b/>
      <w:color w:val="DD6225"/>
      <w:sz w:val="18"/>
      <w:szCs w:val="18"/>
      <w:lang w:eastAsia="zh-CN"/>
    </w:rPr>
  </w:style>
  <w:style w:type="paragraph" w:customStyle="1" w:styleId="EPLTitlePageDate">
    <w:name w:val="EPL Title Page Date"/>
    <w:qFormat/>
    <w:rsid w:val="00240952"/>
    <w:pPr>
      <w:spacing w:before="720" w:after="80"/>
    </w:pPr>
    <w:rPr>
      <w:rFonts w:ascii="Arial" w:eastAsia="SimSun" w:hAnsi="Arial" w:cs="Arial"/>
      <w:color w:val="DD6225"/>
      <w:sz w:val="18"/>
      <w:szCs w:val="18"/>
      <w:lang w:eastAsia="zh-CN"/>
    </w:rPr>
  </w:style>
  <w:style w:type="paragraph" w:customStyle="1" w:styleId="EPLTitlePageGrey">
    <w:name w:val="EPL Title Page Grey"/>
    <w:qFormat/>
    <w:rsid w:val="00712F15"/>
    <w:rPr>
      <w:rFonts w:eastAsia="SimSun"/>
      <w:color w:val="3E3A39"/>
      <w:sz w:val="56"/>
      <w:szCs w:val="56"/>
      <w:lang w:eastAsia="zh-CN"/>
    </w:rPr>
  </w:style>
  <w:style w:type="paragraph" w:customStyle="1" w:styleId="EPLTitlePageOrange">
    <w:name w:val="EPL Title Page Orange"/>
    <w:qFormat/>
    <w:rsid w:val="00E27CD0"/>
    <w:rPr>
      <w:rFonts w:eastAsia="SimSun"/>
      <w:color w:val="DD6225"/>
      <w:sz w:val="56"/>
      <w:szCs w:val="56"/>
      <w:lang w:eastAsia="zh-CN"/>
    </w:rPr>
  </w:style>
  <w:style w:type="paragraph" w:customStyle="1" w:styleId="EPLTitlePageShortReport">
    <w:name w:val="EPL Title Page Short Report"/>
    <w:rsid w:val="004D569F"/>
    <w:pPr>
      <w:pBdr>
        <w:bottom w:val="single" w:sz="2" w:space="8" w:color="auto"/>
      </w:pBdr>
      <w:spacing w:before="1040" w:after="80"/>
    </w:pPr>
    <w:rPr>
      <w:rFonts w:eastAsia="SimSun"/>
      <w:color w:val="DD6225"/>
      <w:sz w:val="40"/>
      <w:szCs w:val="56"/>
      <w:lang w:eastAsia="zh-CN"/>
    </w:rPr>
  </w:style>
  <w:style w:type="paragraph" w:customStyle="1" w:styleId="EPLLetterAddress">
    <w:name w:val="EPL Letter Address"/>
    <w:basedOn w:val="BodyText"/>
    <w:rsid w:val="00FB0466"/>
    <w:pPr>
      <w:spacing w:before="20" w:after="20" w:line="264" w:lineRule="auto"/>
      <w:jc w:val="left"/>
    </w:pPr>
  </w:style>
  <w:style w:type="paragraph" w:customStyle="1" w:styleId="EPLLetterAddressGrey">
    <w:name w:val="EPL Letter Address Grey"/>
    <w:basedOn w:val="Normal"/>
    <w:rsid w:val="00DE7B01"/>
    <w:pPr>
      <w:tabs>
        <w:tab w:val="left" w:pos="460"/>
      </w:tabs>
      <w:spacing w:before="0" w:after="0"/>
    </w:pPr>
    <w:rPr>
      <w:sz w:val="14"/>
    </w:rPr>
  </w:style>
  <w:style w:type="paragraph" w:customStyle="1" w:styleId="EPLLetterAddressOrange">
    <w:name w:val="EPL Letter Address Orange"/>
    <w:basedOn w:val="EPLLetterAddressGrey"/>
    <w:rsid w:val="00667D12"/>
    <w:pPr>
      <w:spacing w:before="20"/>
    </w:pPr>
    <w:rPr>
      <w:rFonts w:ascii="Times New Roman" w:hAnsi="Times New Roman"/>
      <w:color w:val="DD6225"/>
      <w:sz w:val="18"/>
      <w:szCs w:val="16"/>
    </w:rPr>
  </w:style>
  <w:style w:type="paragraph" w:customStyle="1" w:styleId="EPLLetterHeader">
    <w:name w:val="EPL Letter Header"/>
    <w:basedOn w:val="Normal"/>
    <w:rsid w:val="00486FE7"/>
    <w:pPr>
      <w:spacing w:after="1080" w:line="240" w:lineRule="auto"/>
    </w:pPr>
    <w:rPr>
      <w:szCs w:val="2"/>
    </w:rPr>
  </w:style>
  <w:style w:type="table" w:customStyle="1" w:styleId="EPLTableTenders">
    <w:name w:val="EPL_Table_Tenders"/>
    <w:basedOn w:val="TableNormal"/>
    <w:rsid w:val="00490FE8"/>
    <w:rPr>
      <w:rFonts w:ascii="Arial" w:hAnsi="Arial"/>
      <w:sz w:val="18"/>
    </w:rPr>
    <w:tblPr>
      <w:tblInd w:w="0" w:type="dxa"/>
      <w:tblBorders>
        <w:top w:val="single" w:sz="2" w:space="0" w:color="C0C0C0"/>
        <w:left w:val="single" w:sz="2" w:space="0" w:color="B2B2B2"/>
        <w:bottom w:val="single" w:sz="2" w:space="0" w:color="C0C0C0"/>
        <w:right w:val="single" w:sz="2" w:space="0" w:color="B2B2B2"/>
        <w:insideH w:val="single" w:sz="2" w:space="0" w:color="C0C0C0"/>
        <w:insideV w:val="single" w:sz="2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18"/>
      </w:rPr>
      <w:tblPr/>
      <w:trPr>
        <w:tblHeader/>
      </w:trPr>
      <w:tcPr>
        <w:tcBorders>
          <w:top w:val="single" w:sz="2" w:space="0" w:color="C0C0C0"/>
          <w:left w:val="single" w:sz="2" w:space="0" w:color="B2B2B2"/>
          <w:bottom w:val="single" w:sz="2" w:space="0" w:color="C0C0C0"/>
          <w:right w:val="single" w:sz="2" w:space="0" w:color="B2B2B2"/>
          <w:insideH w:val="nil"/>
          <w:insideV w:val="single" w:sz="2" w:space="0" w:color="FFFFFF"/>
          <w:tl2br w:val="nil"/>
          <w:tr2bl w:val="nil"/>
        </w:tcBorders>
        <w:shd w:val="clear" w:color="auto" w:fill="DD6225"/>
      </w:tcPr>
    </w:tblStylePr>
  </w:style>
  <w:style w:type="paragraph" w:customStyle="1" w:styleId="EGMainAddress">
    <w:name w:val="EG Main Address"/>
    <w:link w:val="EGMainAddressChar"/>
    <w:qFormat/>
    <w:rsid w:val="003460D0"/>
    <w:pPr>
      <w:spacing w:before="60" w:after="60"/>
    </w:pPr>
    <w:rPr>
      <w:rFonts w:ascii="Arial" w:eastAsia="SimSun" w:hAnsi="Arial" w:cs="Arial"/>
      <w:color w:val="3E3A39"/>
      <w:sz w:val="18"/>
      <w:szCs w:val="18"/>
      <w:lang w:eastAsia="zh-CN"/>
    </w:rPr>
  </w:style>
  <w:style w:type="paragraph" w:customStyle="1" w:styleId="EGMainAddressOrange">
    <w:name w:val="EG Main Address Orange"/>
    <w:qFormat/>
    <w:rsid w:val="003460D0"/>
    <w:pPr>
      <w:spacing w:before="240"/>
    </w:pPr>
    <w:rPr>
      <w:rFonts w:ascii="Arial Bold" w:eastAsia="SimSun" w:hAnsi="Arial Bold" w:cs="Arial"/>
      <w:b/>
      <w:color w:val="DD6225"/>
      <w:sz w:val="18"/>
      <w:szCs w:val="18"/>
      <w:lang w:eastAsia="zh-CN"/>
    </w:rPr>
  </w:style>
  <w:style w:type="paragraph" w:customStyle="1" w:styleId="E-TableBody">
    <w:name w:val="E-TableBody"/>
    <w:basedOn w:val="Normal"/>
    <w:rsid w:val="003460D0"/>
    <w:pPr>
      <w:tabs>
        <w:tab w:val="left" w:pos="227"/>
        <w:tab w:val="left" w:pos="3780"/>
      </w:tabs>
      <w:suppressAutoHyphens/>
      <w:spacing w:before="0" w:after="80" w:line="240" w:lineRule="auto"/>
    </w:pPr>
    <w:rPr>
      <w:rFonts w:eastAsia="Times New Roman" w:cs="Times New Roman"/>
      <w:sz w:val="18"/>
      <w:lang w:val="en-US" w:eastAsia="en-US"/>
    </w:rPr>
  </w:style>
  <w:style w:type="paragraph" w:customStyle="1" w:styleId="E-Bullet">
    <w:name w:val="E-Bullet"/>
    <w:basedOn w:val="Normal"/>
    <w:rsid w:val="003460D0"/>
    <w:pPr>
      <w:tabs>
        <w:tab w:val="left" w:pos="720"/>
      </w:tabs>
      <w:suppressAutoHyphens/>
      <w:spacing w:before="0" w:line="240" w:lineRule="auto"/>
      <w:ind w:right="851"/>
    </w:pPr>
    <w:rPr>
      <w:rFonts w:eastAsia="Times New Roman" w:cs="Times New Roman"/>
      <w:lang w:val="en-US" w:eastAsia="en-US"/>
    </w:rPr>
  </w:style>
  <w:style w:type="character" w:customStyle="1" w:styleId="EGMainAddressChar">
    <w:name w:val="EG Main Address Char"/>
    <w:basedOn w:val="DefaultParagraphFont"/>
    <w:link w:val="EGMainAddress"/>
    <w:rsid w:val="003460D0"/>
    <w:rPr>
      <w:rFonts w:ascii="Arial" w:eastAsia="SimSun" w:hAnsi="Arial" w:cs="Arial"/>
      <w:color w:val="3E3A39"/>
      <w:sz w:val="18"/>
      <w:szCs w:val="18"/>
      <w:lang w:val="en-AU" w:eastAsia="zh-CN" w:bidi="ar-SA"/>
    </w:rPr>
  </w:style>
  <w:style w:type="table" w:customStyle="1" w:styleId="EGTableStandard">
    <w:name w:val="EG_Table_Standard"/>
    <w:basedOn w:val="TableNormal"/>
    <w:rsid w:val="003460D0"/>
    <w:rPr>
      <w:rFonts w:ascii="Arial" w:hAnsi="Arial"/>
      <w:sz w:val="18"/>
      <w:szCs w:val="18"/>
    </w:rPr>
    <w:tblPr>
      <w:tblStyleRowBandSize w:val="1"/>
      <w:tblInd w:w="0" w:type="dxa"/>
      <w:tblBorders>
        <w:top w:val="single" w:sz="2" w:space="0" w:color="C0C0C0"/>
        <w:left w:val="single" w:sz="2" w:space="0" w:color="FFFFFF"/>
        <w:bottom w:val="single" w:sz="2" w:space="0" w:color="C0C0C0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MV Boli" w:hAnsi="MV Boli"/>
        <w:b/>
        <w:i w:val="0"/>
        <w:color w:val="FFFFFF"/>
        <w:sz w:val="18"/>
        <w:szCs w:val="18"/>
      </w:rPr>
      <w:tblPr/>
      <w:tcPr>
        <w:tcBorders>
          <w:top w:val="single" w:sz="2" w:space="0" w:color="C0C0C0"/>
          <w:left w:val="single" w:sz="2" w:space="0" w:color="FFFFFF"/>
          <w:bottom w:val="single" w:sz="2" w:space="0" w:color="C0C0C0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DD6225"/>
      </w:tcPr>
    </w:tblStylePr>
    <w:tblStylePr w:type="band1Horz">
      <w:rPr>
        <w:sz w:val="18"/>
      </w:rPr>
      <w:tblPr/>
      <w:tcPr>
        <w:tcBorders>
          <w:top w:val="single" w:sz="2" w:space="0" w:color="C0C0C0"/>
          <w:left w:val="single" w:sz="2" w:space="0" w:color="FFFFFF"/>
          <w:bottom w:val="single" w:sz="2" w:space="0" w:color="C0C0C0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F3F3F3"/>
      </w:tcPr>
    </w:tblStylePr>
    <w:tblStylePr w:type="band2Horz">
      <w:rPr>
        <w:sz w:val="18"/>
      </w:rPr>
      <w:tblPr/>
      <w:tcPr>
        <w:tcBorders>
          <w:top w:val="nil"/>
          <w:left w:val="single" w:sz="2" w:space="0" w:color="FFFFFF"/>
          <w:bottom w:val="nil"/>
          <w:right w:val="single" w:sz="2" w:space="0" w:color="FFFFFF"/>
          <w:insideH w:val="nil"/>
          <w:insideV w:val="single" w:sz="2" w:space="0" w:color="FFFFFF"/>
          <w:tl2br w:val="nil"/>
          <w:tr2bl w:val="nil"/>
        </w:tcBorders>
        <w:shd w:val="clear" w:color="auto" w:fill="DDDDDD"/>
      </w:tcPr>
    </w:tblStylePr>
  </w:style>
  <w:style w:type="paragraph" w:customStyle="1" w:styleId="PDbulletpoints">
    <w:name w:val="PD_bullet points"/>
    <w:basedOn w:val="Normal"/>
    <w:rsid w:val="003460D0"/>
    <w:pPr>
      <w:tabs>
        <w:tab w:val="left" w:pos="1080"/>
      </w:tabs>
      <w:overflowPunct w:val="0"/>
      <w:autoSpaceDE w:val="0"/>
      <w:autoSpaceDN w:val="0"/>
      <w:adjustRightInd w:val="0"/>
      <w:spacing w:before="60" w:after="60" w:line="240" w:lineRule="auto"/>
      <w:ind w:left="1077" w:hanging="357"/>
      <w:textAlignment w:val="baseline"/>
    </w:pPr>
    <w:rPr>
      <w:rFonts w:eastAsia="Times New Roman" w:cs="Times New Roman"/>
      <w:sz w:val="22"/>
      <w:lang w:val="en-US" w:eastAsia="en-AU"/>
    </w:rPr>
  </w:style>
  <w:style w:type="paragraph" w:customStyle="1" w:styleId="Default">
    <w:name w:val="Default"/>
    <w:rsid w:val="003460D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n-US" w:eastAsia="zh-CN"/>
    </w:rPr>
  </w:style>
  <w:style w:type="paragraph" w:styleId="BalloonText">
    <w:name w:val="Balloon Text"/>
    <w:basedOn w:val="Normal"/>
    <w:semiHidden/>
    <w:rsid w:val="003460D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931497"/>
    <w:rPr>
      <w:rFonts w:ascii="Arial" w:eastAsia="SimSun" w:hAnsi="Arial" w:cs="Arial"/>
      <w:color w:val="808080"/>
      <w:sz w:val="14"/>
      <w:szCs w:val="1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31497"/>
    <w:rPr>
      <w:rFonts w:ascii="Arial" w:eastAsia="SimSun" w:hAnsi="Arial" w:cs="Arial"/>
      <w:caps/>
      <w:color w:val="3E3A39"/>
      <w:sz w:val="16"/>
      <w:szCs w:val="12"/>
      <w:lang w:eastAsia="zh-CN"/>
    </w:rPr>
  </w:style>
  <w:style w:type="paragraph" w:styleId="ListParagraph">
    <w:name w:val="List Paragraph"/>
    <w:basedOn w:val="Normal"/>
    <w:uiPriority w:val="34"/>
    <w:qFormat/>
    <w:rsid w:val="006C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reJ\AppData\Roaming\Microsoft\Templates\Energetics\Job%20Descriptio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Sheet2!$A$2:$A$11</c:f>
              <c:numCache>
                <c:formatCode>General</c:formatCode>
                <c:ptCount val="10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25</c:v>
                </c:pt>
                <c:pt idx="4">
                  <c:v>26</c:v>
                </c:pt>
                <c:pt idx="5">
                  <c:v>27</c:v>
                </c:pt>
                <c:pt idx="6">
                  <c:v>28</c:v>
                </c:pt>
                <c:pt idx="7">
                  <c:v>29</c:v>
                </c:pt>
                <c:pt idx="8">
                  <c:v>30</c:v>
                </c:pt>
                <c:pt idx="9">
                  <c:v>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BAU</c:v>
                </c:pt>
              </c:strCache>
            </c:strRef>
          </c:tx>
          <c:marker>
            <c:symbol val="none"/>
          </c:marker>
          <c:cat>
            <c:numRef>
              <c:f>Sheet2!$A$2:$A$11</c:f>
              <c:numCache>
                <c:formatCode>General</c:formatCode>
                <c:ptCount val="10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</c:numCache>
            </c:numRef>
          </c:cat>
          <c:val>
            <c:numRef>
              <c:f>Sheet2!$C$2:$C$11</c:f>
              <c:numCache>
                <c:formatCode>General</c:formatCode>
                <c:ptCount val="10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  <c:pt idx="6">
                  <c:v>34</c:v>
                </c:pt>
                <c:pt idx="7">
                  <c:v>35</c:v>
                </c:pt>
                <c:pt idx="8">
                  <c:v>37</c:v>
                </c:pt>
                <c:pt idx="9">
                  <c:v>38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Reduced</c:v>
                </c:pt>
              </c:strCache>
            </c:strRef>
          </c:tx>
          <c:marker>
            <c:symbol val="none"/>
          </c:marker>
          <c:cat>
            <c:numRef>
              <c:f>Sheet2!$A$2:$A$11</c:f>
              <c:numCache>
                <c:formatCode>General</c:formatCode>
                <c:ptCount val="10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</c:numCache>
            </c:numRef>
          </c:cat>
          <c:val>
            <c:numRef>
              <c:f>Sheet2!$D$2:$D$11</c:f>
              <c:numCache>
                <c:formatCode>General</c:formatCode>
                <c:ptCount val="10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27</c:v>
                </c:pt>
                <c:pt idx="4">
                  <c:v>28</c:v>
                </c:pt>
                <c:pt idx="5">
                  <c:v>29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325728"/>
        <c:axId val="-10313216"/>
      </c:lineChart>
      <c:catAx>
        <c:axId val="-10325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0313216"/>
        <c:crosses val="autoZero"/>
        <c:auto val="1"/>
        <c:lblAlgn val="ctr"/>
        <c:lblOffset val="100"/>
        <c:noMultiLvlLbl val="0"/>
      </c:catAx>
      <c:valAx>
        <c:axId val="-103132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AU" sz="1000" b="1" i="0" u="none" strike="noStrike" baseline="0">
                    <a:effectLst/>
                  </a:rPr>
                  <a:t>GtCO</a:t>
                </a:r>
                <a:r>
                  <a:rPr lang="en-AU" sz="1000" b="1" i="0" u="none" strike="noStrike" baseline="-25000">
                    <a:effectLst/>
                  </a:rPr>
                  <a:t>2-e</a:t>
                </a:r>
                <a:endParaRPr lang="en-A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0325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Energetics">
  <a:themeElements>
    <a:clrScheme name="Energetics">
      <a:dk1>
        <a:srgbClr val="5E5F61"/>
      </a:dk1>
      <a:lt1>
        <a:srgbClr val="FFFFFF"/>
      </a:lt1>
      <a:dk2>
        <a:srgbClr val="DD6225"/>
      </a:dk2>
      <a:lt2>
        <a:srgbClr val="FFFFFF"/>
      </a:lt2>
      <a:accent1>
        <a:srgbClr val="F48024"/>
      </a:accent1>
      <a:accent2>
        <a:srgbClr val="5E5F61"/>
      </a:accent2>
      <a:accent3>
        <a:srgbClr val="FDD4B2"/>
      </a:accent3>
      <a:accent4>
        <a:srgbClr val="F8A76B"/>
      </a:accent4>
      <a:accent5>
        <a:srgbClr val="D9823F"/>
      </a:accent5>
      <a:accent6>
        <a:srgbClr val="808184"/>
      </a:accent6>
      <a:hlink>
        <a:srgbClr val="9D520E"/>
      </a:hlink>
      <a:folHlink>
        <a:srgbClr val="5E5F61"/>
      </a:folHlink>
    </a:clrScheme>
    <a:fontScheme name="Energetics">
      <a:majorFont>
        <a:latin typeface="Aria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nergetic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6350" cap="flat" cmpd="sng" algn="ctr">
          <a:solidFill>
            <a:schemeClr val="phClr"/>
          </a:solidFill>
          <a:prstDash val="solid"/>
        </a:ln>
        <a:ln w="63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lt1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tint val="48000"/>
                <a:shade val="70000"/>
                <a:satMod val="300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5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Description.dotx</Template>
  <TotalTime>0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:</dc:subject>
  <dc:creator/>
  <dc:description>© Copyright Energetics Pty Ltd 2016</dc:description>
  <cp:lastModifiedBy/>
  <cp:revision>1</cp:revision>
  <dcterms:created xsi:type="dcterms:W3CDTF">2016-04-20T06:47:00Z</dcterms:created>
  <dcterms:modified xsi:type="dcterms:W3CDTF">2016-04-21T03:51:00Z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L_Docname">
    <vt:lpwstr/>
  </property>
  <property fmtid="{D5CDD505-2E9C-101B-9397-08002B2CF9AE}" pid="3" name="EPL_Doctype">
    <vt:lpwstr>Record</vt:lpwstr>
  </property>
</Properties>
</file>