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sz w:val="36"/>
        </w:rPr>
        <w:t>CẨM NANG ĐỌC HIỂU DỰ ÁN NGHIÊN CỨU &amp; PHÁT TRIỂN</w:t>
      </w:r>
    </w:p>
    <w:p>
      <w:pPr>
        <w:spacing w:before="0" w:after="240"/>
        <w:jc w:val="center"/>
      </w:pPr>
      <w:r>
        <w:rPr>
          <w:rFonts w:ascii="Arial" w:hAnsi="Arial"/>
          <w:b/>
          <w:i w:val="0"/>
          <w:color w:val="2980B9"/>
          <w:sz w:val="25"/>
        </w:rPr>
        <w:t>PHÁT HIỆN TẤN CÔNG SQL INJECTION BẰNG HỌC MÁY VÀ ĐÁNH GIÁ ĐỘ BỀN VỮNG ĐỐI ĐỊCH</w:t>
      </w:r>
    </w:p>
    <w:p>
      <w:pPr>
        <w:spacing w:before="0" w:after="320"/>
        <w:jc w:val="center"/>
      </w:pPr>
      <w:r>
        <w:rPr>
          <w:rFonts w:ascii="Arial" w:hAnsi="Arial"/>
          <w:b w:val="0"/>
          <w:i/>
          <w:sz w:val="20"/>
        </w:rPr>
        <w:t>Tài liệu này được biên soạn nhằm giải thích chi tiết, trực quan và dễ hiểu toàn bộ các khái niệm cốt lõi, phương pháp thực nghiệm, kết quả đạt được, và định hướng tương lai của dự án để người đọc dễ dàng nắm bắt.</w:t>
      </w:r>
    </w:p>
    <w:p>
      <w:pPr>
        <w:keepNext/>
        <w:spacing w:before="280" w:after="120"/>
        <w:jc w:val="left"/>
      </w:pPr>
      <w:r>
        <w:rPr>
          <w:rFonts w:ascii="Arial" w:hAnsi="Arial"/>
          <w:b/>
          <w:i w:val="0"/>
          <w:color w:val="1F4E79"/>
          <w:sz w:val="28"/>
        </w:rPr>
        <w:t>I. TỔNG QUAN VỀ LỖ HỔNG SQL INJECTION (SQLi)</w:t>
      </w:r>
    </w:p>
    <w:p>
      <w:pPr>
        <w:keepNext/>
        <w:spacing w:before="280" w:after="120"/>
        <w:jc w:val="left"/>
      </w:pPr>
      <w:r>
        <w:rPr>
          <w:rFonts w:ascii="Arial" w:hAnsi="Arial"/>
          <w:b/>
          <w:i w:val="0"/>
          <w:color w:val="2E74B5"/>
          <w:sz w:val="24"/>
        </w:rPr>
        <w:t>1. SQL Injection (SQLi) là gì?</w:t>
      </w:r>
    </w:p>
    <w:p>
      <w:pPr>
        <w:spacing w:before="0" w:after="120"/>
        <w:jc w:val="both"/>
      </w:pPr>
      <w:r>
        <w:rPr>
          <w:rFonts w:ascii="Arial" w:hAnsi="Arial"/>
          <w:b w:val="0"/>
          <w:i w:val="0"/>
          <w:sz w:val="21"/>
        </w:rPr>
        <w:t>SQL Injection là một kỹ thuật tấn công ứng dụng web phổ biến. Kẻ tấn công lợi dụng việc dữ liệu đầu vào từ người dùng không được kiểm tra (validate) hoặc làm sạch (sanitize) kỹ càng trước khi chèn vào câu lệnh cơ sở dữ liệu (SQL). Qua đó, kẻ tấn công có thể chèn các đoạn mã SQL độc hại nhằm thay đổi logic thực thi của truy vấn gốc.</w:t>
      </w:r>
    </w:p>
    <w:p>
      <w:pPr>
        <w:spacing w:before="0" w:after="120"/>
        <w:jc w:val="both"/>
      </w:pPr>
      <w:r>
        <w:rPr>
          <w:rFonts w:ascii="Arial" w:hAnsi="Arial"/>
          <w:b w:val="0"/>
          <w:i w:val="0"/>
          <w:sz w:val="21"/>
        </w:rPr>
        <w:t>Mục tiêu của kẻ tấn công: Vượt qua cơ chế xác thực đăng nhập, đọc dữ liệu nhạy cảm (như mật khẩu, thông tin cá nhân), sửa đổi dữ liệu (cập nhật số dư tài khoản), hoặc phá hủy cơ sở dữ liệu (xóa bảng).</w:t>
      </w:r>
    </w:p>
    <w:p>
      <w:pPr>
        <w:keepNext/>
        <w:spacing w:before="280" w:after="120"/>
        <w:jc w:val="left"/>
      </w:pPr>
      <w:r>
        <w:rPr>
          <w:rFonts w:ascii="Arial" w:hAnsi="Arial"/>
          <w:b/>
          <w:i w:val="0"/>
          <w:color w:val="2E74B5"/>
          <w:sz w:val="24"/>
        </w:rPr>
        <w:t>2. Ví dụ trực quan dễ hiểu</w:t>
      </w:r>
    </w:p>
    <w:p>
      <w:pPr>
        <w:spacing w:before="0" w:after="120"/>
        <w:jc w:val="both"/>
      </w:pPr>
      <w:r>
        <w:rPr>
          <w:rFonts w:ascii="Arial" w:hAnsi="Arial"/>
          <w:b w:val="0"/>
          <w:i w:val="0"/>
          <w:sz w:val="21"/>
        </w:rPr>
        <w:t>Hãy tưởng tượng một chức năng Đăng nhập yêu cầu Tên đăng nhập (username) và Mật khẩu (password).</w:t>
      </w:r>
    </w:p>
    <w:p>
      <w:pPr>
        <w:spacing w:before="0" w:after="120"/>
        <w:jc w:val="both"/>
      </w:pPr>
      <w:r>
        <w:rPr>
          <w:rFonts w:ascii="Arial" w:hAnsi="Arial"/>
          <w:b w:val="0"/>
          <w:i w:val="0"/>
          <w:sz w:val="21"/>
        </w:rPr>
        <w:t>Câu lệnh SQL gốc phía máy chủ:</w:t>
      </w:r>
    </w:p>
    <w:p>
      <w:pPr>
        <w:spacing w:before="0" w:after="120"/>
        <w:ind w:left="283"/>
        <w:jc w:val="both"/>
      </w:pPr>
      <w:r>
        <w:rPr>
          <w:rFonts w:ascii="Consolas" w:hAnsi="Consolas"/>
          <w:b w:val="0"/>
          <w:i w:val="0"/>
          <w:color w:val="1F4E79"/>
          <w:sz w:val="19"/>
        </w:rPr>
        <w:t>SELECT * FROM users WHERE username = 'USER_INPUT' AND password = 'PASSWORD_INPUT';</w:t>
      </w:r>
    </w:p>
    <w:p>
      <w:pPr>
        <w:spacing w:before="0" w:after="120"/>
        <w:jc w:val="both"/>
      </w:pPr>
      <w:r>
        <w:rPr>
          <w:rFonts w:ascii="Arial" w:hAnsi="Arial"/>
          <w:b w:val="0"/>
          <w:i w:val="0"/>
          <w:sz w:val="21"/>
        </w:rPr>
        <w:t>Trường hợp lành tính (An toàn): Người dùng nhập username là admin và password là 12345. Câu lệnh trở thành:</w:t>
      </w:r>
    </w:p>
    <w:p>
      <w:pPr>
        <w:spacing w:before="0" w:after="120"/>
        <w:ind w:left="283"/>
        <w:jc w:val="both"/>
      </w:pPr>
      <w:r>
        <w:rPr>
          <w:rFonts w:ascii="Consolas" w:hAnsi="Consolas"/>
          <w:b w:val="0"/>
          <w:i w:val="0"/>
          <w:color w:val="27AE60"/>
          <w:sz w:val="19"/>
        </w:rPr>
        <w:t>SELECT * FROM users WHERE username = 'admin' AND password = '12345';</w:t>
      </w:r>
    </w:p>
    <w:p>
      <w:pPr>
        <w:spacing w:before="0" w:after="120"/>
        <w:jc w:val="both"/>
      </w:pPr>
      <w:r>
        <w:rPr>
          <w:rFonts w:ascii="Arial" w:hAnsi="Arial"/>
          <w:b w:val="0"/>
          <w:i w:val="0"/>
          <w:sz w:val="21"/>
        </w:rPr>
        <w:t>=&gt; Hệ thống sẽ tìm trong bảng users xem có tài khoản nào khớp cả hai thông tin hay không. Nếu có, đăng nhập thành công.</w:t>
      </w:r>
    </w:p>
    <w:p>
      <w:pPr>
        <w:spacing w:before="0" w:after="120"/>
        <w:jc w:val="both"/>
      </w:pPr>
      <w:r>
        <w:rPr>
          <w:rFonts w:ascii="Arial" w:hAnsi="Arial"/>
          <w:b w:val="0"/>
          <w:i w:val="0"/>
          <w:sz w:val="21"/>
        </w:rPr>
        <w:t>Trường hợp độc hại (Tấn công SQLi): Kẻ tấn công nhập username là: admin' OR '1'='1. Câu lệnh trở thành:</w:t>
      </w:r>
    </w:p>
    <w:p>
      <w:pPr>
        <w:spacing w:before="0" w:after="120"/>
        <w:ind w:left="283"/>
        <w:jc w:val="both"/>
      </w:pPr>
      <w:r>
        <w:rPr>
          <w:rFonts w:ascii="Consolas" w:hAnsi="Consolas"/>
          <w:b w:val="0"/>
          <w:i w:val="0"/>
          <w:color w:val="C0292B"/>
          <w:sz w:val="19"/>
        </w:rPr>
        <w:t>SELECT * FROM users WHERE username = 'admin' OR '1'='1' AND password = 'PASSWORD_INPUT';</w:t>
      </w:r>
    </w:p>
    <w:p>
      <w:pPr>
        <w:spacing w:before="0" w:after="120"/>
        <w:jc w:val="both"/>
      </w:pPr>
      <w:r>
        <w:rPr>
          <w:rFonts w:ascii="Arial" w:hAnsi="Arial"/>
          <w:b w:val="0"/>
          <w:i w:val="0"/>
          <w:sz w:val="21"/>
        </w:rPr>
        <w:t>=&gt; Do toán tử logic OR '1'='1' luôn luôn ĐÚNG (True), điều kiện kiểm tra mật khẩu bị vô hiệu hóa hoàn toàn. Kẻ tấn công sẽ đăng nhập được vào tài khoản quản trị mà không cần biết mật khẩu.</w:t>
      </w:r>
    </w:p>
    <w:p>
      <w:pPr>
        <w:keepNext/>
        <w:spacing w:before="280" w:after="120"/>
        <w:jc w:val="left"/>
      </w:pPr>
      <w:r>
        <w:rPr>
          <w:rFonts w:ascii="Arial" w:hAnsi="Arial"/>
          <w:b/>
          <w:i w:val="0"/>
          <w:color w:val="1F4E79"/>
          <w:sz w:val="28"/>
        </w:rPr>
        <w:t>II. PIPELINE TRÍCH XUẤT ĐẶC TRƯNG (FEATURE ENGINEERING)</w:t>
      </w:r>
    </w:p>
    <w:p>
      <w:pPr>
        <w:spacing w:before="0" w:after="120"/>
        <w:jc w:val="both"/>
      </w:pPr>
      <w:r>
        <w:rPr>
          <w:rFonts w:ascii="Arial" w:hAnsi="Arial"/>
          <w:b w:val="0"/>
          <w:i w:val="0"/>
          <w:sz w:val="21"/>
        </w:rPr>
        <w:t>Để các mô hình học máy (Machine Learning) hiểu được câu lệnh SQL thô, chúng ta không thể đưa trực tiếp chuỗi văn bản (string) vào mô hình. Chúng ta cần chuyển đổi mỗi câu lệnh SQL thành một chuỗi các con số đại diện cho các đặc trưng cấu trúc cú pháp của câu lệnh đó. Dự án này xây dựng một Pipeline trích xuất 18 đặc trưng cốt lõi chia thành 2 nhóm:</w:t>
      </w:r>
    </w:p>
    <w:p>
      <w:pPr>
        <w:keepNext/>
        <w:spacing w:before="280" w:after="120"/>
        <w:jc w:val="left"/>
      </w:pPr>
      <w:r>
        <w:rPr>
          <w:rFonts w:ascii="Arial" w:hAnsi="Arial"/>
          <w:b/>
          <w:i w:val="0"/>
          <w:color w:val="2E74B5"/>
          <w:sz w:val="24"/>
        </w:rPr>
        <w:t>1. Nhóm đặc trưng thống kê cấu trúc (10 đặc trưng)</w:t>
      </w:r>
    </w:p>
    <w:p>
      <w:pPr>
        <w:spacing w:before="0" w:after="120"/>
        <w:jc w:val="both"/>
      </w:pPr>
      <w:r>
        <w:rPr>
          <w:rFonts w:ascii="Arial" w:hAnsi="Arial"/>
          <w:b w:val="0"/>
          <w:i w:val="0"/>
          <w:sz w:val="21"/>
        </w:rPr>
        <w:t>Giúp nhận diện sự bất thường về mặt hình thức bên ngoài của câu lệnh:</w:t>
      </w:r>
    </w:p>
    <w:p>
      <w:pPr>
        <w:spacing w:before="0" w:after="60"/>
        <w:ind w:left="283"/>
        <w:jc w:val="both"/>
      </w:pPr>
      <w:r>
        <w:rPr>
          <w:rFonts w:ascii="Arial" w:hAnsi="Arial"/>
          <w:b w:val="0"/>
          <w:i w:val="0"/>
          <w:sz w:val="21"/>
        </w:rPr>
        <w:t>• no_letter: Số lượng ký tự chữ cái (a-z, A-Z). Các câu lệnh tấn công thường chứa nhiều ký tự đặc biệt hơn chữ cái so với câu lệnh bình thường.</w:t>
      </w:r>
    </w:p>
    <w:p>
      <w:pPr>
        <w:spacing w:before="0" w:after="60"/>
        <w:ind w:left="283"/>
        <w:jc w:val="both"/>
      </w:pPr>
      <w:r>
        <w:rPr>
          <w:rFonts w:ascii="Arial" w:hAnsi="Arial"/>
          <w:b w:val="0"/>
          <w:i w:val="0"/>
          <w:sz w:val="21"/>
        </w:rPr>
        <w:t>• no_digit: Số lượng chữ số (0-9). Tấn công SQLi thường chứa các phép so sánh số học như 1=1, 10=10.</w:t>
      </w:r>
    </w:p>
    <w:p>
      <w:pPr>
        <w:spacing w:before="0" w:after="60"/>
        <w:ind w:left="283"/>
        <w:jc w:val="both"/>
      </w:pPr>
      <w:r>
        <w:rPr>
          <w:rFonts w:ascii="Arial" w:hAnsi="Arial"/>
          <w:b w:val="0"/>
          <w:i w:val="0"/>
          <w:sz w:val="21"/>
        </w:rPr>
        <w:t>• no_special_char: Số lượng ký tự đặc biệt (ví dụ: ?, !, @, etc.).</w:t>
      </w:r>
    </w:p>
    <w:p>
      <w:pPr>
        <w:spacing w:before="0" w:after="60"/>
        <w:ind w:left="283"/>
        <w:jc w:val="both"/>
      </w:pPr>
      <w:r>
        <w:rPr>
          <w:rFonts w:ascii="Arial" w:hAnsi="Arial"/>
          <w:b w:val="0"/>
          <w:i w:val="0"/>
          <w:sz w:val="21"/>
        </w:rPr>
        <w:t>• length: Độ dài toàn bộ câu lệnh (số lượng ký tự).</w:t>
      </w:r>
    </w:p>
    <w:p>
      <w:pPr>
        <w:spacing w:before="0" w:after="60"/>
        <w:ind w:left="283"/>
        <w:jc w:val="both"/>
      </w:pPr>
      <w:r>
        <w:rPr>
          <w:rFonts w:ascii="Arial" w:hAnsi="Arial"/>
          <w:b w:val="0"/>
          <w:i w:val="0"/>
          <w:sz w:val="21"/>
        </w:rPr>
        <w:t>• entropy: Chỉ số hỗn loạn Shannon Entropy. Đo lường mức độ hỗn loạn của các ký tự. Các đoạn payload tấn công được mã hóa bằng Hex hoặc URL encode thường có độ hỗn loạn (entropy) cao hơn rất nhiều so với câu lệnh lành tính.</w:t>
      </w:r>
    </w:p>
    <w:p>
      <w:pPr>
        <w:spacing w:before="0" w:after="60"/>
        <w:ind w:left="283"/>
        <w:jc w:val="both"/>
      </w:pPr>
      <w:r>
        <w:rPr>
          <w:rFonts w:ascii="Arial" w:hAnsi="Arial"/>
          <w:b w:val="0"/>
          <w:i w:val="0"/>
          <w:sz w:val="21"/>
        </w:rPr>
        <w:t>• no_semicolon: Số lượng dấu chấm phẩy (;). Dấu ; dùng để kết thúc một truy vấn và bắt đầu một truy vấn mới kế tiếp (tấn công xếp chồng - stacked query).</w:t>
      </w:r>
    </w:p>
    <w:p>
      <w:pPr>
        <w:spacing w:before="0" w:after="60"/>
        <w:ind w:left="283"/>
        <w:jc w:val="both"/>
      </w:pPr>
      <w:r>
        <w:rPr>
          <w:rFonts w:ascii="Arial" w:hAnsi="Arial"/>
          <w:b w:val="0"/>
          <w:i w:val="0"/>
          <w:sz w:val="21"/>
        </w:rPr>
        <w:t>• no_single_quot &amp; no_double_quot: Số lượng dấu nháy đơn (') và nháy kép ("). Đây là các ký tự thoát chuỗi kinh điển để phá vỡ cấu trúc câu lệnh SQL gốc.</w:t>
      </w:r>
    </w:p>
    <w:p>
      <w:pPr>
        <w:spacing w:before="0" w:after="60"/>
        <w:ind w:left="283"/>
        <w:jc w:val="both"/>
      </w:pPr>
      <w:r>
        <w:rPr>
          <w:rFonts w:ascii="Arial" w:hAnsi="Arial"/>
          <w:b w:val="0"/>
          <w:i w:val="0"/>
          <w:sz w:val="21"/>
        </w:rPr>
        <w:t>• no_percentage: Số lượng dấu phần trăm (%). Thường xuất hiện trong các câu lệnh tìm kiếm mù (SQL Blind Injection) hoặc mã hóa dữ liệu.</w:t>
      </w:r>
    </w:p>
    <w:p>
      <w:pPr>
        <w:spacing w:before="0" w:after="80"/>
        <w:ind w:left="283"/>
        <w:jc w:val="both"/>
      </w:pPr>
      <w:r>
        <w:rPr>
          <w:rFonts w:ascii="Arial" w:hAnsi="Arial"/>
          <w:b w:val="0"/>
          <w:i w:val="0"/>
          <w:sz w:val="21"/>
        </w:rPr>
        <w:t>• whit_space: Số lượng khoảng trắng. Tăng/giảm khoảng trắng hoặc thay bằng tab/comment là một thủ thuật bypass phổ biến.</w:t>
      </w:r>
    </w:p>
    <w:p>
      <w:pPr>
        <w:keepNext/>
        <w:spacing w:before="280" w:after="120"/>
        <w:jc w:val="left"/>
      </w:pPr>
      <w:r>
        <w:rPr>
          <w:rFonts w:ascii="Arial" w:hAnsi="Arial"/>
          <w:b/>
          <w:i w:val="0"/>
          <w:color w:val="2E74B5"/>
          <w:sz w:val="24"/>
        </w:rPr>
        <w:t>2. Nhóm đặc trưng ngữ nghĩa SQL (8 đặc trưng)</w:t>
      </w:r>
    </w:p>
    <w:p>
      <w:pPr>
        <w:spacing w:before="0" w:after="120"/>
        <w:jc w:val="both"/>
      </w:pPr>
      <w:r>
        <w:rPr>
          <w:rFonts w:ascii="Arial" w:hAnsi="Arial"/>
          <w:b w:val="0"/>
          <w:i w:val="0"/>
          <w:sz w:val="21"/>
        </w:rPr>
        <w:t>Giúp nhận diện ý đồ tấn công thông qua phân tích cú pháp nghiệp vụ của ngôn ngữ SQL:</w:t>
      </w:r>
    </w:p>
    <w:p>
      <w:pPr>
        <w:spacing w:before="0" w:after="60"/>
        <w:ind w:left="283"/>
        <w:jc w:val="both"/>
      </w:pPr>
      <w:r>
        <w:rPr>
          <w:rFonts w:ascii="Arial" w:hAnsi="Arial"/>
          <w:b w:val="0"/>
          <w:i w:val="0"/>
          <w:sz w:val="21"/>
        </w:rPr>
        <w:t>• no_keyword: Số lượng từ khóa SQL nhạy cảm xuất hiện (SELECT, UNION, FROM, DROP, UPDATE, DELETE,...). Sự xuất hiện dày đặc của các từ khóa này trong đầu vào người dùng là dấu hiệu nghi vấn rất cao.</w:t>
      </w:r>
    </w:p>
    <w:p>
      <w:pPr>
        <w:spacing w:before="0" w:after="60"/>
        <w:ind w:left="283"/>
        <w:jc w:val="both"/>
      </w:pPr>
      <w:r>
        <w:rPr>
          <w:rFonts w:ascii="Arial" w:hAnsi="Arial"/>
          <w:b w:val="0"/>
          <w:i w:val="0"/>
          <w:sz w:val="21"/>
        </w:rPr>
        <w:t>• no_logical_operat: Số toán tử logic (AND, OR, NOT, LIKE, BETWEEN, IN, IS). Dùng để chèn thêm các logic kiểm tra điều kiện.</w:t>
      </w:r>
    </w:p>
    <w:p>
      <w:pPr>
        <w:spacing w:before="0" w:after="60"/>
        <w:ind w:left="283"/>
        <w:jc w:val="both"/>
      </w:pPr>
      <w:r>
        <w:rPr>
          <w:rFonts w:ascii="Arial" w:hAnsi="Arial"/>
          <w:b w:val="0"/>
          <w:i w:val="0"/>
          <w:sz w:val="21"/>
        </w:rPr>
        <w:t>• no_operat: Số toán tử toán học / so sánh (+, -, *, /, =, &lt;, &gt;).</w:t>
      </w:r>
    </w:p>
    <w:p>
      <w:pPr>
        <w:spacing w:before="0" w:after="60"/>
        <w:ind w:left="283"/>
        <w:jc w:val="both"/>
      </w:pPr>
      <w:r>
        <w:rPr>
          <w:rFonts w:ascii="Arial" w:hAnsi="Arial"/>
          <w:b w:val="0"/>
          <w:i w:val="0"/>
          <w:sz w:val="21"/>
        </w:rPr>
        <w:t>• no_or &amp; no_and: Tần suất riêng biệt của từ khóa OR và AND. Kẻ tấn công cực kỳ hay lạm dụng toán tử OR (như OR 1=1) để vô hiệu hóa mệnh đề WHERE.</w:t>
      </w:r>
    </w:p>
    <w:p>
      <w:pPr>
        <w:spacing w:before="0" w:after="60"/>
        <w:ind w:left="283"/>
        <w:jc w:val="both"/>
      </w:pPr>
      <w:r>
        <w:rPr>
          <w:rFonts w:ascii="Arial" w:hAnsi="Arial"/>
          <w:b w:val="0"/>
          <w:i w:val="0"/>
          <w:sz w:val="21"/>
        </w:rPr>
        <w:t>• no_comment: Số lượng ký tự chú thích (--, /*, #). Chú thích dùng để cắt bỏ phần còn lại của truy vấn SQL gốc sau khi kẻ tấn công đã chèn mã của mình.</w:t>
      </w:r>
    </w:p>
    <w:p>
      <w:pPr>
        <w:spacing w:before="0" w:after="80"/>
        <w:ind w:left="283"/>
        <w:jc w:val="both"/>
      </w:pPr>
      <w:r>
        <w:rPr>
          <w:rFonts w:ascii="Arial" w:hAnsi="Arial"/>
          <w:b w:val="0"/>
          <w:i w:val="0"/>
          <w:sz w:val="21"/>
        </w:rPr>
        <w:t>• no_null: Tần suất xuất hiện từ khóa NULL. Rất phổ biến trong tấn công UNION-based để khớp số lượng cột trong hai bảng.</w:t>
      </w:r>
    </w:p>
    <w:p>
      <w:pPr>
        <w:keepNext/>
        <w:spacing w:before="280" w:after="120"/>
        <w:jc w:val="left"/>
      </w:pPr>
      <w:r>
        <w:rPr>
          <w:rFonts w:ascii="Arial" w:hAnsi="Arial"/>
          <w:b/>
          <w:i w:val="0"/>
          <w:color w:val="1F4E79"/>
          <w:sz w:val="28"/>
        </w:rPr>
        <w:t>III. BẢN CHẤT 5 MÔ HÌNH HỌC MÁY TRONG THỰC NGHIỆM</w:t>
      </w:r>
    </w:p>
    <w:p>
      <w:pPr>
        <w:spacing w:before="0" w:after="120"/>
        <w:jc w:val="both"/>
      </w:pPr>
      <w:r>
        <w:rPr>
          <w:rFonts w:ascii="Arial" w:hAnsi="Arial"/>
          <w:b w:val="0"/>
          <w:i w:val="0"/>
          <w:sz w:val="21"/>
        </w:rPr>
        <w:t>Dự án đã huấn luyện và so sánh 5 thuật toán học máy phổ biến để tìm ra bộ lọc tối ưu nhất:</w:t>
      </w:r>
    </w:p>
    <w:p>
      <w:pPr>
        <w:keepNext/>
        <w:spacing w:before="280" w:after="120"/>
        <w:jc w:val="left"/>
      </w:pPr>
      <w:r>
        <w:rPr>
          <w:rFonts w:ascii="Arial" w:hAnsi="Arial"/>
          <w:b/>
          <w:i/>
          <w:color w:val="000000"/>
          <w:sz w:val="22"/>
        </w:rPr>
        <w:t>1. Support Vector Machine (SVM)</w:t>
      </w:r>
    </w:p>
    <w:p>
      <w:pPr>
        <w:spacing w:before="0" w:after="120"/>
        <w:jc w:val="both"/>
      </w:pPr>
      <w:r>
        <w:rPr>
          <w:rFonts w:ascii="Arial" w:hAnsi="Arial"/>
          <w:b/>
          <w:i w:val="0"/>
          <w:sz w:val="21"/>
        </w:rPr>
        <w:t xml:space="preserve">• Nguyên lý hoạt động: </w:t>
      </w:r>
      <w:r>
        <w:rPr>
          <w:rFonts w:ascii="Arial" w:hAnsi="Arial"/>
          <w:b w:val="0"/>
          <w:i w:val="0"/>
          <w:sz w:val="21"/>
        </w:rPr>
        <w:t>Tìm kiếm một siêu phẳng (hyperplane) tối ưu trong không gian đa chiều để phân tách rõ ràng nhất hai lớp nhãn (SQLi và Benign). Dự án sử dụng nhân RBF (Radial Basis Function) để vẽ các đường ranh giới phi tuyến phức tạp.</w:t>
      </w:r>
    </w:p>
    <w:p>
      <w:pPr>
        <w:spacing w:before="0" w:after="120"/>
        <w:jc w:val="both"/>
      </w:pPr>
      <w:r>
        <w:rPr>
          <w:rFonts w:ascii="Arial" w:hAnsi="Arial"/>
          <w:b/>
          <w:i w:val="0"/>
          <w:sz w:val="21"/>
        </w:rPr>
        <w:t xml:space="preserve">• Ưu &amp; Nhược điểm: </w:t>
      </w:r>
      <w:r>
        <w:rPr>
          <w:rFonts w:ascii="Arial" w:hAnsi="Arial"/>
          <w:b w:val="0"/>
          <w:i w:val="0"/>
          <w:sz w:val="21"/>
        </w:rPr>
        <w:t>Precision rất cao (96.64% ít báo động nhầm), tuy nhiên tốc độ huấn luyện và dự đoán cực kỳ chậm do độ phức tạp thuật toán tăng theo cấp số nhân với số lượng mẫu (O(n²)). Điều này khiến SVM không thể triển khai trên môi trường real-time.</w:t>
      </w:r>
    </w:p>
    <w:p>
      <w:pPr>
        <w:keepNext/>
        <w:spacing w:before="280" w:after="120"/>
        <w:jc w:val="left"/>
      </w:pPr>
      <w:r>
        <w:rPr>
          <w:rFonts w:ascii="Arial" w:hAnsi="Arial"/>
          <w:b/>
          <w:i/>
          <w:color w:val="000000"/>
          <w:sz w:val="22"/>
        </w:rPr>
        <w:t>2. XGBoost (eXtreme Gradient Boosting)</w:t>
      </w:r>
    </w:p>
    <w:p>
      <w:pPr>
        <w:spacing w:before="0" w:after="120"/>
        <w:jc w:val="both"/>
      </w:pPr>
      <w:r>
        <w:rPr>
          <w:rFonts w:ascii="Arial" w:hAnsi="Arial"/>
          <w:b/>
          <w:i w:val="0"/>
          <w:sz w:val="21"/>
        </w:rPr>
        <w:t xml:space="preserve">• Nguyên lý hoạt động: </w:t>
      </w:r>
      <w:r>
        <w:rPr>
          <w:rFonts w:ascii="Arial" w:hAnsi="Arial"/>
          <w:b w:val="0"/>
          <w:i w:val="0"/>
          <w:sz w:val="21"/>
        </w:rPr>
        <w:t>Là thuật toán tối ưu thuộc nhóm Boosting (tăng cường). Nó xây dựng các cây quyết định tuần tự, cây sau sẽ tập trung sửa chữa những lỗi phân loại sai của các cây trước đó.</w:t>
      </w:r>
    </w:p>
    <w:p>
      <w:pPr>
        <w:spacing w:before="0" w:after="120"/>
        <w:jc w:val="both"/>
      </w:pPr>
      <w:r>
        <w:rPr>
          <w:rFonts w:ascii="Arial" w:hAnsi="Arial"/>
          <w:b/>
          <w:i w:val="0"/>
          <w:sz w:val="21"/>
        </w:rPr>
        <w:t xml:space="preserve">• Ưu &amp; Nhược điểm: </w:t>
      </w:r>
      <w:r>
        <w:rPr>
          <w:rFonts w:ascii="Arial" w:hAnsi="Arial"/>
          <w:b w:val="0"/>
          <w:i w:val="0"/>
          <w:sz w:val="21"/>
        </w:rPr>
        <w:t>Độ chính xác xuất sắc, khả năng xử lý song song tối đa, thời gian huấn luyện siêu tốc và thời gian dự đoán gần như tức thì. Đây là mô hình tối ưu nhất cho hệ thống lọc WAF.</w:t>
      </w:r>
    </w:p>
    <w:p>
      <w:pPr>
        <w:keepNext/>
        <w:spacing w:before="280" w:after="120"/>
        <w:jc w:val="left"/>
      </w:pPr>
      <w:r>
        <w:rPr>
          <w:rFonts w:ascii="Arial" w:hAnsi="Arial"/>
          <w:b/>
          <w:i/>
          <w:color w:val="000000"/>
          <w:sz w:val="22"/>
        </w:rPr>
        <w:t>3. LightGBM (Light Gradient Boosting Machine)</w:t>
      </w:r>
    </w:p>
    <w:p>
      <w:pPr>
        <w:spacing w:before="0" w:after="120"/>
        <w:jc w:val="both"/>
      </w:pPr>
      <w:r>
        <w:rPr>
          <w:rFonts w:ascii="Arial" w:hAnsi="Arial"/>
          <w:b/>
          <w:i w:val="0"/>
          <w:sz w:val="21"/>
        </w:rPr>
        <w:t xml:space="preserve">• Nguyên lý hoạt động: </w:t>
      </w:r>
      <w:r>
        <w:rPr>
          <w:rFonts w:ascii="Arial" w:hAnsi="Arial"/>
          <w:b w:val="0"/>
          <w:i w:val="0"/>
          <w:sz w:val="21"/>
        </w:rPr>
        <w:t>Phát triển bởi Microsoft, tương tự XGBoost nhưng phát triển cây theo chiều sâu (leaf-wise growth) thay vì theo chiều rộng (level-wise).</w:t>
      </w:r>
    </w:p>
    <w:p>
      <w:pPr>
        <w:spacing w:before="0" w:after="120"/>
        <w:jc w:val="both"/>
      </w:pPr>
      <w:r>
        <w:rPr>
          <w:rFonts w:ascii="Arial" w:hAnsi="Arial"/>
          <w:b/>
          <w:i w:val="0"/>
          <w:sz w:val="21"/>
        </w:rPr>
        <w:t xml:space="preserve">• Ưu &amp; Nhược điểm: </w:t>
      </w:r>
      <w:r>
        <w:rPr>
          <w:rFonts w:ascii="Arial" w:hAnsi="Arial"/>
          <w:b w:val="0"/>
          <w:i w:val="0"/>
          <w:sz w:val="21"/>
        </w:rPr>
        <w:t>Tốc độ cực nhanh và tiết kiệm bộ nhớ. Nó đạt chỉ số Recall cao nhất trong thực nghiệm (97.25%), tức là bỏ sót ít cuộc tấn công nhất.</w:t>
      </w:r>
    </w:p>
    <w:p>
      <w:pPr>
        <w:keepNext/>
        <w:spacing w:before="280" w:after="120"/>
        <w:jc w:val="left"/>
      </w:pPr>
      <w:r>
        <w:rPr>
          <w:rFonts w:ascii="Arial" w:hAnsi="Arial"/>
          <w:b/>
          <w:i/>
          <w:color w:val="000000"/>
          <w:sz w:val="22"/>
        </w:rPr>
        <w:t>4. AdaBoost (Adaptive Boosting)</w:t>
      </w:r>
    </w:p>
    <w:p>
      <w:pPr>
        <w:spacing w:before="0" w:after="120"/>
        <w:jc w:val="both"/>
      </w:pPr>
      <w:r>
        <w:rPr>
          <w:rFonts w:ascii="Arial" w:hAnsi="Arial"/>
          <w:b/>
          <w:i w:val="0"/>
          <w:sz w:val="21"/>
        </w:rPr>
        <w:t xml:space="preserve">• Nguyên lý hoạt động: </w:t>
      </w:r>
      <w:r>
        <w:rPr>
          <w:rFonts w:ascii="Arial" w:hAnsi="Arial"/>
          <w:b w:val="0"/>
          <w:i w:val="0"/>
          <w:sz w:val="21"/>
        </w:rPr>
        <w:t>Kết hợp nhiều mô hình phân loại yếu (thường là các cây quyết định cụt - decision stumps) thành một mô hình phân loại mạnh bằng cách tăng trọng số của các mẫu bị đoán sai ở vòng trước.</w:t>
      </w:r>
    </w:p>
    <w:p>
      <w:pPr>
        <w:spacing w:before="0" w:after="120"/>
        <w:jc w:val="both"/>
      </w:pPr>
      <w:r>
        <w:rPr>
          <w:rFonts w:ascii="Arial" w:hAnsi="Arial"/>
          <w:b/>
          <w:i w:val="0"/>
          <w:sz w:val="21"/>
        </w:rPr>
        <w:t xml:space="preserve">• Ưu &amp; Nhược điểm: </w:t>
      </w:r>
      <w:r>
        <w:rPr>
          <w:rFonts w:ascii="Arial" w:hAnsi="Arial"/>
          <w:b w:val="0"/>
          <w:i w:val="0"/>
          <w:sz w:val="21"/>
        </w:rPr>
        <w:t>Đạt Precision cao nhất trong thực nghiệm (99.13%), hầu như không bao giờ block nhầm khách hàng lành tính.</w:t>
      </w:r>
    </w:p>
    <w:p>
      <w:pPr>
        <w:keepNext/>
        <w:spacing w:before="280" w:after="120"/>
        <w:jc w:val="left"/>
      </w:pPr>
      <w:r>
        <w:rPr>
          <w:rFonts w:ascii="Arial" w:hAnsi="Arial"/>
          <w:b/>
          <w:i/>
          <w:color w:val="000000"/>
          <w:sz w:val="22"/>
        </w:rPr>
        <w:t>5. Random Forest</w:t>
      </w:r>
    </w:p>
    <w:p>
      <w:pPr>
        <w:spacing w:before="0" w:after="120"/>
        <w:jc w:val="both"/>
      </w:pPr>
      <w:r>
        <w:rPr>
          <w:rFonts w:ascii="Arial" w:hAnsi="Arial"/>
          <w:b/>
          <w:i w:val="0"/>
          <w:sz w:val="21"/>
        </w:rPr>
        <w:t xml:space="preserve">• Nguyên lý hoạt động: </w:t>
      </w:r>
      <w:r>
        <w:rPr>
          <w:rFonts w:ascii="Arial" w:hAnsi="Arial"/>
          <w:b w:val="0"/>
          <w:i w:val="0"/>
          <w:sz w:val="21"/>
        </w:rPr>
        <w:t>Xây dựng nhiều cây quyết định độc lập song song (Bagging) và kết quả dự đoán cuối cùng là sự đồng thuận số đông (voting) của tất cả các cây.</w:t>
      </w:r>
    </w:p>
    <w:p>
      <w:pPr>
        <w:spacing w:before="0" w:after="120"/>
        <w:jc w:val="both"/>
      </w:pPr>
      <w:r>
        <w:rPr>
          <w:rFonts w:ascii="Arial" w:hAnsi="Arial"/>
          <w:b/>
          <w:i w:val="0"/>
          <w:sz w:val="21"/>
        </w:rPr>
        <w:t xml:space="preserve">• Ưu &amp; Nhược điểm: </w:t>
      </w:r>
      <w:r>
        <w:rPr>
          <w:rFonts w:ascii="Arial" w:hAnsi="Arial"/>
          <w:b w:val="0"/>
          <w:i w:val="0"/>
          <w:sz w:val="21"/>
        </w:rPr>
        <w:t>Hoạt động rất ổn định, không bị hiện tượng quá khớp (overfitting) và có tính trực quan cao.</w:t>
      </w:r>
    </w:p>
    <w:p>
      <w:pPr>
        <w:keepNext/>
        <w:spacing w:before="280" w:after="120"/>
        <w:jc w:val="left"/>
      </w:pPr>
      <w:r>
        <w:rPr>
          <w:rFonts w:ascii="Arial" w:hAnsi="Arial"/>
          <w:b/>
          <w:i w:val="0"/>
          <w:color w:val="1F4E79"/>
          <w:sz w:val="28"/>
        </w:rPr>
        <w:t>IV. GIẢI THÍCH CÁC CHỈ SỐ ĐÁNH GIÁ HIỆU NĂNG</w:t>
      </w:r>
    </w:p>
    <w:p>
      <w:pPr>
        <w:spacing w:before="0" w:after="120"/>
        <w:jc w:val="both"/>
      </w:pPr>
      <w:r>
        <w:rPr>
          <w:rFonts w:ascii="Arial" w:hAnsi="Arial"/>
          <w:b w:val="0"/>
          <w:i w:val="0"/>
          <w:sz w:val="21"/>
        </w:rPr>
        <w:t>Trong các bài báo khoa học, hiệu năng của mô hình được đo lường thông qua các chỉ số bắt nguồn từ Ma trận nhầm lẫn (Confusion Matrix):</w:t>
      </w:r>
    </w:p>
    <w:p>
      <w:pPr>
        <w:spacing w:before="0" w:after="120"/>
        <w:jc w:val="both"/>
      </w:pPr>
      <w:r>
        <w:rPr>
          <w:rFonts w:ascii="Arial" w:hAnsi="Arial"/>
          <w:b/>
          <w:i w:val="0"/>
          <w:sz w:val="21"/>
        </w:rPr>
        <w:t xml:space="preserve">• Accuracy (Độ chính xác tổng quát) ((TP + TN) / Tổng số mẫu): </w:t>
      </w:r>
      <w:r>
        <w:rPr>
          <w:rFonts w:ascii="Arial" w:hAnsi="Arial"/>
          <w:b w:val="0"/>
          <w:i w:val="0"/>
          <w:sz w:val="21"/>
        </w:rPr>
        <w:t>Tỷ lệ số dự đoán đúng (cả lành tính và độc hại) trên tổng số yêu cầu được gửi đến hệ thống.</w:t>
      </w:r>
    </w:p>
    <w:p>
      <w:pPr>
        <w:spacing w:before="0" w:after="120"/>
        <w:jc w:val="both"/>
      </w:pPr>
      <w:r>
        <w:rPr>
          <w:rFonts w:ascii="Arial" w:hAnsi="Arial"/>
          <w:b/>
          <w:i w:val="0"/>
          <w:sz w:val="21"/>
        </w:rPr>
        <w:t xml:space="preserve">• Precision (Độ chính xác dự đoán lớp độc hại) (TP / (TP + FP)): </w:t>
      </w:r>
      <w:r>
        <w:rPr>
          <w:rFonts w:ascii="Arial" w:hAnsi="Arial"/>
          <w:b w:val="0"/>
          <w:i w:val="0"/>
          <w:sz w:val="21"/>
        </w:rPr>
        <w:t>Trong số những yêu cầu mà mô hình cảnh báo là SQL Injection, có bao nhiêu phần trăm là tấn công thực sự? Precision càng cao thì hệ thống càng ít báo động nhầm (giảm việc chặn nhầm người dùng hợp lệ).</w:t>
      </w:r>
    </w:p>
    <w:p>
      <w:pPr>
        <w:spacing w:before="0" w:after="120"/>
        <w:jc w:val="both"/>
      </w:pPr>
      <w:r>
        <w:rPr>
          <w:rFonts w:ascii="Arial" w:hAnsi="Arial"/>
          <w:b/>
          <w:i w:val="0"/>
          <w:sz w:val="21"/>
        </w:rPr>
        <w:t xml:space="preserve">• Recall (Độ nhạy / Tỷ lệ phát hiện) (TP / (TP + FN)): </w:t>
      </w:r>
      <w:r>
        <w:rPr>
          <w:rFonts w:ascii="Arial" w:hAnsi="Arial"/>
          <w:b w:val="0"/>
          <w:i w:val="0"/>
          <w:sz w:val="21"/>
        </w:rPr>
        <w:t>Trong số toàn bộ các cuộc tấn công SQL Injection thực tế xảy ra, mô hình phát hiện được bao nhiêu phần trăm? Recall càng cao chứng tỏ hệ thống càng an toàn (ít bỏ sót mã độc). Đây là chỉ số quan trọng bậc nhất trong an ninh mạng.</w:t>
      </w:r>
    </w:p>
    <w:p>
      <w:pPr>
        <w:spacing w:before="0" w:after="120"/>
        <w:jc w:val="both"/>
      </w:pPr>
      <w:r>
        <w:rPr>
          <w:rFonts w:ascii="Arial" w:hAnsi="Arial"/>
          <w:b/>
          <w:i w:val="0"/>
          <w:sz w:val="21"/>
        </w:rPr>
        <w:t xml:space="preserve">• F1-Score (Điểm F1 tổng hợp) (2 * (Precision * Recall) / (Precision + Recall)): </w:t>
      </w:r>
      <w:r>
        <w:rPr>
          <w:rFonts w:ascii="Arial" w:hAnsi="Arial"/>
          <w:b w:val="0"/>
          <w:i w:val="0"/>
          <w:sz w:val="21"/>
        </w:rPr>
        <w:t>Chỉ số trung bình điều hòa giữa Precision và Recall. Chỉ số này phản ánh năng lực thực tế cân bằng nhất của mô hình.</w:t>
      </w:r>
    </w:p>
    <w:p>
      <w:pPr>
        <w:spacing w:before="0" w:after="120"/>
        <w:jc w:val="both"/>
      </w:pPr>
      <w:r>
        <w:rPr>
          <w:rFonts w:ascii="Arial" w:hAnsi="Arial"/>
          <w:b/>
          <w:i w:val="0"/>
          <w:sz w:val="21"/>
        </w:rPr>
        <w:t xml:space="preserve">• AUC-ROC (Diện tích dưới đường cong ROC) (Area Under Curve): </w:t>
      </w:r>
      <w:r>
        <w:rPr>
          <w:rFonts w:ascii="Arial" w:hAnsi="Arial"/>
          <w:b w:val="0"/>
          <w:i w:val="0"/>
          <w:sz w:val="21"/>
        </w:rPr>
        <w:t>Đo lường khả năng phân biệt giữa hai lớp lành tính và độc hại của mô hình ở mọi ngưỡng quyết định. AUC càng gần 1.0 thì mô hình phân loại càng hoàn hảo.</w:t>
      </w:r>
    </w:p>
    <w:p>
      <w:pPr>
        <w:keepNext/>
        <w:spacing w:before="280" w:after="120"/>
        <w:jc w:val="left"/>
      </w:pPr>
      <w:r>
        <w:rPr>
          <w:rFonts w:ascii="Arial" w:hAnsi="Arial"/>
          <w:b/>
          <w:i w:val="0"/>
          <w:color w:val="1F4E79"/>
          <w:sz w:val="28"/>
        </w:rPr>
        <w:t>V. KẾT QUẢ THỰC THẾ VÀ SỰ ĐÁNH ĐỔI (TRADE-OFF)</w:t>
      </w:r>
    </w:p>
    <w:p>
      <w:pPr>
        <w:spacing w:before="0" w:after="120"/>
        <w:jc w:val="both"/>
      </w:pPr>
      <w:r>
        <w:rPr>
          <w:rFonts w:ascii="Arial" w:hAnsi="Arial"/>
          <w:b w:val="0"/>
          <w:i w:val="0"/>
          <w:sz w:val="21"/>
        </w:rPr>
        <w:t>Từ bảng số liệu thu được khi huấn luyện trên 100% Kaggle và kiểm thử độc lập Mendeley Data:</w:t>
      </w:r>
    </w:p>
    <w:tbl>
      <w:tblPr>
        <w:tblW w:type="auto" w:w="0"/>
        <w:jc w:val="center"/>
        <w:tblLook w:firstColumn="1" w:firstRow="1" w:lastColumn="0" w:lastRow="0" w:noHBand="0" w:noVBand="1" w:val="04A0"/>
        <w:tblBorders>
          <w:top w:val="single" w:sz="4" w:space="0" w:color="2B579A"/>
          <w:left w:val="single" w:sz="4" w:space="0" w:color="2B579A"/>
          <w:bottom w:val="single" w:sz="4" w:space="0" w:color="2B579A"/>
          <w:right w:val="single" w:sz="4" w:space="0" w:color="2B579A"/>
          <w:insideH w:val="single" w:sz="4" w:space="0" w:color="2B579A"/>
          <w:insideV w:val="single" w:sz="4" w:space="0" w:color="2B579A"/>
        </w:tblBorders>
      </w:tblPr>
      <w:tblGrid>
        <w:gridCol w:w="1560"/>
        <w:gridCol w:w="1560"/>
        <w:gridCol w:w="1560"/>
        <w:gridCol w:w="1560"/>
        <w:gridCol w:w="1560"/>
        <w:gridCol w:w="1560"/>
      </w:tblGrid>
      <w:tr>
        <w:tc>
          <w:tcPr>
            <w:tcW w:type="dxa" w:w="1560"/>
            <w:shd w:val="clear" w:color="auto" w:fill="1F4E79"/>
          </w:tcPr>
          <w:p>
            <w:pPr>
              <w:jc w:val="center"/>
            </w:pPr>
            <w:r>
              <w:rPr>
                <w:rFonts w:ascii="Arial" w:hAnsi="Arial"/>
                <w:b/>
                <w:color w:val="FFFFFF"/>
                <w:sz w:val="18"/>
              </w:rPr>
              <w:t>Mô hình</w:t>
            </w:r>
          </w:p>
        </w:tc>
        <w:tc>
          <w:tcPr>
            <w:tcW w:type="dxa" w:w="1560"/>
            <w:shd w:val="clear" w:color="auto" w:fill="1F4E79"/>
          </w:tcPr>
          <w:p>
            <w:pPr>
              <w:jc w:val="center"/>
            </w:pPr>
            <w:r>
              <w:rPr>
                <w:rFonts w:ascii="Arial" w:hAnsi="Arial"/>
                <w:b/>
                <w:color w:val="FFFFFF"/>
                <w:sz w:val="18"/>
              </w:rPr>
              <w:t>F1-Score</w:t>
            </w:r>
          </w:p>
        </w:tc>
        <w:tc>
          <w:tcPr>
            <w:tcW w:type="dxa" w:w="1560"/>
            <w:shd w:val="clear" w:color="auto" w:fill="1F4E79"/>
          </w:tcPr>
          <w:p>
            <w:pPr>
              <w:jc w:val="center"/>
            </w:pPr>
            <w:r>
              <w:rPr>
                <w:rFonts w:ascii="Arial" w:hAnsi="Arial"/>
                <w:b/>
                <w:color w:val="FFFFFF"/>
                <w:sz w:val="18"/>
              </w:rPr>
              <w:t>Recall (SQLi)</w:t>
            </w:r>
          </w:p>
        </w:tc>
        <w:tc>
          <w:tcPr>
            <w:tcW w:type="dxa" w:w="1560"/>
            <w:shd w:val="clear" w:color="auto" w:fill="1F4E79"/>
          </w:tcPr>
          <w:p>
            <w:pPr>
              <w:jc w:val="center"/>
            </w:pPr>
            <w:r>
              <w:rPr>
                <w:rFonts w:ascii="Arial" w:hAnsi="Arial"/>
                <w:b/>
                <w:color w:val="FFFFFF"/>
                <w:sz w:val="18"/>
              </w:rPr>
              <w:t>Inference Time</w:t>
            </w:r>
          </w:p>
        </w:tc>
        <w:tc>
          <w:tcPr>
            <w:tcW w:type="dxa" w:w="1560"/>
            <w:shd w:val="clear" w:color="auto" w:fill="1F4E79"/>
          </w:tcPr>
          <w:p>
            <w:pPr>
              <w:jc w:val="center"/>
            </w:pPr>
            <w:r>
              <w:rPr>
                <w:rFonts w:ascii="Arial" w:hAnsi="Arial"/>
                <w:b/>
                <w:color w:val="FFFFFF"/>
                <w:sz w:val="18"/>
              </w:rPr>
              <w:t>Số lỗi (FP+FN)</w:t>
            </w:r>
          </w:p>
        </w:tc>
        <w:tc>
          <w:tcPr>
            <w:tcW w:type="dxa" w:w="1560"/>
            <w:shd w:val="clear" w:color="auto" w:fill="1F4E79"/>
          </w:tcPr>
          <w:p>
            <w:pPr>
              <w:jc w:val="center"/>
            </w:pPr>
            <w:r>
              <w:rPr>
                <w:rFonts w:ascii="Arial" w:hAnsi="Arial"/>
                <w:b/>
                <w:color w:val="FFFFFF"/>
                <w:sz w:val="18"/>
              </w:rPr>
              <w:t>Tốc độ xử lý</w:t>
            </w:r>
          </w:p>
        </w:tc>
      </w:tr>
      <w:tr>
        <w:tc>
          <w:tcPr>
            <w:tcW w:type="dxa" w:w="1560"/>
            <w:shd w:val="clear" w:color="auto" w:fill="EBF3FB"/>
          </w:tcPr>
          <w:p>
            <w:r>
              <w:rPr>
                <w:rFonts w:ascii="Arial" w:hAnsi="Arial"/>
                <w:b/>
                <w:sz w:val="18"/>
              </w:rPr>
              <w:t>SVM</w:t>
            </w:r>
          </w:p>
        </w:tc>
        <w:tc>
          <w:tcPr>
            <w:tcW w:type="dxa" w:w="1560"/>
            <w:shd w:val="clear" w:color="auto" w:fill="EBF3FB"/>
          </w:tcPr>
          <w:p>
            <w:pPr>
              <w:jc w:val="center"/>
            </w:pPr>
            <w:r>
              <w:rPr>
                <w:rFonts w:ascii="Arial" w:hAnsi="Arial"/>
                <w:sz w:val="18"/>
              </w:rPr>
              <w:t>84.67%</w:t>
            </w:r>
          </w:p>
        </w:tc>
        <w:tc>
          <w:tcPr>
            <w:tcW w:type="dxa" w:w="1560"/>
            <w:shd w:val="clear" w:color="auto" w:fill="EBF3FB"/>
          </w:tcPr>
          <w:p>
            <w:pPr>
              <w:jc w:val="center"/>
            </w:pPr>
            <w:r>
              <w:rPr>
                <w:rFonts w:ascii="Arial" w:hAnsi="Arial"/>
                <w:sz w:val="18"/>
              </w:rPr>
              <w:t>75.34%</w:t>
            </w:r>
          </w:p>
        </w:tc>
        <w:tc>
          <w:tcPr>
            <w:tcW w:type="dxa" w:w="1560"/>
            <w:shd w:val="clear" w:color="auto" w:fill="EBF3FB"/>
          </w:tcPr>
          <w:p>
            <w:pPr>
              <w:jc w:val="center"/>
            </w:pPr>
            <w:r>
              <w:rPr>
                <w:rFonts w:ascii="Arial" w:hAnsi="Arial"/>
                <w:sz w:val="18"/>
              </w:rPr>
              <w:t>382.96s</w:t>
            </w:r>
          </w:p>
        </w:tc>
        <w:tc>
          <w:tcPr>
            <w:tcW w:type="dxa" w:w="1560"/>
            <w:shd w:val="clear" w:color="auto" w:fill="EBF3FB"/>
          </w:tcPr>
          <w:p>
            <w:pPr>
              <w:jc w:val="center"/>
            </w:pPr>
            <w:r>
              <w:rPr>
                <w:rFonts w:ascii="Arial" w:hAnsi="Arial"/>
                <w:sz w:val="18"/>
              </w:rPr>
              <w:t>5,897</w:t>
            </w:r>
          </w:p>
        </w:tc>
        <w:tc>
          <w:tcPr>
            <w:tcW w:type="dxa" w:w="1560"/>
            <w:shd w:val="clear" w:color="auto" w:fill="EBF3FB"/>
          </w:tcPr>
          <w:p>
            <w:pPr>
              <w:jc w:val="center"/>
            </w:pPr>
            <w:r>
              <w:rPr>
                <w:rFonts w:ascii="Arial" w:hAnsi="Arial"/>
                <w:sz w:val="18"/>
              </w:rPr>
              <w:t>~124 mẫu/giây</w:t>
            </w:r>
          </w:p>
        </w:tc>
      </w:tr>
      <w:tr>
        <w:tc>
          <w:tcPr>
            <w:tcW w:type="dxa" w:w="1560"/>
            <w:shd w:val="clear" w:color="auto" w:fill="FFFFFF"/>
          </w:tcPr>
          <w:p>
            <w:r>
              <w:rPr>
                <w:rFonts w:ascii="Arial" w:hAnsi="Arial"/>
                <w:b/>
                <w:sz w:val="18"/>
              </w:rPr>
              <w:t>XGBoost</w:t>
            </w:r>
          </w:p>
        </w:tc>
        <w:tc>
          <w:tcPr>
            <w:tcW w:type="dxa" w:w="1560"/>
            <w:shd w:val="clear" w:color="auto" w:fill="FFFFFF"/>
          </w:tcPr>
          <w:p>
            <w:pPr>
              <w:jc w:val="center"/>
            </w:pPr>
            <w:r>
              <w:rPr>
                <w:rFonts w:ascii="Arial" w:hAnsi="Arial"/>
                <w:sz w:val="18"/>
              </w:rPr>
              <w:t>96.16%</w:t>
            </w:r>
          </w:p>
        </w:tc>
        <w:tc>
          <w:tcPr>
            <w:tcW w:type="dxa" w:w="1560"/>
            <w:shd w:val="clear" w:color="auto" w:fill="FFFFFF"/>
          </w:tcPr>
          <w:p>
            <w:pPr>
              <w:jc w:val="center"/>
            </w:pPr>
            <w:r>
              <w:rPr>
                <w:rFonts w:ascii="Arial" w:hAnsi="Arial"/>
                <w:sz w:val="18"/>
              </w:rPr>
              <w:t>97.10%</w:t>
            </w:r>
          </w:p>
        </w:tc>
        <w:tc>
          <w:tcPr>
            <w:tcW w:type="dxa" w:w="1560"/>
            <w:shd w:val="clear" w:color="auto" w:fill="FFFFFF"/>
          </w:tcPr>
          <w:p>
            <w:pPr>
              <w:jc w:val="center"/>
            </w:pPr>
            <w:r>
              <w:rPr>
                <w:rFonts w:ascii="Arial" w:hAnsi="Arial"/>
                <w:sz w:val="18"/>
              </w:rPr>
              <w:t>0.035s</w:t>
            </w:r>
          </w:p>
        </w:tc>
        <w:tc>
          <w:tcPr>
            <w:tcW w:type="dxa" w:w="1560"/>
            <w:shd w:val="clear" w:color="auto" w:fill="FFFFFF"/>
          </w:tcPr>
          <w:p>
            <w:pPr>
              <w:jc w:val="center"/>
            </w:pPr>
            <w:r>
              <w:rPr>
                <w:rFonts w:ascii="Arial" w:hAnsi="Arial"/>
                <w:sz w:val="18"/>
              </w:rPr>
              <w:t>1,683</w:t>
            </w:r>
          </w:p>
        </w:tc>
        <w:tc>
          <w:tcPr>
            <w:tcW w:type="dxa" w:w="1560"/>
            <w:shd w:val="clear" w:color="auto" w:fill="FFFFFF"/>
          </w:tcPr>
          <w:p>
            <w:pPr>
              <w:jc w:val="center"/>
            </w:pPr>
            <w:r>
              <w:rPr>
                <w:rFonts w:ascii="Arial" w:hAnsi="Arial"/>
                <w:sz w:val="18"/>
              </w:rPr>
              <w:t>~1.35 triệu mẫu/giây</w:t>
            </w:r>
          </w:p>
        </w:tc>
      </w:tr>
      <w:tr>
        <w:tc>
          <w:tcPr>
            <w:tcW w:type="dxa" w:w="1560"/>
            <w:shd w:val="clear" w:color="auto" w:fill="EBF3FB"/>
          </w:tcPr>
          <w:p>
            <w:r>
              <w:rPr>
                <w:rFonts w:ascii="Arial" w:hAnsi="Arial"/>
                <w:b/>
                <w:sz w:val="18"/>
              </w:rPr>
              <w:t>LightGBM</w:t>
            </w:r>
          </w:p>
        </w:tc>
        <w:tc>
          <w:tcPr>
            <w:tcW w:type="dxa" w:w="1560"/>
            <w:shd w:val="clear" w:color="auto" w:fill="EBF3FB"/>
          </w:tcPr>
          <w:p>
            <w:pPr>
              <w:jc w:val="center"/>
            </w:pPr>
            <w:r>
              <w:rPr>
                <w:rFonts w:ascii="Arial" w:hAnsi="Arial"/>
                <w:sz w:val="18"/>
              </w:rPr>
              <w:t>95.66%</w:t>
            </w:r>
          </w:p>
        </w:tc>
        <w:tc>
          <w:tcPr>
            <w:tcW w:type="dxa" w:w="1560"/>
            <w:shd w:val="clear" w:color="auto" w:fill="EBF3FB"/>
          </w:tcPr>
          <w:p>
            <w:pPr>
              <w:jc w:val="center"/>
            </w:pPr>
            <w:r>
              <w:rPr>
                <w:rFonts w:ascii="Arial" w:hAnsi="Arial"/>
                <w:sz w:val="18"/>
              </w:rPr>
              <w:t>97.25%</w:t>
            </w:r>
          </w:p>
        </w:tc>
        <w:tc>
          <w:tcPr>
            <w:tcW w:type="dxa" w:w="1560"/>
            <w:shd w:val="clear" w:color="auto" w:fill="EBF3FB"/>
          </w:tcPr>
          <w:p>
            <w:pPr>
              <w:jc w:val="center"/>
            </w:pPr>
            <w:r>
              <w:rPr>
                <w:rFonts w:ascii="Arial" w:hAnsi="Arial"/>
                <w:sz w:val="18"/>
              </w:rPr>
              <w:t>0.062s</w:t>
            </w:r>
          </w:p>
        </w:tc>
        <w:tc>
          <w:tcPr>
            <w:tcW w:type="dxa" w:w="1560"/>
            <w:shd w:val="clear" w:color="auto" w:fill="EBF3FB"/>
          </w:tcPr>
          <w:p>
            <w:pPr>
              <w:jc w:val="center"/>
            </w:pPr>
            <w:r>
              <w:rPr>
                <w:rFonts w:ascii="Arial" w:hAnsi="Arial"/>
                <w:sz w:val="18"/>
              </w:rPr>
              <w:t>1,910</w:t>
            </w:r>
          </w:p>
        </w:tc>
        <w:tc>
          <w:tcPr>
            <w:tcW w:type="dxa" w:w="1560"/>
            <w:shd w:val="clear" w:color="auto" w:fill="EBF3FB"/>
          </w:tcPr>
          <w:p>
            <w:pPr>
              <w:jc w:val="center"/>
            </w:pPr>
            <w:r>
              <w:rPr>
                <w:rFonts w:ascii="Arial" w:hAnsi="Arial"/>
                <w:sz w:val="18"/>
              </w:rPr>
              <w:t>~770,000 mẫu/giây</w:t>
            </w:r>
          </w:p>
        </w:tc>
      </w:tr>
      <w:tr>
        <w:tc>
          <w:tcPr>
            <w:tcW w:type="dxa" w:w="1560"/>
            <w:shd w:val="clear" w:color="auto" w:fill="FFFFFF"/>
          </w:tcPr>
          <w:p>
            <w:r>
              <w:rPr>
                <w:rFonts w:ascii="Arial" w:hAnsi="Arial"/>
                <w:b/>
                <w:sz w:val="18"/>
              </w:rPr>
              <w:t>AdaBoost</w:t>
            </w:r>
          </w:p>
        </w:tc>
        <w:tc>
          <w:tcPr>
            <w:tcW w:type="dxa" w:w="1560"/>
            <w:shd w:val="clear" w:color="auto" w:fill="FFFFFF"/>
          </w:tcPr>
          <w:p>
            <w:pPr>
              <w:jc w:val="center"/>
            </w:pPr>
            <w:r>
              <w:rPr>
                <w:rFonts w:ascii="Arial" w:hAnsi="Arial"/>
                <w:sz w:val="18"/>
              </w:rPr>
              <w:t>94.30%</w:t>
            </w:r>
          </w:p>
        </w:tc>
        <w:tc>
          <w:tcPr>
            <w:tcW w:type="dxa" w:w="1560"/>
            <w:shd w:val="clear" w:color="auto" w:fill="FFFFFF"/>
          </w:tcPr>
          <w:p>
            <w:pPr>
              <w:jc w:val="center"/>
            </w:pPr>
            <w:r>
              <w:rPr>
                <w:rFonts w:ascii="Arial" w:hAnsi="Arial"/>
                <w:sz w:val="18"/>
              </w:rPr>
              <w:t>89.91%</w:t>
            </w:r>
          </w:p>
        </w:tc>
        <w:tc>
          <w:tcPr>
            <w:tcW w:type="dxa" w:w="1560"/>
            <w:shd w:val="clear" w:color="auto" w:fill="FFFFFF"/>
          </w:tcPr>
          <w:p>
            <w:pPr>
              <w:jc w:val="center"/>
            </w:pPr>
            <w:r>
              <w:rPr>
                <w:rFonts w:ascii="Arial" w:hAnsi="Arial"/>
                <w:sz w:val="18"/>
              </w:rPr>
              <w:t>0.316s</w:t>
            </w:r>
          </w:p>
        </w:tc>
        <w:tc>
          <w:tcPr>
            <w:tcW w:type="dxa" w:w="1560"/>
            <w:shd w:val="clear" w:color="auto" w:fill="FFFFFF"/>
          </w:tcPr>
          <w:p>
            <w:pPr>
              <w:jc w:val="center"/>
            </w:pPr>
            <w:r>
              <w:rPr>
                <w:rFonts w:ascii="Arial" w:hAnsi="Arial"/>
                <w:sz w:val="18"/>
              </w:rPr>
              <w:t>2,366</w:t>
            </w:r>
          </w:p>
        </w:tc>
        <w:tc>
          <w:tcPr>
            <w:tcW w:type="dxa" w:w="1560"/>
            <w:shd w:val="clear" w:color="auto" w:fill="FFFFFF"/>
          </w:tcPr>
          <w:p>
            <w:pPr>
              <w:jc w:val="center"/>
            </w:pPr>
            <w:r>
              <w:rPr>
                <w:rFonts w:ascii="Arial" w:hAnsi="Arial"/>
                <w:sz w:val="18"/>
              </w:rPr>
              <w:t>~150,000 mẫu/giây</w:t>
            </w:r>
          </w:p>
        </w:tc>
      </w:tr>
      <w:tr>
        <w:tc>
          <w:tcPr>
            <w:tcW w:type="dxa" w:w="1560"/>
            <w:shd w:val="clear" w:color="auto" w:fill="EBF3FB"/>
          </w:tcPr>
          <w:p>
            <w:r>
              <w:rPr>
                <w:rFonts w:ascii="Arial" w:hAnsi="Arial"/>
                <w:b/>
                <w:sz w:val="18"/>
              </w:rPr>
              <w:t>Random Forest</w:t>
            </w:r>
          </w:p>
        </w:tc>
        <w:tc>
          <w:tcPr>
            <w:tcW w:type="dxa" w:w="1560"/>
            <w:shd w:val="clear" w:color="auto" w:fill="EBF3FB"/>
          </w:tcPr>
          <w:p>
            <w:pPr>
              <w:jc w:val="center"/>
            </w:pPr>
            <w:r>
              <w:rPr>
                <w:rFonts w:ascii="Arial" w:hAnsi="Arial"/>
                <w:sz w:val="18"/>
              </w:rPr>
              <w:t>94.68%</w:t>
            </w:r>
          </w:p>
        </w:tc>
        <w:tc>
          <w:tcPr>
            <w:tcW w:type="dxa" w:w="1560"/>
            <w:shd w:val="clear" w:color="auto" w:fill="EBF3FB"/>
          </w:tcPr>
          <w:p>
            <w:pPr>
              <w:jc w:val="center"/>
            </w:pPr>
            <w:r>
              <w:rPr>
                <w:rFonts w:ascii="Arial" w:hAnsi="Arial"/>
                <w:sz w:val="18"/>
              </w:rPr>
              <w:t>94.90%</w:t>
            </w:r>
          </w:p>
        </w:tc>
        <w:tc>
          <w:tcPr>
            <w:tcW w:type="dxa" w:w="1560"/>
            <w:shd w:val="clear" w:color="auto" w:fill="EBF3FB"/>
          </w:tcPr>
          <w:p>
            <w:pPr>
              <w:jc w:val="center"/>
            </w:pPr>
            <w:r>
              <w:rPr>
                <w:rFonts w:ascii="Arial" w:hAnsi="Arial"/>
                <w:sz w:val="18"/>
              </w:rPr>
              <w:t>0.144s</w:t>
            </w:r>
          </w:p>
        </w:tc>
        <w:tc>
          <w:tcPr>
            <w:tcW w:type="dxa" w:w="1560"/>
            <w:shd w:val="clear" w:color="auto" w:fill="EBF3FB"/>
          </w:tcPr>
          <w:p>
            <w:pPr>
              <w:jc w:val="center"/>
            </w:pPr>
            <w:r>
              <w:rPr>
                <w:rFonts w:ascii="Arial" w:hAnsi="Arial"/>
                <w:sz w:val="18"/>
              </w:rPr>
              <w:t>2,315</w:t>
            </w:r>
          </w:p>
        </w:tc>
        <w:tc>
          <w:tcPr>
            <w:tcW w:type="dxa" w:w="1560"/>
            <w:shd w:val="clear" w:color="auto" w:fill="EBF3FB"/>
          </w:tcPr>
          <w:p>
            <w:pPr>
              <w:jc w:val="center"/>
            </w:pPr>
            <w:r>
              <w:rPr>
                <w:rFonts w:ascii="Arial" w:hAnsi="Arial"/>
                <w:sz w:val="18"/>
              </w:rPr>
              <w:t>~328,000 mẫu/giây</w:t>
            </w:r>
          </w:p>
        </w:tc>
      </w:tr>
    </w:tbl>
    <w:p>
      <w:pPr>
        <w:spacing w:before="160" w:after="120"/>
        <w:jc w:val="both"/>
      </w:pPr>
      <w:r>
        <w:rPr>
          <w:rFonts w:ascii="Arial" w:hAnsi="Arial"/>
          <w:b/>
          <w:i w:val="0"/>
          <w:sz w:val="21"/>
        </w:rPr>
        <w:t>Phân tích sự đánh đổi (Trade-off):</w:t>
      </w:r>
    </w:p>
    <w:p>
      <w:pPr>
        <w:spacing w:before="0" w:after="120"/>
        <w:jc w:val="both"/>
      </w:pPr>
      <w:r>
        <w:rPr>
          <w:rFonts w:ascii="Arial" w:hAnsi="Arial"/>
          <w:b w:val="0"/>
          <w:i w:val="0"/>
          <w:sz w:val="21"/>
        </w:rPr>
        <w:t>• Sự sụt giảm hiệu năng thực tế (Khả năng tổng quát hóa): Khi chuyển từ tập huấn luyện Kaggle sang tập Mendeley hoàn toàn độc lập, hiệu năng các mô hình đều giảm nhẹ (XGBoost từ ~99% xuống 96.46%). Điều này phản ánh thực tế dữ liệu ngoài môi trường sản xuất luôn biến động.</w:t>
      </w:r>
    </w:p>
    <w:p>
      <w:pPr>
        <w:spacing w:before="0" w:after="120"/>
        <w:jc w:val="both"/>
      </w:pPr>
      <w:r>
        <w:rPr>
          <w:rFonts w:ascii="Arial" w:hAnsi="Arial"/>
          <w:b w:val="0"/>
          <w:i w:val="0"/>
          <w:sz w:val="21"/>
        </w:rPr>
        <w:t>• Tốc độ và Tài nguyên (Sub-RQ 1.2): SVM cần đến 382.96 giây để dự đoán xong 47,463 câu lệnh, nghĩa là chỉ xử lý được 124 requests/giây. Nếu ứng dụng web có hàng nghìn lượt truy cập cùng lúc, hệ thống sẽ bị treo ngay lập tức. Trong khi đó, XGBoost xử lý xong toàn bộ 47,463 câu lệnh chỉ trong 0.035 giây (tương đương 1.35 triệu requests/giây).</w:t>
      </w:r>
    </w:p>
    <w:p>
      <w:pPr>
        <w:spacing w:before="0" w:after="120"/>
        <w:jc w:val="both"/>
      </w:pPr>
      <w:r>
        <w:rPr>
          <w:rFonts w:ascii="Arial" w:hAnsi="Arial"/>
          <w:b w:val="0"/>
          <w:i w:val="0"/>
          <w:sz w:val="21"/>
        </w:rPr>
        <w:t>=&gt; Kết luận: XGBoost là mô hình tối ưu nhất để triển khai trong thực tế (WAF) vì nó vừa đạt F1-Score cao nhất (96.16%) vừa có tốc độ xử lý vô địch.</w:t>
      </w:r>
    </w:p>
    <w:p>
      <w:pPr>
        <w:keepNext/>
        <w:spacing w:before="280" w:after="120"/>
        <w:jc w:val="left"/>
      </w:pPr>
      <w:r>
        <w:rPr>
          <w:rFonts w:ascii="Arial" w:hAnsi="Arial"/>
          <w:b/>
          <w:i w:val="0"/>
          <w:color w:val="1F4E79"/>
          <w:sz w:val="28"/>
        </w:rPr>
        <w:t>VI. KẾ HOẠCH NÂNG CAO (RQ 2) – KIỂM THỬ KHẢ NĂNG BẰNG AI</w:t>
      </w:r>
    </w:p>
    <w:p>
      <w:pPr>
        <w:spacing w:before="0" w:after="120"/>
        <w:jc w:val="both"/>
      </w:pPr>
      <w:r>
        <w:rPr>
          <w:rFonts w:ascii="Arial" w:hAnsi="Arial"/>
          <w:b w:val="0"/>
          <w:i w:val="0"/>
          <w:sz w:val="21"/>
        </w:rPr>
        <w:t>Sau khi đã tìm được XGBoost là mô hình tốt nhất ở RQ 1, bước tiếp theo (RQ 2) là kiểm tra xem bộ lọc XGBoost này có bị đánh lừa bởi AI hay không và làm thế nào để tăng cường sức mạnh phòng thủ:</w:t>
      </w:r>
    </w:p>
    <w:p>
      <w:pPr>
        <w:spacing w:before="0" w:after="120"/>
        <w:ind w:left="113"/>
        <w:jc w:val="both"/>
      </w:pPr>
      <w:r>
        <w:rPr>
          <w:rFonts w:ascii="Arial" w:hAnsi="Arial"/>
          <w:b/>
          <w:i w:val="0"/>
          <w:sz w:val="21"/>
        </w:rPr>
        <w:t>1. Đánh giá tỷ lệ vượt rào (Bypass Rate) — Sub-RQ 2.1:</w:t>
      </w:r>
    </w:p>
    <w:p>
      <w:pPr>
        <w:spacing w:before="0" w:after="120"/>
        <w:ind w:left="227"/>
        <w:jc w:val="both"/>
      </w:pPr>
      <w:r>
        <w:rPr>
          <w:rFonts w:ascii="Arial" w:hAnsi="Arial"/>
          <w:b w:val="0"/>
          <w:i w:val="0"/>
          <w:sz w:val="21"/>
        </w:rPr>
        <w:t>Chúng ta sẽ sử dụng các mô hình ngôn ngữ lớn (LLM - như GPT-4 hoặc Llama) đóng vai trò kẻ tấn công. LLM sẽ tự động tạo ra các câu lệnh SQL Injection được làm mờ (obfuscated) bằng các kỹ thuật tinh vi như chèn các ký tự chú thích lạ, thay đổi khoảng trắng thành biểu thức tính toán, hoặc mã hóa ký tự. Chúng ta cho các câu lệnh này chạy qua XGBoost xem mô hình có nhận diện được không. Tỷ lệ mô hình bỏ sót (Bypass Rate) càng cao chứng tỏ mô hình càng dễ bị vượt qua.</w:t>
      </w:r>
    </w:p>
    <w:p>
      <w:pPr>
        <w:spacing w:before="0" w:after="120"/>
        <w:ind w:left="113"/>
        <w:jc w:val="both"/>
      </w:pPr>
      <w:r>
        <w:rPr>
          <w:rFonts w:ascii="Arial" w:hAnsi="Arial"/>
          <w:b/>
          <w:i w:val="0"/>
          <w:sz w:val="21"/>
        </w:rPr>
        <w:t>2. Huấn luyện đối địch (Adversarial Training) — Sub-RQ 2.2:</w:t>
      </w:r>
    </w:p>
    <w:p>
      <w:pPr>
        <w:spacing w:before="0" w:after="120"/>
        <w:ind w:left="227"/>
        <w:jc w:val="both"/>
      </w:pPr>
      <w:r>
        <w:rPr>
          <w:rFonts w:ascii="Arial" w:hAnsi="Arial"/>
          <w:b w:val="0"/>
          <w:i w:val="0"/>
          <w:sz w:val="21"/>
        </w:rPr>
        <w:t>Sau khi có các câu lệnh độc hại tinh vi do LLM sinh ra, chúng ta không bỏ qua mà sẽ đem trộn các câu lệnh này ngược trở lại vào tập dữ liệu huấn luyện ban đầu (Kaggle). Chúng ta tiến hành huấn luyện lại mô hình XGBoost trên tập dữ liệu mới đã được 'tiêm vaccine' này. Kết quả kỳ vọng là Bypass Rate sẽ giảm đi đáng kể, giúp hệ thống chống lại được các cuộc tấn công thế hệ mới do AI tạo 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