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ind w:firstLine="720"/>
        <w:jc w:val="both"/>
      </w:pPr>
      <w:r>
        <w:rPr>
          <w:b/>
        </w:rPr>
        <w:t>Các Văn bản Luật, Nghị định về công tác lưu trữ:</w:t>
      </w:r>
    </w:p>
    <w:p>
      <w:pPr>
        <w:spacing w:after="120"/>
        <w:ind w:firstLine="720"/>
        <w:jc w:val="both"/>
      </w:pPr>
      <w:r>
        <w:t>- Căn cứ Luật Lưu trữ số 01/2011/QH13 ngày 11/11/2011;</w:t>
      </w:r>
    </w:p>
    <w:p>
      <w:pPr>
        <w:spacing w:after="120"/>
        <w:ind w:firstLine="720"/>
        <w:jc w:val="both"/>
      </w:pPr>
      <w:r>
        <w:t>- Căn cứ Nghị định số 01/2013/NĐ-CP ngày 03/01/2013 của Chính phủ quy định chi tiết thi hành một số điều của Luật Lưu trữ;</w:t>
      </w:r>
    </w:p>
    <w:p>
      <w:pPr>
        <w:spacing w:after="120"/>
        <w:ind w:firstLine="720"/>
        <w:jc w:val="both"/>
      </w:pPr>
      <w:r>
        <w:rPr>
          <w:b/>
        </w:rPr>
        <w:t>Quy định về thời hạn bảo quản tài liệu:</w:t>
      </w:r>
    </w:p>
    <w:p>
      <w:pPr>
        <w:spacing w:after="120"/>
        <w:ind w:firstLine="720"/>
        <w:jc w:val="both"/>
      </w:pPr>
      <w:r>
        <w:t>- Căn cứ Quy định số 163/QĐ-VTLTNN ngày 04/8/2010 của Cục Văn thư lưu trữ nhà nước về thời hạn bảo quản hồ sơ, tài liệu hình thành phổ biến trong hoạt động của các cơ quan, tổ chức;</w:t>
      </w:r>
    </w:p>
    <w:p>
      <w:pPr>
        <w:spacing w:after="120"/>
        <w:ind w:firstLine="720"/>
        <w:jc w:val="both"/>
      </w:pPr>
      <w:r>
        <w:t>- Căn cứ Thông tư số 10/2022/TT-BNV ngày 19/12/2022 của Bộ Nội vụ quy định về thời gian bảo quản tài liệu;</w:t>
      </w:r>
    </w:p>
    <w:p>
      <w:pPr>
        <w:spacing w:after="120"/>
        <w:ind w:firstLine="720"/>
        <w:jc w:val="both"/>
      </w:pPr>
      <w:r>
        <w:rPr>
          <w:b/>
        </w:rPr>
        <w:t>Quy định về các bước của nghiệp vụ chỉnh lý tài liệu:</w:t>
      </w:r>
    </w:p>
    <w:p>
      <w:pPr>
        <w:spacing w:after="120"/>
        <w:ind w:firstLine="720"/>
        <w:jc w:val="both"/>
      </w:pPr>
      <w:r>
        <w:t>- Căn cứ Công văn số 283/VTLTNN-NVTW ngày 19/5/2004 của Cục Văn thư - Lưu trữ nhà nước về việc ban hành Hướng dẫn chỉnh lý tài liệu hành chính;</w:t>
      </w:r>
    </w:p>
    <w:p>
      <w:pPr>
        <w:spacing w:after="120"/>
        <w:ind w:firstLine="720"/>
        <w:jc w:val="both"/>
      </w:pPr>
      <w:r>
        <w:t>- Căn cứ Quyết định số 128/QĐ-VTLTNN ngày 01/6/2009 của Cục Văn thư Lưu trữ Nhà nước ban hành quy trình “Chỉnh lý tài liệu giấy” theo TCVN ISO 9001:2000;</w:t>
      </w:r>
    </w:p>
    <w:p>
      <w:pPr>
        <w:spacing w:after="120"/>
        <w:ind w:firstLine="720"/>
        <w:jc w:val="both"/>
      </w:pPr>
      <w:r>
        <w:rPr>
          <w:b/>
        </w:rPr>
        <w:t>Quy định về tiêu chuẩn kỹ thuật văn phòng phẩm:</w:t>
      </w:r>
    </w:p>
    <w:p>
      <w:pPr>
        <w:spacing w:after="120"/>
        <w:ind w:firstLine="720"/>
        <w:jc w:val="both"/>
      </w:pPr>
      <w:r>
        <w:t>- Quyết định số 1687/QĐ-BKHCN ngày 23/7/2012 của Bộ Khoa học và công nghệ về việc công bố Tiêu chuẩn quốc gia;</w:t>
      </w:r>
    </w:p>
    <w:p>
      <w:pPr>
        <w:spacing w:after="120"/>
        <w:ind w:firstLine="720"/>
        <w:jc w:val="both"/>
      </w:pPr>
      <w:r>
        <w:t>- Thông tư 16/2023/TT-BNV ngày 15/11/2023 của Bộ Nội vụ quy định định mức kinh tế - kỹ thuật chỉnh lý tài liệu nền giấy;</w:t>
      </w:r>
    </w:p>
    <w:p>
      <w:pPr>
        <w:spacing w:after="120"/>
        <w:ind w:firstLine="720"/>
        <w:jc w:val="both"/>
      </w:pPr>
      <w:r>
        <w:t>- Thông tư số 12/2010/TT-BNV ngày 26/11/2010 của Bộ Nội vụ hướng dẫn phương pháp xác định đơn giá chỉnh lý tài liệu giấy.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