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4B98" w14:textId="77777777" w:rsidR="0008027A" w:rsidRPr="0008027A" w:rsidRDefault="0008027A" w:rsidP="0008027A">
      <w:pPr>
        <w:rPr>
          <w:b/>
          <w:bCs/>
        </w:rPr>
      </w:pPr>
      <w:r w:rsidRPr="0008027A">
        <w:rPr>
          <w:b/>
          <w:bCs/>
        </w:rPr>
        <w:t xml:space="preserve">What You Can Do </w:t>
      </w:r>
      <w:proofErr w:type="gramStart"/>
      <w:r w:rsidRPr="0008027A">
        <w:rPr>
          <w:b/>
          <w:bCs/>
        </w:rPr>
        <w:t>With</w:t>
      </w:r>
      <w:proofErr w:type="gramEnd"/>
      <w:r w:rsidRPr="0008027A">
        <w:rPr>
          <w:b/>
          <w:bCs/>
        </w:rPr>
        <w:t xml:space="preserve"> It — Honest Taxonomy</w:t>
      </w:r>
    </w:p>
    <w:p w14:paraId="4350F556" w14:textId="77777777" w:rsidR="0008027A" w:rsidRPr="0008027A" w:rsidRDefault="0008027A" w:rsidP="0008027A">
      <w:pPr>
        <w:rPr>
          <w:b/>
          <w:bCs/>
        </w:rPr>
      </w:pPr>
      <w:r w:rsidRPr="0008027A">
        <w:rPr>
          <w:b/>
          <w:bCs/>
        </w:rPr>
        <w:t>1. Facility-Level Behavioral Analysis</w:t>
      </w:r>
    </w:p>
    <w:p w14:paraId="13E0CC65" w14:textId="77777777" w:rsidR="0008027A" w:rsidRPr="0008027A" w:rsidRDefault="0008027A" w:rsidP="0008027A">
      <w:r w:rsidRPr="0008027A">
        <w:rPr>
          <w:b/>
          <w:bCs/>
        </w:rPr>
        <w:t>Question:</w:t>
      </w:r>
      <w:r w:rsidRPr="0008027A">
        <w:t xml:space="preserve"> Do facilities behave differently from each other in ways that correlate with their market context?</w:t>
      </w:r>
    </w:p>
    <w:p w14:paraId="320E049A" w14:textId="77777777" w:rsidR="0008027A" w:rsidRPr="0008027A" w:rsidRDefault="0008027A" w:rsidP="0008027A">
      <w:r w:rsidRPr="0008027A">
        <w:t xml:space="preserve">Even without knowing </w:t>
      </w:r>
      <w:r w:rsidRPr="0008027A">
        <w:rPr>
          <w:i/>
          <w:iCs/>
        </w:rPr>
        <w:t>who</w:t>
      </w:r>
      <w:r w:rsidRPr="0008027A">
        <w:t xml:space="preserve"> is using each facility, you can characterize </w:t>
      </w:r>
      <w:r w:rsidRPr="0008027A">
        <w:rPr>
          <w:b/>
          <w:bCs/>
        </w:rPr>
        <w:t>behavioral patterns</w:t>
      </w:r>
      <w:r w:rsidRPr="0008027A">
        <w:t xml:space="preserve"> across facilities:</w:t>
      </w:r>
    </w:p>
    <w:p w14:paraId="5ED34D7A" w14:textId="77777777" w:rsidR="0008027A" w:rsidRPr="0008027A" w:rsidRDefault="0008027A" w:rsidP="0008027A">
      <w:pPr>
        <w:numPr>
          <w:ilvl w:val="0"/>
          <w:numId w:val="1"/>
        </w:numPr>
      </w:pPr>
      <w:r w:rsidRPr="0008027A">
        <w:t>Does the facility inject/withdraw in ways consistent with pure arbitrage (buy low, sell high)?</w:t>
      </w:r>
    </w:p>
    <w:p w14:paraId="6B5030BD" w14:textId="77777777" w:rsidR="0008027A" w:rsidRPr="0008027A" w:rsidRDefault="0008027A" w:rsidP="0008027A">
      <w:pPr>
        <w:numPr>
          <w:ilvl w:val="0"/>
          <w:numId w:val="1"/>
        </w:numPr>
      </w:pPr>
      <w:r w:rsidRPr="0008027A">
        <w:t>Does it systematically under-withdraw during price spikes relative to its inventory level?</w:t>
      </w:r>
    </w:p>
    <w:p w14:paraId="7E6AA051" w14:textId="77777777" w:rsidR="0008027A" w:rsidRPr="0008027A" w:rsidRDefault="0008027A" w:rsidP="0008027A">
      <w:pPr>
        <w:numPr>
          <w:ilvl w:val="0"/>
          <w:numId w:val="1"/>
        </w:numPr>
      </w:pPr>
      <w:r w:rsidRPr="0008027A">
        <w:t xml:space="preserve">Is its behavior </w:t>
      </w:r>
      <w:proofErr w:type="gramStart"/>
      <w:r w:rsidRPr="0008027A">
        <w:t>more or less price-responsive</w:t>
      </w:r>
      <w:proofErr w:type="gramEnd"/>
      <w:r w:rsidRPr="0008027A">
        <w:t xml:space="preserve"> than comparable facilities?</w:t>
      </w:r>
    </w:p>
    <w:p w14:paraId="5B9545BA" w14:textId="77777777" w:rsidR="0008027A" w:rsidRPr="0008027A" w:rsidRDefault="0008027A" w:rsidP="0008027A">
      <w:r w:rsidRPr="0008027A">
        <w:t xml:space="preserve">You construct a </w:t>
      </w:r>
      <w:r w:rsidRPr="0008027A">
        <w:rPr>
          <w:b/>
          <w:bCs/>
        </w:rPr>
        <w:t>competitive benchmark</w:t>
      </w:r>
      <w:r w:rsidRPr="0008027A">
        <w:t xml:space="preserve"> — what would a price-taking arbitrageur with the same inventory and capacity constraints do? — and then measure deviations from it.</w:t>
      </w:r>
    </w:p>
    <w:p w14:paraId="08A0C59E" w14:textId="77777777" w:rsidR="0008027A" w:rsidRPr="0008027A" w:rsidRDefault="0008027A" w:rsidP="0008027A">
      <w:r w:rsidRPr="0008027A">
        <w:t>The deviation from competitive behavior is your reduced-form market power measure, even without knowing the shipper identity.</w:t>
      </w:r>
    </w:p>
    <w:p w14:paraId="1AC9F819" w14:textId="77777777" w:rsidR="0008027A" w:rsidRPr="0008027A" w:rsidRDefault="0008027A" w:rsidP="0008027A">
      <w:r w:rsidRPr="0008027A">
        <w:t>**</w:t>
      </w:r>
      <w:proofErr w:type="gramStart"/>
      <w:r w:rsidRPr="0008027A">
        <w:t>Formally:*</w:t>
      </w:r>
      <w:proofErr w:type="gramEnd"/>
      <w:r w:rsidRPr="0008027A">
        <w:t>*</w:t>
      </w:r>
    </w:p>
    <w:p w14:paraId="513F8550" w14:textId="79A2A4B2" w:rsidR="0008027A" w:rsidRPr="0008027A" w:rsidRDefault="0008027A" w:rsidP="0008027A">
      <m:oMathPara>
        <m:oMath>
          <m:sSub>
            <m:sSubPr>
              <m:ctrlPr>
                <w:rPr>
                  <w:rFonts w:ascii="Cambria Math" w:hAnsi="Cambria Math"/>
                </w:rPr>
              </m:ctrlPr>
            </m:sSubPr>
            <m:e>
              <m:r>
                <m:rPr>
                  <m:nor/>
                </m:rPr>
                <m:t>Deviation</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ft</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ft</m:t>
              </m:r>
            </m:sub>
            <m:sup>
              <m:r>
                <w:rPr>
                  <w:rFonts w:ascii="Cambria Math" w:hAnsi="Cambria Math"/>
                </w:rPr>
                <m:t>*</m:t>
              </m:r>
            </m:sup>
          </m:sSubSup>
          <m:r>
            <w:rPr>
              <w:rFonts w:ascii="Cambria Math" w:hAnsi="Cambria Math"/>
            </w:rPr>
            <m:t>(</m:t>
          </m:r>
          <m:r>
            <m:rPr>
              <m:nor/>
            </m:rPr>
            <m:t>inventory, capacity, price, temperature</m:t>
          </m:r>
          <m:r>
            <w:rPr>
              <w:rFonts w:ascii="Cambria Math" w:hAnsi="Cambria Math"/>
            </w:rPr>
            <m:t>)</m:t>
          </m:r>
          <m:r>
            <w:rPr>
              <w:i/>
            </w:rPr>
            <w:br/>
          </m:r>
        </m:oMath>
      </m:oMathPara>
    </w:p>
    <w:p w14:paraId="0CEA2AAD" w14:textId="72F8F317" w:rsidR="0008027A" w:rsidRPr="0008027A" w:rsidRDefault="0008027A" w:rsidP="0008027A">
      <w:r w:rsidRPr="0008027A">
        <w:t xml:space="preserve">where </w:t>
      </w:r>
      <m:oMath>
        <m:sSubSup>
          <m:sSubSupPr>
            <m:ctrlPr>
              <w:rPr>
                <w:rFonts w:ascii="Cambria Math" w:hAnsi="Cambria Math"/>
              </w:rPr>
            </m:ctrlPr>
          </m:sSubSupPr>
          <m:e>
            <m:r>
              <w:rPr>
                <w:rFonts w:ascii="Cambria Math" w:hAnsi="Cambria Math"/>
              </w:rPr>
              <m:t>w</m:t>
            </m:r>
          </m:e>
          <m:sub>
            <m:r>
              <w:rPr>
                <w:rFonts w:ascii="Cambria Math" w:hAnsi="Cambria Math"/>
              </w:rPr>
              <m:t>ft</m:t>
            </m:r>
          </m:sub>
          <m:sup>
            <m:r>
              <w:rPr>
                <w:rFonts w:ascii="Cambria Math" w:hAnsi="Cambria Math"/>
              </w:rPr>
              <m:t>*</m:t>
            </m:r>
          </m:sup>
        </m:sSubSup>
      </m:oMath>
      <w:r w:rsidRPr="0008027A">
        <w:t>is the predicted competitive withdrawal. Facilities with systematically negative deviations during price spikes are withholding.</w:t>
      </w:r>
    </w:p>
    <w:p w14:paraId="0E73F5CF" w14:textId="77777777" w:rsidR="0008027A" w:rsidRPr="0008027A" w:rsidRDefault="0008027A" w:rsidP="0008027A">
      <w:r w:rsidRPr="0008027A">
        <w:pict w14:anchorId="2431DF86">
          <v:rect id="_x0000_i1055" style="width:0;height:1.5pt" o:hralign="center" o:hrstd="t" o:hr="t" fillcolor="#a0a0a0" stroked="f"/>
        </w:pict>
      </w:r>
    </w:p>
    <w:p w14:paraId="11A9BA34" w14:textId="77777777" w:rsidR="0008027A" w:rsidRPr="0008027A" w:rsidRDefault="0008027A" w:rsidP="0008027A">
      <w:pPr>
        <w:rPr>
          <w:b/>
          <w:bCs/>
        </w:rPr>
      </w:pPr>
      <w:r w:rsidRPr="0008027A">
        <w:rPr>
          <w:b/>
          <w:bCs/>
        </w:rPr>
        <w:t>2. Cross-Facility Heterogeneity as Your Treatment Variable</w:t>
      </w:r>
    </w:p>
    <w:p w14:paraId="3759129D" w14:textId="77777777" w:rsidR="0008027A" w:rsidRPr="0008027A" w:rsidRDefault="0008027A" w:rsidP="0008027A">
      <w:r w:rsidRPr="0008027A">
        <w:t>This is the key insight. Even with aggregate data, facilities differ in:</w:t>
      </w:r>
    </w:p>
    <w:p w14:paraId="6F2BF3F0" w14:textId="77777777" w:rsidR="0008027A" w:rsidRPr="0008027A" w:rsidRDefault="0008027A" w:rsidP="0008027A">
      <w:pPr>
        <w:numPr>
          <w:ilvl w:val="0"/>
          <w:numId w:val="2"/>
        </w:numPr>
      </w:pPr>
      <w:r w:rsidRPr="0008027A">
        <w:rPr>
          <w:b/>
          <w:bCs/>
        </w:rPr>
        <w:t>Ownership type of the operator</w:t>
      </w:r>
      <w:r w:rsidRPr="0008027A">
        <w:t xml:space="preserve"> (state, private integrated utility, Russian-linked, independent)</w:t>
      </w:r>
    </w:p>
    <w:p w14:paraId="043A3567" w14:textId="77777777" w:rsidR="0008027A" w:rsidRPr="0008027A" w:rsidRDefault="0008027A" w:rsidP="0008027A">
      <w:pPr>
        <w:numPr>
          <w:ilvl w:val="0"/>
          <w:numId w:val="2"/>
        </w:numPr>
      </w:pPr>
      <w:r w:rsidRPr="0008027A">
        <w:rPr>
          <w:b/>
          <w:bCs/>
        </w:rPr>
        <w:t>Country-level market structure</w:t>
      </w:r>
      <w:r w:rsidRPr="0008027A">
        <w:t xml:space="preserve"> (concentrated vs. competitive downstream gas market)</w:t>
      </w:r>
    </w:p>
    <w:p w14:paraId="481F6398" w14:textId="77777777" w:rsidR="0008027A" w:rsidRPr="0008027A" w:rsidRDefault="0008027A" w:rsidP="0008027A">
      <w:pPr>
        <w:numPr>
          <w:ilvl w:val="0"/>
          <w:numId w:val="2"/>
        </w:numPr>
      </w:pPr>
      <w:r w:rsidRPr="0008027A">
        <w:rPr>
          <w:b/>
          <w:bCs/>
        </w:rPr>
        <w:t>Physical type</w:t>
      </w:r>
      <w:r w:rsidRPr="0008027A">
        <w:t xml:space="preserve"> (salt cavern = flexible/strategic vs. depleted field = seasonal/slow)</w:t>
      </w:r>
    </w:p>
    <w:p w14:paraId="773C9A61" w14:textId="77777777" w:rsidR="0008027A" w:rsidRPr="0008027A" w:rsidRDefault="0008027A" w:rsidP="0008027A">
      <w:pPr>
        <w:numPr>
          <w:ilvl w:val="0"/>
          <w:numId w:val="2"/>
        </w:numPr>
      </w:pPr>
      <w:r w:rsidRPr="0008027A">
        <w:rPr>
          <w:b/>
          <w:bCs/>
        </w:rPr>
        <w:lastRenderedPageBreak/>
        <w:t>Size relative to national market</w:t>
      </w:r>
      <w:r w:rsidRPr="0008027A">
        <w:t xml:space="preserve"> (</w:t>
      </w:r>
      <w:proofErr w:type="spellStart"/>
      <w:r w:rsidRPr="0008027A">
        <w:t>Rehden</w:t>
      </w:r>
      <w:proofErr w:type="spellEnd"/>
      <w:r w:rsidRPr="0008027A">
        <w:t xml:space="preserve"> = 20% of German capacity; a small Italian facility = 2% of Italian capacity)</w:t>
      </w:r>
    </w:p>
    <w:p w14:paraId="6AFB651C" w14:textId="77777777" w:rsidR="0008027A" w:rsidRPr="0008027A" w:rsidRDefault="0008027A" w:rsidP="0008027A">
      <w:pPr>
        <w:numPr>
          <w:ilvl w:val="0"/>
          <w:numId w:val="2"/>
        </w:numPr>
      </w:pPr>
      <w:r w:rsidRPr="0008027A">
        <w:rPr>
          <w:b/>
          <w:bCs/>
        </w:rPr>
        <w:t>Proximity to LNG terminals</w:t>
      </w:r>
      <w:r w:rsidRPr="0008027A">
        <w:t xml:space="preserve"> (affects substitutability)</w:t>
      </w:r>
    </w:p>
    <w:p w14:paraId="4962D656" w14:textId="77777777" w:rsidR="0008027A" w:rsidRPr="0008027A" w:rsidRDefault="0008027A" w:rsidP="0008027A">
      <w:pPr>
        <w:numPr>
          <w:ilvl w:val="0"/>
          <w:numId w:val="2"/>
        </w:numPr>
      </w:pPr>
      <w:r w:rsidRPr="0008027A">
        <w:rPr>
          <w:b/>
          <w:bCs/>
        </w:rPr>
        <w:t>Cross-border location</w:t>
      </w:r>
      <w:r w:rsidRPr="0008027A">
        <w:t xml:space="preserve"> (facilities near borders serve multiple national markets)</w:t>
      </w:r>
    </w:p>
    <w:p w14:paraId="6FC5821F" w14:textId="77777777" w:rsidR="0008027A" w:rsidRPr="0008027A" w:rsidRDefault="0008027A" w:rsidP="0008027A">
      <w:r w:rsidRPr="0008027A">
        <w:t xml:space="preserve">These characteristics are all observable and create </w:t>
      </w:r>
      <w:r w:rsidRPr="0008027A">
        <w:rPr>
          <w:b/>
          <w:bCs/>
        </w:rPr>
        <w:t>cross-sectional treatment variation</w:t>
      </w:r>
      <w:r w:rsidRPr="0008027A">
        <w:t xml:space="preserve"> you can exploit without shipper-level data.</w:t>
      </w:r>
    </w:p>
    <w:p w14:paraId="071DDA26" w14:textId="77777777" w:rsidR="0008027A" w:rsidRPr="0008027A" w:rsidRDefault="0008027A" w:rsidP="0008027A">
      <w:r w:rsidRPr="0008027A">
        <w:rPr>
          <w:b/>
          <w:bCs/>
        </w:rPr>
        <w:t>The identifying assumption:</w:t>
      </w:r>
      <w:r w:rsidRPr="0008027A">
        <w:t xml:space="preserve"> Facilities operated or dominated by integrated/concentrated entities should show systematically different behavioral patterns than those in competitive settings — and that difference should widen during scarcity episodes like 2022.</w:t>
      </w:r>
    </w:p>
    <w:p w14:paraId="1F469316" w14:textId="77777777" w:rsidR="0008027A" w:rsidRPr="0008027A" w:rsidRDefault="0008027A" w:rsidP="0008027A">
      <w:r w:rsidRPr="0008027A">
        <w:pict w14:anchorId="2858D93E">
          <v:rect id="_x0000_i1056" style="width:0;height:1.5pt" o:hralign="center" o:hrstd="t" o:hr="t" fillcolor="#a0a0a0" stroked="f"/>
        </w:pict>
      </w:r>
    </w:p>
    <w:p w14:paraId="71857E11" w14:textId="77777777" w:rsidR="0008027A" w:rsidRPr="0008027A" w:rsidRDefault="0008027A" w:rsidP="0008027A">
      <w:pPr>
        <w:rPr>
          <w:b/>
          <w:bCs/>
        </w:rPr>
      </w:pPr>
      <w:r w:rsidRPr="0008027A">
        <w:rPr>
          <w:b/>
          <w:bCs/>
        </w:rPr>
        <w:t>3. The 2022 Mandate as Your Policy Experiment</w:t>
      </w:r>
    </w:p>
    <w:p w14:paraId="29425288" w14:textId="77777777" w:rsidR="0008027A" w:rsidRPr="0008027A" w:rsidRDefault="0008027A" w:rsidP="0008027A">
      <w:r w:rsidRPr="0008027A">
        <w:t xml:space="preserve">This is probably the </w:t>
      </w:r>
      <w:r w:rsidRPr="0008027A">
        <w:rPr>
          <w:b/>
          <w:bCs/>
        </w:rPr>
        <w:t>strongest thing you can do with aggregate data</w:t>
      </w:r>
      <w:r w:rsidRPr="0008027A">
        <w:t xml:space="preserve"> and it's genuinely clean.</w:t>
      </w:r>
    </w:p>
    <w:p w14:paraId="7064E4B9" w14:textId="77777777" w:rsidR="0008027A" w:rsidRPr="0008027A" w:rsidRDefault="0008027A" w:rsidP="0008027A">
      <w:r w:rsidRPr="0008027A">
        <w:t xml:space="preserve">The EU mandate (Regulation 2022/1032) </w:t>
      </w:r>
      <w:proofErr w:type="gramStart"/>
      <w:r w:rsidRPr="0008027A">
        <w:t>set</w:t>
      </w:r>
      <w:proofErr w:type="gramEnd"/>
      <w:r w:rsidRPr="0008027A">
        <w:t xml:space="preserve"> </w:t>
      </w:r>
      <w:proofErr w:type="gramStart"/>
      <w:r w:rsidRPr="0008027A">
        <w:t>filling</w:t>
      </w:r>
      <w:proofErr w:type="gramEnd"/>
      <w:r w:rsidRPr="0008027A">
        <w:t xml:space="preserve"> targets:</w:t>
      </w:r>
    </w:p>
    <w:p w14:paraId="69A78BAF" w14:textId="77777777" w:rsidR="0008027A" w:rsidRPr="0008027A" w:rsidRDefault="0008027A" w:rsidP="0008027A">
      <w:pPr>
        <w:numPr>
          <w:ilvl w:val="0"/>
          <w:numId w:val="3"/>
        </w:numPr>
      </w:pPr>
      <w:r w:rsidRPr="0008027A">
        <w:t>80% by November 1, 2022</w:t>
      </w:r>
    </w:p>
    <w:p w14:paraId="5BA6A9CA" w14:textId="77777777" w:rsidR="0008027A" w:rsidRPr="0008027A" w:rsidRDefault="0008027A" w:rsidP="0008027A">
      <w:pPr>
        <w:numPr>
          <w:ilvl w:val="0"/>
          <w:numId w:val="3"/>
        </w:numPr>
      </w:pPr>
      <w:r w:rsidRPr="0008027A">
        <w:t>90% by November 1, 2023</w:t>
      </w:r>
    </w:p>
    <w:p w14:paraId="23CC95D5" w14:textId="77777777" w:rsidR="0008027A" w:rsidRPr="0008027A" w:rsidRDefault="0008027A" w:rsidP="0008027A">
      <w:pPr>
        <w:numPr>
          <w:ilvl w:val="0"/>
          <w:numId w:val="3"/>
        </w:numPr>
      </w:pPr>
      <w:r w:rsidRPr="0008027A">
        <w:t xml:space="preserve">Applied at </w:t>
      </w:r>
      <w:r w:rsidRPr="0008027A">
        <w:rPr>
          <w:b/>
          <w:bCs/>
        </w:rPr>
        <w:t>member state level</w:t>
      </w:r>
      <w:r w:rsidRPr="0008027A">
        <w:t xml:space="preserve"> but monitored at facility level</w:t>
      </w:r>
    </w:p>
    <w:p w14:paraId="7A9CD1FC" w14:textId="77777777" w:rsidR="0008027A" w:rsidRPr="0008027A" w:rsidRDefault="0008027A" w:rsidP="0008027A">
      <w:r w:rsidRPr="0008027A">
        <w:rPr>
          <w:b/>
          <w:bCs/>
        </w:rPr>
        <w:t>What this gives you:</w:t>
      </w:r>
    </w:p>
    <w:p w14:paraId="6D30A6EE" w14:textId="77777777" w:rsidR="0008027A" w:rsidRPr="0008027A" w:rsidRDefault="0008027A" w:rsidP="0008027A">
      <w:r w:rsidRPr="0008027A">
        <w:rPr>
          <w:b/>
          <w:bCs/>
        </w:rPr>
        <w:t>A. A forcing variable for RD</w:t>
      </w:r>
      <w:r w:rsidRPr="0008027A">
        <w:br/>
        <w:t xml:space="preserve">Facilities (or countries) that were below the target threshold faced regulatory pressure to inject. Facilities above the threshold didn't. If you can measure distance-to-target at a given date, you have a running variable </w:t>
      </w:r>
      <w:proofErr w:type="gramStart"/>
      <w:r w:rsidRPr="0008027A">
        <w:t>for a regression</w:t>
      </w:r>
      <w:proofErr w:type="gramEnd"/>
      <w:r w:rsidRPr="0008027A">
        <w:t xml:space="preserve"> discontinuity.</w:t>
      </w:r>
    </w:p>
    <w:p w14:paraId="66E7A399" w14:textId="77777777" w:rsidR="00673B9B" w:rsidRDefault="0008027A" w:rsidP="0008027A">
      <w:r w:rsidRPr="0008027A">
        <w:t>Injection behavior</w:t>
      </w:r>
    </w:p>
    <w:p w14:paraId="5D3356CB" w14:textId="0A33238E" w:rsidR="0008027A" w:rsidRPr="0008027A" w:rsidRDefault="0008027A" w:rsidP="0008027A">
      <w:r w:rsidRPr="0008027A">
        <w:rPr>
          <w:b/>
          <w:bCs/>
        </w:rPr>
        <w:t xml:space="preserve">B. Differential </w:t>
      </w:r>
      <w:proofErr w:type="gramStart"/>
      <w:r w:rsidRPr="0008027A">
        <w:rPr>
          <w:b/>
          <w:bCs/>
        </w:rPr>
        <w:t>binding-ness</w:t>
      </w:r>
      <w:proofErr w:type="gramEnd"/>
      <w:r w:rsidRPr="0008027A">
        <w:rPr>
          <w:b/>
          <w:bCs/>
        </w:rPr>
        <w:t xml:space="preserve"> across countries</w:t>
      </w:r>
      <w:r w:rsidRPr="0008027A">
        <w:br/>
        <w:t>Countries that entered summer 2022 with low storage (Germany, Italy) faced a much more binding constraint than countries already near target (Portugal, Denmark). This cross-country variation in mandate intensity is essentially a natural experiment.</w:t>
      </w:r>
    </w:p>
    <w:p w14:paraId="159581DD" w14:textId="77777777" w:rsidR="0008027A" w:rsidRPr="0008027A" w:rsidRDefault="0008027A" w:rsidP="0008027A">
      <w:proofErr w:type="gramStart"/>
      <w:r w:rsidRPr="0008027A">
        <w:rPr>
          <w:b/>
          <w:bCs/>
        </w:rPr>
        <w:t>C. Pre</w:t>
      </w:r>
      <w:proofErr w:type="gramEnd"/>
      <w:r w:rsidRPr="0008027A">
        <w:rPr>
          <w:b/>
          <w:bCs/>
        </w:rPr>
        <w:t>/post behavioral shift</w:t>
      </w:r>
      <w:r w:rsidRPr="0008027A">
        <w:br/>
        <w:t xml:space="preserve">Before the mandate: strategic injection timing possible. After: forced to inject by </w:t>
      </w:r>
      <w:r w:rsidRPr="0008027A">
        <w:lastRenderedPageBreak/>
        <w:t>deadline regardless of price. Did facilities that were previously slow to inject suddenly accelerate? Did this compress the summer-winter price spread?</w:t>
      </w:r>
    </w:p>
    <w:p w14:paraId="23A3C624" w14:textId="77777777" w:rsidR="0008027A" w:rsidRPr="0008027A" w:rsidRDefault="0008027A" w:rsidP="0008027A">
      <w:r w:rsidRPr="0008027A">
        <w:rPr>
          <w:b/>
          <w:bCs/>
        </w:rPr>
        <w:t>D. Heterogeneous response by facility type</w:t>
      </w:r>
      <w:r w:rsidRPr="0008027A">
        <w:br/>
        <w:t>If the mandate hit some facilities harder (those with slower injection rates, those with dominant commercial shippers), their behavioral change should be larger. This heterogeneity is testable.</w:t>
      </w:r>
    </w:p>
    <w:p w14:paraId="5CF51829" w14:textId="77777777" w:rsidR="0008027A" w:rsidRPr="0008027A" w:rsidRDefault="0008027A" w:rsidP="0008027A">
      <w:r w:rsidRPr="0008027A">
        <w:pict w14:anchorId="7392F6E3">
          <v:rect id="_x0000_i1057" style="width:0;height:1.5pt" o:hralign="center" o:hrstd="t" o:hr="t" fillcolor="#a0a0a0" stroked="f"/>
        </w:pict>
      </w:r>
    </w:p>
    <w:p w14:paraId="41ACC8DE" w14:textId="77777777" w:rsidR="0008027A" w:rsidRPr="0008027A" w:rsidRDefault="0008027A" w:rsidP="0008027A">
      <w:pPr>
        <w:rPr>
          <w:b/>
          <w:bCs/>
        </w:rPr>
      </w:pPr>
      <w:r w:rsidRPr="0008027A">
        <w:rPr>
          <w:b/>
          <w:bCs/>
        </w:rPr>
        <w:t>4. Price Convergence and Allocative Efficiency</w:t>
      </w:r>
    </w:p>
    <w:p w14:paraId="1CA2BCAD" w14:textId="77777777" w:rsidR="0008027A" w:rsidRPr="0008027A" w:rsidRDefault="0008027A" w:rsidP="0008027A">
      <w:r w:rsidRPr="0008027A">
        <w:rPr>
          <w:b/>
          <w:bCs/>
        </w:rPr>
        <w:t>Question:</w:t>
      </w:r>
      <w:r w:rsidRPr="0008027A">
        <w:t xml:space="preserve"> Did storage facilities arbitrage price differences across locations and time efficiently, and did this change post-2022?</w:t>
      </w:r>
    </w:p>
    <w:p w14:paraId="2A2CEC06" w14:textId="77777777" w:rsidR="0008027A" w:rsidRPr="0008027A" w:rsidRDefault="0008027A" w:rsidP="0008027A">
      <w:r w:rsidRPr="0008027A">
        <w:t>With facility-level data + regional spot prices, you can test:</w:t>
      </w:r>
    </w:p>
    <w:p w14:paraId="18677E58" w14:textId="77777777" w:rsidR="0008027A" w:rsidRPr="0008027A" w:rsidRDefault="0008027A" w:rsidP="0008027A">
      <w:pPr>
        <w:numPr>
          <w:ilvl w:val="0"/>
          <w:numId w:val="4"/>
        </w:numPr>
      </w:pPr>
      <w:r w:rsidRPr="0008027A">
        <w:t>Do facilities in high-price regions withdraw more than facilities in low-price regions on the same day? (spatial arbitrage)</w:t>
      </w:r>
    </w:p>
    <w:p w14:paraId="5566B97A" w14:textId="77777777" w:rsidR="0008027A" w:rsidRPr="0008027A" w:rsidRDefault="0008027A" w:rsidP="0008027A">
      <w:pPr>
        <w:numPr>
          <w:ilvl w:val="0"/>
          <w:numId w:val="4"/>
        </w:numPr>
      </w:pPr>
      <w:r w:rsidRPr="0008027A">
        <w:t>Do facilities inject more when prices are low and withdraw more when prices are high within the same season? (temporal arbitrage)</w:t>
      </w:r>
    </w:p>
    <w:p w14:paraId="60E67069" w14:textId="77777777" w:rsidR="0008027A" w:rsidRPr="0008027A" w:rsidRDefault="0008027A" w:rsidP="0008027A">
      <w:pPr>
        <w:numPr>
          <w:ilvl w:val="0"/>
          <w:numId w:val="4"/>
        </w:numPr>
      </w:pPr>
      <w:r w:rsidRPr="0008027A">
        <w:t>Did the efficiency of this arbitrage change post-2022?</w:t>
      </w:r>
    </w:p>
    <w:p w14:paraId="037345FD" w14:textId="77777777" w:rsidR="0008027A" w:rsidRPr="0008027A" w:rsidRDefault="0008027A" w:rsidP="0008027A">
      <w:r w:rsidRPr="0008027A">
        <w:rPr>
          <w:b/>
          <w:bCs/>
        </w:rPr>
        <w:t>Why this is interesting:</w:t>
      </w:r>
      <w:r w:rsidRPr="0008027A">
        <w:t xml:space="preserve"> If dominant shippers were strategically withholding, you'd expect to see </w:t>
      </w:r>
      <w:r w:rsidRPr="0008027A">
        <w:rPr>
          <w:b/>
          <w:bCs/>
        </w:rPr>
        <w:t>less</w:t>
      </w:r>
      <w:r w:rsidRPr="0008027A">
        <w:t xml:space="preserve"> price-responsive behavior at large facilities relative to small ones. The size × price-responsiveness interaction is your market power test, done entirely with aggregate data.</w:t>
      </w:r>
    </w:p>
    <w:p w14:paraId="7850A637" w14:textId="77777777" w:rsidR="0008027A" w:rsidRPr="0008027A" w:rsidRDefault="0008027A" w:rsidP="0008027A">
      <w:r w:rsidRPr="0008027A">
        <w:pict w14:anchorId="68165AB9">
          <v:rect id="_x0000_i1058" style="width:0;height:1.5pt" o:hralign="center" o:hrstd="t" o:hr="t" fillcolor="#a0a0a0" stroked="f"/>
        </w:pict>
      </w:r>
    </w:p>
    <w:p w14:paraId="49058BBC" w14:textId="77777777" w:rsidR="0008027A" w:rsidRPr="0008027A" w:rsidRDefault="0008027A" w:rsidP="0008027A">
      <w:pPr>
        <w:rPr>
          <w:b/>
          <w:bCs/>
        </w:rPr>
      </w:pPr>
      <w:r w:rsidRPr="0008027A">
        <w:rPr>
          <w:b/>
          <w:bCs/>
        </w:rPr>
        <w:t xml:space="preserve">5. The </w:t>
      </w:r>
      <w:proofErr w:type="spellStart"/>
      <w:r w:rsidRPr="0008027A">
        <w:rPr>
          <w:b/>
          <w:bCs/>
        </w:rPr>
        <w:t>Rehden</w:t>
      </w:r>
      <w:proofErr w:type="spellEnd"/>
      <w:r w:rsidRPr="0008027A">
        <w:rPr>
          <w:b/>
          <w:bCs/>
        </w:rPr>
        <w:t xml:space="preserve"> Event Study — Your Cleanest Design</w:t>
      </w:r>
    </w:p>
    <w:p w14:paraId="74CE7998" w14:textId="77777777" w:rsidR="0008027A" w:rsidRPr="0008027A" w:rsidRDefault="0008027A" w:rsidP="0008027A">
      <w:r w:rsidRPr="0008027A">
        <w:t xml:space="preserve">With aggregate GIE data, the </w:t>
      </w:r>
      <w:proofErr w:type="spellStart"/>
      <w:r w:rsidRPr="0008027A">
        <w:t>Rehden</w:t>
      </w:r>
      <w:proofErr w:type="spellEnd"/>
      <w:r w:rsidRPr="0008027A">
        <w:t xml:space="preserve"> trusteeship gives you a </w:t>
      </w:r>
      <w:r w:rsidRPr="0008027A">
        <w:rPr>
          <w:b/>
          <w:bCs/>
        </w:rPr>
        <w:t>difference-in-</w:t>
      </w:r>
      <w:proofErr w:type="gramStart"/>
      <w:r w:rsidRPr="0008027A">
        <w:rPr>
          <w:b/>
          <w:bCs/>
        </w:rPr>
        <w:t>differences</w:t>
      </w:r>
      <w:proofErr w:type="gramEnd"/>
      <w:r w:rsidRPr="0008027A">
        <w:t xml:space="preserve"> that is unusually clean:</w:t>
      </w:r>
    </w:p>
    <w:p w14:paraId="301BB54E" w14:textId="77777777" w:rsidR="0008027A" w:rsidRPr="0008027A" w:rsidRDefault="0008027A" w:rsidP="0008027A">
      <w:r w:rsidRPr="0008027A">
        <w:rPr>
          <w:b/>
          <w:bCs/>
        </w:rPr>
        <w:t>Treatment:</w:t>
      </w:r>
      <w:r w:rsidRPr="0008027A">
        <w:t xml:space="preserve"> </w:t>
      </w:r>
      <w:proofErr w:type="spellStart"/>
      <w:r w:rsidRPr="0008027A">
        <w:t>Rehden</w:t>
      </w:r>
      <w:proofErr w:type="spellEnd"/>
      <w:r w:rsidRPr="0008027A">
        <w:t xml:space="preserve"> (Gazprom-controlled → German government trustee, April 2022)</w:t>
      </w:r>
    </w:p>
    <w:p w14:paraId="32073931" w14:textId="77777777" w:rsidR="0008027A" w:rsidRPr="0008027A" w:rsidRDefault="0008027A" w:rsidP="0008027A">
      <w:r w:rsidRPr="0008027A">
        <w:rPr>
          <w:b/>
          <w:bCs/>
        </w:rPr>
        <w:t>Control group:</w:t>
      </w:r>
      <w:r w:rsidRPr="0008027A">
        <w:t xml:space="preserve"> Other large German/neighboring storage facilities not under trusteeship (Uniper facilities, SNAM facilities in Austria, etc.)</w:t>
      </w:r>
    </w:p>
    <w:p w14:paraId="5A29EE0E" w14:textId="77777777" w:rsidR="0008027A" w:rsidRPr="0008027A" w:rsidRDefault="0008027A" w:rsidP="0008027A">
      <w:r w:rsidRPr="0008027A">
        <w:rPr>
          <w:b/>
          <w:bCs/>
        </w:rPr>
        <w:t>Outcomes from GIE:</w:t>
      </w:r>
    </w:p>
    <w:p w14:paraId="159E8673" w14:textId="77777777" w:rsidR="0008027A" w:rsidRPr="0008027A" w:rsidRDefault="0008027A" w:rsidP="0008027A">
      <w:pPr>
        <w:numPr>
          <w:ilvl w:val="0"/>
          <w:numId w:val="5"/>
        </w:numPr>
      </w:pPr>
      <w:r w:rsidRPr="0008027A">
        <w:t>Injection rate relative to capacity</w:t>
      </w:r>
    </w:p>
    <w:p w14:paraId="7D98AAD0" w14:textId="77777777" w:rsidR="0008027A" w:rsidRPr="0008027A" w:rsidRDefault="0008027A" w:rsidP="0008027A">
      <w:pPr>
        <w:numPr>
          <w:ilvl w:val="0"/>
          <w:numId w:val="5"/>
        </w:numPr>
      </w:pPr>
      <w:r w:rsidRPr="0008027A">
        <w:t>Withdrawal rate relative to inventory</w:t>
      </w:r>
    </w:p>
    <w:p w14:paraId="64DDE0E0" w14:textId="77777777" w:rsidR="0008027A" w:rsidRPr="0008027A" w:rsidRDefault="0008027A" w:rsidP="0008027A">
      <w:pPr>
        <w:numPr>
          <w:ilvl w:val="0"/>
          <w:numId w:val="5"/>
        </w:numPr>
      </w:pPr>
      <w:r w:rsidRPr="0008027A">
        <w:lastRenderedPageBreak/>
        <w:t>Price-responsiveness of withdrawal decisions</w:t>
      </w:r>
    </w:p>
    <w:p w14:paraId="2F08E032" w14:textId="77777777" w:rsidR="0008027A" w:rsidRPr="0008027A" w:rsidRDefault="0008027A" w:rsidP="0008027A">
      <w:pPr>
        <w:numPr>
          <w:ilvl w:val="0"/>
          <w:numId w:val="5"/>
        </w:numPr>
      </w:pPr>
      <w:r w:rsidRPr="0008027A">
        <w:t>Speed of filling toward capacity</w:t>
      </w:r>
    </w:p>
    <w:p w14:paraId="028DAA72" w14:textId="77777777" w:rsidR="0008027A" w:rsidRPr="0008027A" w:rsidRDefault="0008027A" w:rsidP="0008027A">
      <w:r w:rsidRPr="0008027A">
        <w:rPr>
          <w:b/>
          <w:bCs/>
        </w:rPr>
        <w:t>What you'd expect to find if Gazprom was strategic:</w:t>
      </w:r>
      <w:r w:rsidRPr="0008027A">
        <w:t xml:space="preserve"> After trusteeship, </w:t>
      </w:r>
      <w:proofErr w:type="spellStart"/>
      <w:r w:rsidRPr="0008027A">
        <w:t>Rehden</w:t>
      </w:r>
      <w:proofErr w:type="spellEnd"/>
      <w:r w:rsidRPr="0008027A">
        <w:t xml:space="preserve"> should inject faster, withdraw more price-responsively, and reach higher fill levels than pre-treatment trends would predict — relative to control facilities.</w:t>
      </w:r>
    </w:p>
    <w:p w14:paraId="0FD08772" w14:textId="77777777" w:rsidR="0008027A" w:rsidRPr="0008027A" w:rsidRDefault="0008027A" w:rsidP="0008027A">
      <w:r w:rsidRPr="0008027A">
        <w:rPr>
          <w:b/>
          <w:bCs/>
        </w:rPr>
        <w:t>What makes this publishable even with aggregate data:</w:t>
      </w:r>
      <w:r w:rsidRPr="0008027A">
        <w:t xml:space="preserve"> </w:t>
      </w:r>
      <w:proofErr w:type="spellStart"/>
      <w:r w:rsidRPr="0008027A">
        <w:t>Rehden</w:t>
      </w:r>
      <w:proofErr w:type="spellEnd"/>
      <w:r w:rsidRPr="0008027A">
        <w:t xml:space="preserve"> is large enough that its behavior had </w:t>
      </w:r>
      <w:r w:rsidRPr="0008027A">
        <w:rPr>
          <w:b/>
          <w:bCs/>
        </w:rPr>
        <w:t>system-level effects</w:t>
      </w:r>
      <w:r w:rsidRPr="0008027A">
        <w:t xml:space="preserve">. You can show not just that </w:t>
      </w:r>
      <w:proofErr w:type="spellStart"/>
      <w:r w:rsidRPr="0008027A">
        <w:t>Rehden</w:t>
      </w:r>
      <w:proofErr w:type="spellEnd"/>
      <w:r w:rsidRPr="0008027A">
        <w:t xml:space="preserve"> changed, but that German system-level storage adequacy improved discontinuously after the trusteeship — connecting micro behavior to </w:t>
      </w:r>
      <w:proofErr w:type="gramStart"/>
      <w:r w:rsidRPr="0008027A">
        <w:t>macro outcomes</w:t>
      </w:r>
      <w:proofErr w:type="gramEnd"/>
      <w:r w:rsidRPr="0008027A">
        <w:t>.</w:t>
      </w:r>
    </w:p>
    <w:p w14:paraId="4DE8E473" w14:textId="77777777" w:rsidR="0008027A" w:rsidRPr="0008027A" w:rsidRDefault="0008027A" w:rsidP="0008027A">
      <w:r w:rsidRPr="0008027A">
        <w:pict w14:anchorId="3CA35994">
          <v:rect id="_x0000_i1059" style="width:0;height:1.5pt" o:hralign="center" o:hrstd="t" o:hr="t" fillcolor="#a0a0a0" stroked="f"/>
        </w:pict>
      </w:r>
    </w:p>
    <w:p w14:paraId="7A90FDEB" w14:textId="77777777" w:rsidR="0008027A" w:rsidRPr="0008027A" w:rsidRDefault="0008027A" w:rsidP="0008027A">
      <w:pPr>
        <w:rPr>
          <w:b/>
          <w:bCs/>
        </w:rPr>
      </w:pPr>
      <w:r w:rsidRPr="0008027A">
        <w:rPr>
          <w:b/>
          <w:bCs/>
        </w:rPr>
        <w:t>6. Storage Adequacy and Downstream Price Volatility</w:t>
      </w:r>
    </w:p>
    <w:p w14:paraId="276A2106" w14:textId="77777777" w:rsidR="0008027A" w:rsidRPr="0008027A" w:rsidRDefault="0008027A" w:rsidP="0008027A">
      <w:r w:rsidRPr="0008027A">
        <w:rPr>
          <w:b/>
          <w:bCs/>
        </w:rPr>
        <w:t>Question:</w:t>
      </w:r>
      <w:r w:rsidRPr="0008027A">
        <w:t xml:space="preserve"> Did aggregate storage behavior amplify or dampen gas price volatility during 2022?</w:t>
      </w:r>
    </w:p>
    <w:p w14:paraId="2D81B860" w14:textId="77777777" w:rsidR="0008027A" w:rsidRPr="0008027A" w:rsidRDefault="0008027A" w:rsidP="0008027A">
      <w:r w:rsidRPr="0008027A">
        <w:t>This is more macro but still interesting:</w:t>
      </w:r>
    </w:p>
    <w:p w14:paraId="648B0281" w14:textId="77777777" w:rsidR="0008027A" w:rsidRPr="0008027A" w:rsidRDefault="0008027A" w:rsidP="0008027A">
      <w:pPr>
        <w:numPr>
          <w:ilvl w:val="0"/>
          <w:numId w:val="6"/>
        </w:numPr>
      </w:pPr>
      <w:r w:rsidRPr="0008027A">
        <w:t>Construct a daily measure of system-wide storage adequacy (actual inventory vs. seasonal norm)</w:t>
      </w:r>
    </w:p>
    <w:p w14:paraId="43EC0194" w14:textId="77777777" w:rsidR="0008027A" w:rsidRPr="0008027A" w:rsidRDefault="0008027A" w:rsidP="0008027A">
      <w:pPr>
        <w:numPr>
          <w:ilvl w:val="0"/>
          <w:numId w:val="6"/>
        </w:numPr>
      </w:pPr>
      <w:r w:rsidRPr="0008027A">
        <w:t>Regress spot price volatility on storage adequacy, with lags</w:t>
      </w:r>
    </w:p>
    <w:p w14:paraId="50056820" w14:textId="77777777" w:rsidR="0008027A" w:rsidRPr="0008027A" w:rsidRDefault="0008027A" w:rsidP="0008027A">
      <w:pPr>
        <w:numPr>
          <w:ilvl w:val="0"/>
          <w:numId w:val="6"/>
        </w:numPr>
      </w:pPr>
      <w:r w:rsidRPr="0008027A">
        <w:t>Test whether the relationship changed in 2022 (mandate period) vs. pre-2022</w:t>
      </w:r>
    </w:p>
    <w:p w14:paraId="353A9B0F" w14:textId="77777777" w:rsidR="00FA6ADB" w:rsidRDefault="00FA6ADB"/>
    <w:p w14:paraId="04645DC4" w14:textId="77777777" w:rsidR="0008027A" w:rsidRPr="0008027A" w:rsidRDefault="0008027A" w:rsidP="0008027A">
      <w:pPr>
        <w:rPr>
          <w:b/>
          <w:bCs/>
        </w:rPr>
      </w:pPr>
      <w:r w:rsidRPr="0008027A">
        <w:rPr>
          <w:b/>
          <w:bCs/>
        </w:rPr>
        <w:t>What This Means for Your Paper</w:t>
      </w:r>
    </w:p>
    <w:p w14:paraId="196DD217" w14:textId="77777777" w:rsidR="0008027A" w:rsidRPr="0008027A" w:rsidRDefault="0008027A" w:rsidP="0008027A">
      <w:r w:rsidRPr="0008027A">
        <w:t xml:space="preserve">With </w:t>
      </w:r>
      <w:proofErr w:type="gramStart"/>
      <w:r w:rsidRPr="0008027A">
        <w:t>aggregate</w:t>
      </w:r>
      <w:proofErr w:type="gramEnd"/>
      <w:r w:rsidRPr="0008027A">
        <w:t xml:space="preserve"> data alone, the most defensible and coherent paper is:</w:t>
      </w:r>
    </w:p>
    <w:p w14:paraId="25218470" w14:textId="77777777" w:rsidR="0008027A" w:rsidRPr="0008027A" w:rsidRDefault="0008027A" w:rsidP="0008027A">
      <w:r w:rsidRPr="0008027A">
        <w:rPr>
          <w:b/>
          <w:bCs/>
        </w:rPr>
        <w:t>"Storage Market Behavior and Regulatory Intervention: Evidence from the 2022 EU Gas Crisis"</w:t>
      </w:r>
    </w:p>
    <w:p w14:paraId="11E28C7D" w14:textId="77777777" w:rsidR="0008027A" w:rsidRPr="0008027A" w:rsidRDefault="0008027A" w:rsidP="0008027A">
      <w:r w:rsidRPr="0008027A">
        <w:t>With three connected pieces:</w:t>
      </w:r>
    </w:p>
    <w:p w14:paraId="3B345C0C" w14:textId="77777777" w:rsidR="0008027A" w:rsidRPr="0008027A" w:rsidRDefault="0008027A" w:rsidP="0008027A">
      <w:r w:rsidRPr="0008027A">
        <w:rPr>
          <w:b/>
          <w:bCs/>
        </w:rPr>
        <w:t>Piece 1 — Characterize behavioral heterogeneity across facilities</w:t>
      </w:r>
      <w:r w:rsidRPr="0008027A">
        <w:br/>
        <w:t>Show that facilities differ systematically in price-responsiveness, and that this correlates with operator type and market concentration. This is your suggestive market power evidence.</w:t>
      </w:r>
    </w:p>
    <w:p w14:paraId="62BBFA85" w14:textId="77777777" w:rsidR="0008027A" w:rsidRPr="0008027A" w:rsidRDefault="0008027A" w:rsidP="0008027A">
      <w:r w:rsidRPr="0008027A">
        <w:rPr>
          <w:b/>
          <w:bCs/>
        </w:rPr>
        <w:lastRenderedPageBreak/>
        <w:t xml:space="preserve">Piece 2 — The </w:t>
      </w:r>
      <w:proofErr w:type="spellStart"/>
      <w:r w:rsidRPr="0008027A">
        <w:rPr>
          <w:b/>
          <w:bCs/>
        </w:rPr>
        <w:t>Rehden</w:t>
      </w:r>
      <w:proofErr w:type="spellEnd"/>
      <w:r w:rsidRPr="0008027A">
        <w:rPr>
          <w:b/>
          <w:bCs/>
        </w:rPr>
        <w:t xml:space="preserve"> event study</w:t>
      </w:r>
      <w:r w:rsidRPr="0008027A">
        <w:br/>
        <w:t>Clean quasi-experiment showing that removing strategic operator changed facility behavior discontinuously. This is your most credible causal result.</w:t>
      </w:r>
    </w:p>
    <w:p w14:paraId="6086A911" w14:textId="77777777" w:rsidR="0008027A" w:rsidRPr="0008027A" w:rsidRDefault="0008027A" w:rsidP="0008027A">
      <w:r w:rsidRPr="0008027A">
        <w:rPr>
          <w:b/>
          <w:bCs/>
        </w:rPr>
        <w:t>Piece 3 — Mandate effects</w:t>
      </w:r>
      <w:r w:rsidRPr="0008027A">
        <w:br/>
        <w:t xml:space="preserve">RD or </w:t>
      </w:r>
      <w:proofErr w:type="spellStart"/>
      <w:r w:rsidRPr="0008027A">
        <w:t>DiD</w:t>
      </w:r>
      <w:proofErr w:type="spellEnd"/>
      <w:r w:rsidRPr="0008027A">
        <w:t xml:space="preserve"> around the filling target threshold showing the mandate changed injection behavior, compressed price spreads, and improved system adequacy. This is your policy evaluation.</w:t>
      </w:r>
    </w:p>
    <w:p w14:paraId="2910C878" w14:textId="77777777" w:rsidR="0008027A" w:rsidRPr="0008027A" w:rsidRDefault="0008027A" w:rsidP="0008027A">
      <w:r w:rsidRPr="0008027A">
        <w:t>The aggregate data is genuinely sufficient for this paper. The shipper-level data would let you go further — but this is already a complete, publishable contribution.</w:t>
      </w:r>
    </w:p>
    <w:p w14:paraId="5B50C8B3" w14:textId="77777777" w:rsidR="0008027A" w:rsidRDefault="0008027A"/>
    <w:p w14:paraId="012C5452" w14:textId="1CAB9160" w:rsidR="0008027A" w:rsidRDefault="0008027A">
      <w:r>
        <w:br w:type="page"/>
      </w:r>
    </w:p>
    <w:p w14:paraId="5723314B" w14:textId="77777777" w:rsidR="0008027A" w:rsidRPr="0008027A" w:rsidRDefault="0008027A" w:rsidP="0008027A">
      <w:pPr>
        <w:rPr>
          <w:b/>
          <w:bCs/>
        </w:rPr>
      </w:pPr>
      <w:r w:rsidRPr="0008027A">
        <w:rPr>
          <w:b/>
          <w:bCs/>
        </w:rPr>
        <w:lastRenderedPageBreak/>
        <w:t>The Key Aggregation Assumption</w:t>
      </w:r>
    </w:p>
    <w:p w14:paraId="7C26E80E" w14:textId="77777777" w:rsidR="0008027A" w:rsidRPr="0008027A" w:rsidRDefault="0008027A" w:rsidP="0008027A">
      <w:r w:rsidRPr="0008027A">
        <w:t>The cleanest assumption is:</w:t>
      </w:r>
    </w:p>
    <w:p w14:paraId="7BA14ACE" w14:textId="77777777" w:rsidR="0008027A" w:rsidRPr="0008027A" w:rsidRDefault="0008027A" w:rsidP="0008027A">
      <w:r w:rsidRPr="0008027A">
        <w:t xml:space="preserve">Each facility is effectively controlled by a </w:t>
      </w:r>
      <w:r w:rsidRPr="0008027A">
        <w:rPr>
          <w:b/>
          <w:bCs/>
        </w:rPr>
        <w:t>single dominant shipper</w:t>
      </w:r>
      <w:r w:rsidRPr="0008027A">
        <w:t xml:space="preserve"> whose optimization problem determines observed facility-level behavior.</w:t>
      </w:r>
    </w:p>
    <w:p w14:paraId="75BFCC6D" w14:textId="77777777" w:rsidR="0008027A" w:rsidRPr="0008027A" w:rsidRDefault="0008027A" w:rsidP="0008027A">
      <w:r w:rsidRPr="0008027A">
        <w:t>This is not crazy. In practice EU storage facilities tend to have one or two dominant capacity holders — especially the large ones that matter for price impact. Under this assumption, facility-level behavior = dominant shipper's behavior, and you're back to a single-agent problem per facility.</w:t>
      </w:r>
    </w:p>
    <w:p w14:paraId="5A125AB9" w14:textId="77777777" w:rsidR="0008027A" w:rsidRPr="0008027A" w:rsidRDefault="0008027A" w:rsidP="0008027A">
      <w:r w:rsidRPr="0008027A">
        <w:t xml:space="preserve">You then estimate </w:t>
      </w:r>
      <w:r w:rsidRPr="0008027A">
        <w:rPr>
          <w:b/>
          <w:bCs/>
        </w:rPr>
        <w:t>heterogeneous conduct</w:t>
      </w:r>
      <w:r w:rsidRPr="0008027A">
        <w:t xml:space="preserve"> across facilities, where the conduct parameter varies by facility characteristics (size, operator type, country market structure).</w:t>
      </w:r>
    </w:p>
    <w:p w14:paraId="0D2F3F0E" w14:textId="77777777" w:rsidR="0008027A" w:rsidRPr="0008027A" w:rsidRDefault="0008027A" w:rsidP="0008027A">
      <w:r w:rsidRPr="0008027A">
        <w:t xml:space="preserve">This is your </w:t>
      </w:r>
      <w:r w:rsidRPr="0008027A">
        <w:rPr>
          <w:b/>
          <w:bCs/>
        </w:rPr>
        <w:t>identification from cross-facility variation</w:t>
      </w:r>
      <w:r w:rsidRPr="0008027A">
        <w:t xml:space="preserve"> — not from within-shipper variation.</w:t>
      </w:r>
    </w:p>
    <w:p w14:paraId="6892B960" w14:textId="77777777" w:rsidR="0008027A" w:rsidRPr="0008027A" w:rsidRDefault="0008027A" w:rsidP="0008027A">
      <w:r w:rsidRPr="0008027A">
        <w:pict w14:anchorId="445E410F">
          <v:rect id="_x0000_i1101" style="width:0;height:1.5pt" o:hralign="center" o:hrstd="t" o:hr="t" fillcolor="#a0a0a0" stroked="f"/>
        </w:pict>
      </w:r>
    </w:p>
    <w:p w14:paraId="5FDE880B" w14:textId="77777777" w:rsidR="0008027A" w:rsidRPr="0008027A" w:rsidRDefault="0008027A" w:rsidP="0008027A">
      <w:pPr>
        <w:rPr>
          <w:b/>
          <w:bCs/>
        </w:rPr>
      </w:pPr>
      <w:r w:rsidRPr="0008027A">
        <w:rPr>
          <w:b/>
          <w:bCs/>
        </w:rPr>
        <w:t>The Model — Built for Aggregate Data</w:t>
      </w:r>
    </w:p>
    <w:p w14:paraId="7715E49C" w14:textId="77777777" w:rsidR="0008027A" w:rsidRPr="0008027A" w:rsidRDefault="0008027A" w:rsidP="0008027A">
      <w:pPr>
        <w:rPr>
          <w:b/>
          <w:bCs/>
        </w:rPr>
      </w:pPr>
      <w:r w:rsidRPr="0008027A">
        <w:rPr>
          <w:b/>
          <w:bCs/>
        </w:rPr>
        <w:t>Setup</w:t>
      </w:r>
    </w:p>
    <w:p w14:paraId="1DF033FA" w14:textId="4C230E52" w:rsidR="0008027A" w:rsidRPr="0008027A" w:rsidRDefault="0008027A" w:rsidP="0008027A">
      <w:r w:rsidRPr="0008027A">
        <w:t xml:space="preserve">Index facilities by </w:t>
      </w:r>
      <m:oMath>
        <m:r>
          <w:rPr>
            <w:rFonts w:ascii="Cambria Math" w:hAnsi="Cambria Math"/>
          </w:rPr>
          <m:t>f</m:t>
        </m:r>
      </m:oMath>
      <w:r w:rsidRPr="0008027A">
        <w:t xml:space="preserve">, time periods by </w:t>
      </w:r>
      <m:oMath>
        <m:r>
          <w:rPr>
            <w:rFonts w:ascii="Cambria Math" w:hAnsi="Cambria Math"/>
          </w:rPr>
          <m:t>t</m:t>
        </m:r>
      </m:oMath>
      <w:r w:rsidRPr="0008027A">
        <w:t>(daily or weekly).</w:t>
      </w:r>
    </w:p>
    <w:p w14:paraId="2306C8AD" w14:textId="77777777" w:rsidR="0008027A" w:rsidRPr="0008027A" w:rsidRDefault="0008027A" w:rsidP="0008027A">
      <w:r w:rsidRPr="0008027A">
        <w:rPr>
          <w:b/>
          <w:bCs/>
        </w:rPr>
        <w:t>State variable:</w:t>
      </w:r>
    </w:p>
    <w:p w14:paraId="564D59EE" w14:textId="3604603D" w:rsidR="0008027A" w:rsidRPr="0008027A" w:rsidRDefault="0008027A" w:rsidP="0008027A">
      <m:oMathPara>
        <m:oMath>
          <m:sSub>
            <m:sSubPr>
              <m:ctrlPr>
                <w:rPr>
                  <w:rFonts w:ascii="Cambria Math" w:hAnsi="Cambria Math"/>
                </w:rPr>
              </m:ctrlPr>
            </m:sSubPr>
            <m:e>
              <m:r>
                <w:rPr>
                  <w:rFonts w:ascii="Cambria Math" w:hAnsi="Cambria Math"/>
                </w:rPr>
                <m:t>s</m:t>
              </m:r>
            </m:e>
            <m:sub>
              <m:r>
                <w:rPr>
                  <w:rFonts w:ascii="Cambria Math" w:hAnsi="Cambria Math"/>
                </w:rPr>
                <m:t>ft</m:t>
              </m:r>
            </m:sub>
          </m:sSub>
          <m:r>
            <w:rPr>
              <w:rFonts w:ascii="Cambria Math" w:hAnsi="Cambria Math"/>
            </w:rPr>
            <m:t>∈[0,</m:t>
          </m:r>
          <m:sSub>
            <m:sSubPr>
              <m:ctrlPr>
                <w:rPr>
                  <w:rFonts w:ascii="Cambria Math" w:hAnsi="Cambria Math"/>
                </w:rPr>
              </m:ctrlPr>
            </m:sSubPr>
            <m:e>
              <m:acc>
                <m:accPr>
                  <m:chr m:val="ˉ"/>
                  <m:ctrlPr>
                    <w:rPr>
                      <w:rFonts w:ascii="Cambria Math" w:hAnsi="Cambria Math"/>
                    </w:rPr>
                  </m:ctrlPr>
                </m:accPr>
                <m:e>
                  <m:r>
                    <w:rPr>
                      <w:rFonts w:ascii="Cambria Math" w:hAnsi="Cambria Math"/>
                    </w:rPr>
                    <m:t>S</m:t>
                  </m:r>
                </m:e>
              </m:acc>
            </m:e>
            <m:sub>
              <m:r>
                <w:rPr>
                  <w:rFonts w:ascii="Cambria Math" w:hAnsi="Cambria Math"/>
                </w:rPr>
                <m:t>f</m:t>
              </m:r>
            </m:sub>
          </m:sSub>
          <m:r>
            <w:rPr>
              <w:rFonts w:ascii="Cambria Math" w:hAnsi="Cambria Math"/>
            </w:rPr>
            <m:t>]</m:t>
          </m:r>
          <m:r>
            <w:rPr>
              <w:i/>
            </w:rPr>
            <w:br/>
          </m:r>
        </m:oMath>
      </m:oMathPara>
    </w:p>
    <w:p w14:paraId="707FEB6E" w14:textId="60179C16" w:rsidR="0008027A" w:rsidRPr="0008027A" w:rsidRDefault="0008027A" w:rsidP="0008027A">
      <w:r w:rsidRPr="0008027A">
        <w:t xml:space="preserve">inventory at facility </w:t>
      </w:r>
      <m:oMath>
        <m:r>
          <w:rPr>
            <w:rFonts w:ascii="Cambria Math" w:hAnsi="Cambria Math"/>
          </w:rPr>
          <m:t>f</m:t>
        </m:r>
      </m:oMath>
      <w:r w:rsidRPr="0008027A">
        <w:t xml:space="preserve">, period </w:t>
      </w:r>
      <m:oMath>
        <m:r>
          <w:rPr>
            <w:rFonts w:ascii="Cambria Math" w:hAnsi="Cambria Math"/>
          </w:rPr>
          <m:t>t</m:t>
        </m:r>
      </m:oMath>
      <w:r w:rsidRPr="0008027A">
        <w:t>. Observed directly from GIE.</w:t>
      </w:r>
    </w:p>
    <w:p w14:paraId="7677D158" w14:textId="77777777" w:rsidR="0008027A" w:rsidRPr="0008027A" w:rsidRDefault="0008027A" w:rsidP="0008027A">
      <w:r w:rsidRPr="0008027A">
        <w:rPr>
          <w:b/>
          <w:bCs/>
        </w:rPr>
        <w:t>Control variable:</w:t>
      </w:r>
    </w:p>
    <w:p w14:paraId="6DA71CDE" w14:textId="4C953599" w:rsidR="0008027A" w:rsidRPr="0008027A" w:rsidRDefault="0008027A" w:rsidP="0008027A">
      <m:oMathPara>
        <m:oMath>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J</m:t>
                  </m:r>
                </m:e>
              </m:acc>
            </m:e>
            <m:sub>
              <m:r>
                <w:rPr>
                  <w:rFonts w:ascii="Cambria Math" w:hAnsi="Cambria Math"/>
                </w:rPr>
                <m:t>f</m:t>
              </m:r>
            </m:sub>
          </m:sSub>
          <m:r>
            <w:rPr>
              <w:rFonts w:ascii="Cambria Math" w:hAnsi="Cambria Math"/>
            </w:rPr>
            <m:t>,</m:t>
          </m:r>
          <m:r>
            <m:rPr>
              <m:sty m:val="p"/>
            </m:rPr>
            <w:rPr>
              <w:rFonts w:ascii="Cambria Math" w:hAnsi="Cambria Math"/>
            </w:rPr>
            <m:t> </m:t>
          </m:r>
          <m:sSub>
            <m:sSubPr>
              <m:ctrlPr>
                <w:rPr>
                  <w:rFonts w:ascii="Cambria Math" w:hAnsi="Cambria Math"/>
                </w:rPr>
              </m:ctrlPr>
            </m:sSubPr>
            <m:e>
              <m:acc>
                <m:accPr>
                  <m:chr m:val="ˉ"/>
                  <m:ctrlPr>
                    <w:rPr>
                      <w:rFonts w:ascii="Cambria Math" w:hAnsi="Cambria Math"/>
                    </w:rPr>
                  </m:ctrlPr>
                </m:accPr>
                <m:e>
                  <m:r>
                    <w:rPr>
                      <w:rFonts w:ascii="Cambria Math" w:hAnsi="Cambria Math"/>
                    </w:rPr>
                    <m:t>W</m:t>
                  </m:r>
                </m:e>
              </m:acc>
            </m:e>
            <m:sub>
              <m:r>
                <w:rPr>
                  <w:rFonts w:ascii="Cambria Math" w:hAnsi="Cambria Math"/>
                </w:rPr>
                <m:t>f</m:t>
              </m:r>
            </m:sub>
          </m:sSub>
          <m:r>
            <w:rPr>
              <w:rFonts w:ascii="Cambria Math" w:hAnsi="Cambria Math"/>
            </w:rPr>
            <m:t>]</m:t>
          </m:r>
          <m:r>
            <w:rPr>
              <w:i/>
            </w:rPr>
            <w:br/>
          </m:r>
        </m:oMath>
      </m:oMathPara>
    </w:p>
    <w:p w14:paraId="3F0B7340" w14:textId="77777777" w:rsidR="0008027A" w:rsidRPr="0008027A" w:rsidRDefault="0008027A" w:rsidP="0008027A">
      <w:r w:rsidRPr="0008027A">
        <w:t>net withdrawal (positive = net sell, negative = net inject). Also observed from GIE.</w:t>
      </w:r>
    </w:p>
    <w:p w14:paraId="355128CE" w14:textId="77777777" w:rsidR="0008027A" w:rsidRPr="0008027A" w:rsidRDefault="0008027A" w:rsidP="0008027A">
      <w:r w:rsidRPr="0008027A">
        <w:rPr>
          <w:b/>
          <w:bCs/>
        </w:rPr>
        <w:t>Transition:</w:t>
      </w:r>
    </w:p>
    <w:p w14:paraId="0597366A" w14:textId="153F8C4C" w:rsidR="0008027A" w:rsidRPr="0008027A" w:rsidRDefault="0008027A" w:rsidP="0008027A">
      <m:oMathPara>
        <m:oMath>
          <m:sSub>
            <m:sSubPr>
              <m:ctrlPr>
                <w:rPr>
                  <w:rFonts w:ascii="Cambria Math" w:hAnsi="Cambria Math"/>
                </w:rPr>
              </m:ctrlPr>
            </m:sSubPr>
            <m:e>
              <m:r>
                <w:rPr>
                  <w:rFonts w:ascii="Cambria Math" w:hAnsi="Cambria Math"/>
                </w:rPr>
                <m:t>s</m:t>
              </m:r>
            </m:e>
            <m:sub>
              <m:r>
                <w:rPr>
                  <w:rFonts w:ascii="Cambria Math" w:hAnsi="Cambria Math"/>
                </w:rPr>
                <m:t>f,t+1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w:br/>
          </m:r>
        </m:oMath>
      </m:oMathPara>
    </w:p>
    <w:p w14:paraId="150F303D" w14:textId="77777777" w:rsidR="0008027A" w:rsidRPr="0008027A" w:rsidRDefault="0008027A" w:rsidP="0008027A">
      <w:r w:rsidRPr="0008027A">
        <w:rPr>
          <w:b/>
          <w:bCs/>
        </w:rPr>
        <w:t>Price equation</w:t>
      </w:r>
      <w:r w:rsidRPr="0008027A">
        <w:t xml:space="preserve"> — this is where market power enters:</w:t>
      </w:r>
    </w:p>
    <w:p w14:paraId="02BA62B0" w14:textId="28C5735E" w:rsidR="0008027A" w:rsidRPr="0008027A" w:rsidRDefault="0008027A" w:rsidP="0008027A">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+β</m:t>
          </m:r>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a</m:t>
                  </m:r>
                </m:e>
                <m:sub>
                  <m:r>
                    <w:rPr>
                      <w:rFonts w:ascii="Cambria Math" w:hAnsi="Cambria Math"/>
                    </w:rPr>
                    <m:t>ft</m:t>
                  </m:r>
                </m:sub>
              </m:sSub>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br/>
          </m:r>
        </m:oMath>
      </m:oMathPara>
    </w:p>
    <w:p w14:paraId="4368BB33" w14:textId="730D09E5" w:rsidR="0008027A" w:rsidRPr="0008027A" w:rsidRDefault="0008027A" w:rsidP="0008027A">
      <w:r w:rsidRPr="0008027A">
        <w:t xml:space="preserve">where </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08027A">
        <w:t xml:space="preserve">is demand (temperature-driven) and </w:t>
      </w:r>
      <m:oMath>
        <m:nary>
          <m:naryPr>
            <m:chr m:val="∑"/>
            <m:limLoc m:val="subSup"/>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a</m:t>
                </m:r>
              </m:e>
              <m:sub>
                <m:r>
                  <w:rPr>
                    <w:rFonts w:ascii="Cambria Math" w:hAnsi="Cambria Math"/>
                  </w:rPr>
                  <m:t>ft</m:t>
                </m:r>
              </m:sub>
            </m:sSub>
          </m:e>
        </m:nary>
      </m:oMath>
      <w:r w:rsidRPr="0008027A">
        <w:t xml:space="preserve">is total net withdrawal across all facilities. The coefficient </w:t>
      </w:r>
      <m:oMath>
        <m:r>
          <w:rPr>
            <w:rFonts w:ascii="Cambria Math" w:hAnsi="Cambria Math"/>
          </w:rPr>
          <m:t>β</m:t>
        </m:r>
      </m:oMath>
      <w:r w:rsidRPr="0008027A">
        <w:t>captures price impact of aggregate storage behavior — this you estimate from the data using demand instruments.</w:t>
      </w:r>
    </w:p>
    <w:p w14:paraId="23E27563" w14:textId="2B958510" w:rsidR="0008027A" w:rsidRPr="0008027A" w:rsidRDefault="0008027A" w:rsidP="0008027A">
      <w:r w:rsidRPr="0008027A">
        <w:rPr>
          <w:b/>
          <w:bCs/>
        </w:rPr>
        <w:t xml:space="preserve">Dominant shipper's problem at facility </w:t>
      </w:r>
      <m:oMath>
        <m:r>
          <w:rPr>
            <w:rFonts w:ascii="Cambria Math" w:hAnsi="Cambria Math"/>
          </w:rPr>
          <m:t>f</m:t>
        </m:r>
      </m:oMath>
      <w:r w:rsidRPr="0008027A">
        <w:rPr>
          <w:b/>
          <w:bCs/>
        </w:rPr>
        <w:t>:</w:t>
      </w:r>
    </w:p>
    <w:p w14:paraId="41BE29FC" w14:textId="1236DE48" w:rsidR="0008027A" w:rsidRPr="0008027A" w:rsidRDefault="0008027A" w:rsidP="0008027A">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ft</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a</m:t>
                  </m:r>
                </m:e>
                <m:sub>
                  <m:r>
                    <w:rPr>
                      <w:rFonts w:ascii="Cambria Math" w:hAnsi="Cambria Math"/>
                    </w:rPr>
                    <m:t>ft</m:t>
                  </m:r>
                </m:sub>
              </m:sSub>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δ</m:t>
                  </m:r>
                </m:sub>
              </m:sSub>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f,t+1</m:t>
                  </m:r>
                </m:sub>
              </m:sSub>
              <m:r>
                <w:rPr>
                  <w:rFonts w:ascii="Cambria Math" w:hAnsi="Cambria Math"/>
                </w:rPr>
                <m:t>)]</m:t>
              </m:r>
            </m:e>
          </m:d>
          <m:r>
            <w:br/>
          </m:r>
        </m:oMath>
      </m:oMathPara>
    </w:p>
    <w:p w14:paraId="375D8C47" w14:textId="77777777" w:rsidR="0008027A" w:rsidRPr="0008027A" w:rsidRDefault="0008027A" w:rsidP="0008027A">
      <w:r w:rsidRPr="0008027A">
        <w:t xml:space="preserve">where </w:t>
      </w:r>
      <w:proofErr w:type="gramStart"/>
      <w:r w:rsidRPr="0008027A">
        <w:t>flow profit</w:t>
      </w:r>
      <w:proofErr w:type="gramEnd"/>
      <w:r w:rsidRPr="0008027A">
        <w:t xml:space="preserve"> is:</w:t>
      </w:r>
    </w:p>
    <w:p w14:paraId="1ADB5091" w14:textId="5605CF6F" w:rsidR="0008027A" w:rsidRPr="0008027A" w:rsidRDefault="0008027A" w:rsidP="0008027A">
      <m:oMathPara>
        <m:oMath>
          <m:sSub>
            <m:sSubPr>
              <m:ctrlPr>
                <w:rPr>
                  <w:rFonts w:ascii="Cambria Math" w:hAnsi="Cambria Math"/>
                </w:rPr>
              </m:ctrlPr>
            </m:sSubPr>
            <m:e>
              <m:r>
                <w:rPr>
                  <w:rFonts w:ascii="Cambria Math" w:hAnsi="Cambria Math"/>
                </w:rPr>
                <m:t>π</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f</m:t>
                  </m:r>
                </m:sub>
              </m:sSub>
            </m:num>
            <m:den>
              <m:r>
                <w:rPr>
                  <w:rFonts w:ascii="Cambria Math" w:hAnsi="Cambria Math"/>
                </w:rPr>
                <m:t>2</m:t>
              </m:r>
            </m:den>
          </m:f>
          <m:sSubSup>
            <m:sSubSupPr>
              <m:ctrlPr>
                <w:rPr>
                  <w:rFonts w:ascii="Cambria Math" w:hAnsi="Cambria Math"/>
                </w:rPr>
              </m:ctrlPr>
            </m:sSubSupPr>
            <m:e>
              <m:r>
                <w:rPr>
                  <w:rFonts w:ascii="Cambria Math" w:hAnsi="Cambria Math"/>
                </w:rPr>
                <m:t>a</m:t>
              </m:r>
            </m:e>
            <m:sub>
              <m:r>
                <w:rPr>
                  <w:rFonts w:ascii="Cambria Math" w:hAnsi="Cambria Math"/>
                </w:rPr>
                <m:t>ft</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m:rPr>
              <m:sty m:val="p"/>
            </m:rPr>
            <w:rPr>
              <w:rFonts w:ascii="Cambria Math" w:hAnsi="Cambria Math"/>
            </w:rPr>
            <m:t>≠</m:t>
          </m:r>
          <m:r>
            <w:rPr>
              <w:rFonts w:ascii="Cambria Math" w:hAnsi="Cambria Math"/>
            </w:rPr>
            <m:t>0]</m:t>
          </m:r>
          <m:r>
            <w:rPr>
              <w:i/>
            </w:rPr>
            <w:br/>
          </m:r>
        </m:oMath>
      </m:oMathPara>
    </w:p>
    <w:p w14:paraId="6AAE9D2B" w14:textId="2E6AC04E" w:rsidR="0008027A" w:rsidRPr="0008027A" w:rsidRDefault="0008027A" w:rsidP="0008027A">
      <w:r w:rsidRPr="0008027A">
        <w:t xml:space="preserve">The quadratic cost captures physical ramping costs. The fixed cost </w:t>
      </w:r>
      <m:oMath>
        <m:sSub>
          <m:sSubPr>
            <m:ctrlPr>
              <w:rPr>
                <w:rFonts w:ascii="Cambria Math" w:hAnsi="Cambria Math"/>
              </w:rPr>
            </m:ctrlPr>
          </m:sSubPr>
          <m:e>
            <m:r>
              <w:rPr>
                <w:rFonts w:ascii="Cambria Math" w:hAnsi="Cambria Math"/>
              </w:rPr>
              <m:t>κ</m:t>
            </m:r>
          </m:e>
          <m:sub>
            <m:r>
              <w:rPr>
                <w:rFonts w:ascii="Cambria Math" w:hAnsi="Cambria Math"/>
              </w:rPr>
              <m:t>f</m:t>
            </m:r>
          </m:sub>
        </m:sSub>
      </m:oMath>
      <w:r w:rsidRPr="0008027A">
        <w:t>captures the real-world friction of starting/stopping injection or withdrawal.</w:t>
      </w:r>
    </w:p>
    <w:p w14:paraId="47D07A4C" w14:textId="77777777" w:rsidR="0008027A" w:rsidRPr="0008027A" w:rsidRDefault="0008027A" w:rsidP="0008027A">
      <w:r w:rsidRPr="0008027A">
        <w:pict w14:anchorId="6EF2B04B">
          <v:rect id="_x0000_i1102" style="width:0;height:1.5pt" o:hralign="center" o:hrstd="t" o:hr="t" fillcolor="#a0a0a0" stroked="f"/>
        </w:pict>
      </w:r>
    </w:p>
    <w:p w14:paraId="23F0A33B" w14:textId="77777777" w:rsidR="0008027A" w:rsidRPr="0008027A" w:rsidRDefault="0008027A" w:rsidP="0008027A">
      <w:pPr>
        <w:rPr>
          <w:b/>
          <w:bCs/>
        </w:rPr>
      </w:pPr>
      <w:r w:rsidRPr="0008027A">
        <w:rPr>
          <w:b/>
          <w:bCs/>
        </w:rPr>
        <w:t>The Conduct Parameter — How It Enters</w:t>
      </w:r>
    </w:p>
    <w:p w14:paraId="61B2DE4E" w14:textId="199A2B8E" w:rsidR="0008027A" w:rsidRPr="0008027A" w:rsidRDefault="0008027A" w:rsidP="0008027A">
      <w:r w:rsidRPr="0008027A">
        <w:t xml:space="preserve">The competitive first-order condition for facility </w:t>
      </w:r>
      <m:oMath>
        <m:r>
          <w:rPr>
            <w:rFonts w:ascii="Cambria Math" w:hAnsi="Cambria Math"/>
          </w:rPr>
          <m:t>f</m:t>
        </m:r>
      </m:oMath>
      <w:r w:rsidRPr="0008027A">
        <w:t>is:</w:t>
      </w:r>
    </w:p>
    <w:p w14:paraId="2607484E" w14:textId="29C6C5BD" w:rsidR="0008027A" w:rsidRPr="0008027A" w:rsidRDefault="0008027A" w:rsidP="0008027A">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w:br/>
          </m:r>
        </m:oMath>
      </m:oMathPara>
    </w:p>
    <w:p w14:paraId="006D9661" w14:textId="77777777" w:rsidR="0008027A" w:rsidRPr="0008027A" w:rsidRDefault="0008027A" w:rsidP="0008027A">
      <w:r w:rsidRPr="0008027A">
        <w:t>Price equals marginal cost of withdrawal — pure arbitrage.</w:t>
      </w:r>
    </w:p>
    <w:p w14:paraId="072ECA01" w14:textId="77777777" w:rsidR="0008027A" w:rsidRPr="0008027A" w:rsidRDefault="0008027A" w:rsidP="0008027A">
      <w:r w:rsidRPr="0008027A">
        <w:t>With market power, the dominant shipper internalizes that its own net withdrawal affects price:</w:t>
      </w:r>
    </w:p>
    <w:p w14:paraId="290835C6" w14:textId="2DC19DEB" w:rsidR="0008027A" w:rsidRPr="0008027A" w:rsidRDefault="0008027A" w:rsidP="0008027A">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w:br/>
          </m:r>
        </m:oMath>
      </m:oMathPara>
    </w:p>
    <w:p w14:paraId="3B03AEC1" w14:textId="4B0D1B1D" w:rsidR="0008027A" w:rsidRPr="0008027A" w:rsidRDefault="0008027A" w:rsidP="0008027A">
      <w:r w:rsidRPr="0008027A">
        <w:t xml:space="preserve">where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a</m:t>
                </m:r>
              </m:e>
              <m:sub>
                <m:r>
                  <w:rPr>
                    <w:rFonts w:ascii="Cambria Math" w:hAnsi="Cambria Math"/>
                  </w:rPr>
                  <m:t>ft</m:t>
                </m:r>
              </m:sub>
            </m:sSub>
          </m:e>
        </m:nary>
      </m:oMath>
      <w:r w:rsidRPr="0008027A">
        <w:t xml:space="preserve">is total net withdrawal and </w:t>
      </w:r>
      <m:oMath>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∈[0,1]</m:t>
        </m:r>
      </m:oMath>
      <w:r w:rsidRPr="0008027A">
        <w:t>is the conduct parameter.</w:t>
      </w:r>
    </w:p>
    <w:p w14:paraId="1753FEB1" w14:textId="77777777" w:rsidR="0008027A" w:rsidRPr="0008027A" w:rsidRDefault="0008027A" w:rsidP="0008027A">
      <w:r w:rsidRPr="0008027A">
        <w:t>Substituting the price equation:</w:t>
      </w:r>
    </w:p>
    <w:p w14:paraId="0C5E7C8F" w14:textId="3D3E0118" w:rsidR="0008027A" w:rsidRPr="0008027A" w:rsidRDefault="0008027A" w:rsidP="0008027A">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w:br/>
          </m:r>
        </m:oMath>
      </m:oMathPara>
    </w:p>
    <w:p w14:paraId="1FDD2C87" w14:textId="77777777" w:rsidR="0008027A" w:rsidRPr="0008027A" w:rsidRDefault="0008027A" w:rsidP="0008027A">
      <w:r w:rsidRPr="0008027A">
        <w:t>Rearranging:</w:t>
      </w:r>
    </w:p>
    <w:p w14:paraId="030201D3" w14:textId="34A9E0FD" w:rsidR="0008027A" w:rsidRPr="0008027A" w:rsidRDefault="0008027A" w:rsidP="0008027A">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w:br/>
          </m:r>
        </m:oMath>
      </m:oMathPara>
    </w:p>
    <w:p w14:paraId="7F0CB9C4" w14:textId="137B3D23" w:rsidR="0008027A" w:rsidRPr="0008027A" w:rsidRDefault="0008027A" w:rsidP="0008027A">
      <w:r w:rsidRPr="0008027A">
        <w:t xml:space="preserve">This is your </w:t>
      </w:r>
      <w:r w:rsidRPr="0008027A">
        <w:rPr>
          <w:b/>
          <w:bCs/>
        </w:rPr>
        <w:t>estimating equation.</w:t>
      </w:r>
      <w:r w:rsidRPr="0008027A">
        <w:t xml:space="preserve"> It looks like a simple linear regression of price on net withdrawal — but the coefficient on </w:t>
      </w:r>
      <m:oMath>
        <m:sSub>
          <m:sSubPr>
            <m:ctrlPr>
              <w:rPr>
                <w:rFonts w:ascii="Cambria Math" w:hAnsi="Cambria Math"/>
              </w:rPr>
            </m:ctrlPr>
          </m:sSubPr>
          <m:e>
            <m:r>
              <w:rPr>
                <w:rFonts w:ascii="Cambria Math" w:hAnsi="Cambria Math"/>
              </w:rPr>
              <m:t>a</m:t>
            </m:r>
          </m:e>
          <m:sub>
            <m:r>
              <w:rPr>
                <w:rFonts w:ascii="Cambria Math" w:hAnsi="Cambria Math"/>
              </w:rPr>
              <m:t>ft</m:t>
            </m:r>
          </m:sub>
        </m:sSub>
      </m:oMath>
      <w:r w:rsidRPr="0008027A">
        <w:t>jointly identifies marginal cost and conduct.</w:t>
      </w:r>
    </w:p>
    <w:p w14:paraId="263F844D" w14:textId="77777777" w:rsidR="0008027A" w:rsidRPr="0008027A" w:rsidRDefault="0008027A" w:rsidP="0008027A">
      <w:r w:rsidRPr="0008027A">
        <w:pict w14:anchorId="6F6210E6">
          <v:rect id="_x0000_i1103" style="width:0;height:1.5pt" o:hralign="center" o:hrstd="t" o:hr="t" fillcolor="#a0a0a0" stroked="f"/>
        </w:pict>
      </w:r>
    </w:p>
    <w:p w14:paraId="6DC33E55" w14:textId="5D1C8A7C" w:rsidR="0008027A" w:rsidRPr="0008027A" w:rsidRDefault="0008027A" w:rsidP="0008027A">
      <w:pPr>
        <w:rPr>
          <w:b/>
          <w:bCs/>
        </w:rPr>
      </w:pPr>
      <w:r w:rsidRPr="0008027A">
        <w:rPr>
          <w:b/>
          <w:bCs/>
        </w:rPr>
        <w:t xml:space="preserve">Identification of </w:t>
      </w:r>
      <m:oMath>
        <m:sSub>
          <m:sSubPr>
            <m:ctrlPr>
              <w:rPr>
                <w:rFonts w:ascii="Cambria Math" w:hAnsi="Cambria Math"/>
                <w:b/>
                <w:bCs/>
              </w:rPr>
            </m:ctrlPr>
          </m:sSubPr>
          <m:e>
            <m:r>
              <m:rPr>
                <m:sty m:val="bi"/>
              </m:rPr>
              <w:rPr>
                <w:rFonts w:ascii="Cambria Math" w:hAnsi="Cambria Math"/>
              </w:rPr>
              <m:t>θ</m:t>
            </m:r>
          </m:e>
          <m:sub>
            <m:r>
              <m:rPr>
                <m:sty m:val="bi"/>
              </m:rPr>
              <w:rPr>
                <w:rFonts w:ascii="Cambria Math" w:hAnsi="Cambria Math"/>
              </w:rPr>
              <m:t>f</m:t>
            </m:r>
          </m:sub>
        </m:sSub>
      </m:oMath>
    </w:p>
    <w:p w14:paraId="763B4434" w14:textId="0F3CA81E" w:rsidR="0008027A" w:rsidRPr="0008027A" w:rsidRDefault="0008027A" w:rsidP="0008027A">
      <w:r w:rsidRPr="0008027A">
        <w:t xml:space="preserve">You have two unknowns per facility: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08027A">
        <w:t xml:space="preserve">and </w:t>
      </w:r>
      <m:oMath>
        <m:sSub>
          <m:sSubPr>
            <m:ctrlPr>
              <w:rPr>
                <w:rFonts w:ascii="Cambria Math" w:hAnsi="Cambria Math"/>
              </w:rPr>
            </m:ctrlPr>
          </m:sSubPr>
          <m:e>
            <m:r>
              <w:rPr>
                <w:rFonts w:ascii="Cambria Math" w:hAnsi="Cambria Math"/>
              </w:rPr>
              <m:t>θ</m:t>
            </m:r>
          </m:e>
          <m:sub>
            <m:r>
              <w:rPr>
                <w:rFonts w:ascii="Cambria Math" w:hAnsi="Cambria Math"/>
              </w:rPr>
              <m:t>f</m:t>
            </m:r>
          </m:sub>
        </m:sSub>
      </m:oMath>
      <w:r w:rsidRPr="0008027A">
        <w:t>. You need two sources of variation.</w:t>
      </w:r>
    </w:p>
    <w:p w14:paraId="5AB46C82" w14:textId="1628F2A2" w:rsidR="0008027A" w:rsidRPr="0008027A" w:rsidRDefault="0008027A" w:rsidP="0008027A">
      <w:pPr>
        <w:rPr>
          <w:b/>
          <w:bCs/>
        </w:rPr>
      </w:pPr>
      <w:r w:rsidRPr="0008027A">
        <w:rPr>
          <w:b/>
          <w:bCs/>
        </w:rPr>
        <w:t xml:space="preserve">Source 1 — Demand Instruments (Identify </w:t>
      </w:r>
      <m:oMath>
        <m:r>
          <m:rPr>
            <m:sty m:val="bi"/>
          </m:rPr>
          <w:rPr>
            <w:rFonts w:ascii="Cambria Math" w:hAnsi="Cambria Math"/>
          </w:rPr>
          <m:t>β</m:t>
        </m:r>
      </m:oMath>
      <w:r w:rsidRPr="0008027A">
        <w:rPr>
          <w:b/>
          <w:bCs/>
        </w:rPr>
        <w:t>)</w:t>
      </w:r>
    </w:p>
    <w:p w14:paraId="56B3AD8A" w14:textId="43389D70" w:rsidR="0008027A" w:rsidRPr="0008027A" w:rsidRDefault="0008027A" w:rsidP="0008027A">
      <w:r w:rsidRPr="0008027A">
        <w:t xml:space="preserve">First, estimate the price impact coefficient </w:t>
      </w:r>
      <m:oMath>
        <m:r>
          <w:rPr>
            <w:rFonts w:ascii="Cambria Math" w:hAnsi="Cambria Math"/>
          </w:rPr>
          <m:t>β</m:t>
        </m:r>
      </m:oMath>
      <w:r w:rsidRPr="0008027A">
        <w:t xml:space="preserve">from the market price equation using demand-side instruments that shift </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08027A">
        <w:t>without affecting storage costs:</w:t>
      </w:r>
    </w:p>
    <w:p w14:paraId="461559B4" w14:textId="77777777" w:rsidR="0008027A" w:rsidRPr="0008027A" w:rsidRDefault="0008027A" w:rsidP="0008027A">
      <w:pPr>
        <w:numPr>
          <w:ilvl w:val="0"/>
          <w:numId w:val="7"/>
        </w:numPr>
      </w:pPr>
      <w:r w:rsidRPr="0008027A">
        <w:t>Daily temperature deviations from seasonal norm</w:t>
      </w:r>
    </w:p>
    <w:p w14:paraId="3C1F2EAD" w14:textId="77777777" w:rsidR="0008027A" w:rsidRPr="0008027A" w:rsidRDefault="0008027A" w:rsidP="0008027A">
      <w:pPr>
        <w:numPr>
          <w:ilvl w:val="0"/>
          <w:numId w:val="7"/>
        </w:numPr>
      </w:pPr>
      <w:r w:rsidRPr="0008027A">
        <w:t>Renewable generation shocks (wind/solar)</w:t>
      </w:r>
    </w:p>
    <w:p w14:paraId="134E65FD" w14:textId="77777777" w:rsidR="0008027A" w:rsidRPr="0008027A" w:rsidRDefault="0008027A" w:rsidP="0008027A">
      <w:pPr>
        <w:numPr>
          <w:ilvl w:val="0"/>
          <w:numId w:val="7"/>
        </w:numPr>
      </w:pPr>
      <w:r w:rsidRPr="0008027A">
        <w:t>LNG cargo arrivals (GIE ALSI send-out data)</w:t>
      </w:r>
    </w:p>
    <w:p w14:paraId="41AB44CC" w14:textId="13249682" w:rsidR="0008027A" w:rsidRPr="0008027A" w:rsidRDefault="0008027A" w:rsidP="0008027A">
      <w:r w:rsidRPr="0008027A">
        <w:t xml:space="preserve">This gives you </w:t>
      </w:r>
      <m:oMath>
        <m:acc>
          <m:accPr>
            <m:ctrlPr>
              <w:rPr>
                <w:rFonts w:ascii="Cambria Math" w:hAnsi="Cambria Math"/>
              </w:rPr>
            </m:ctrlPr>
          </m:accPr>
          <m:e>
            <m:r>
              <w:rPr>
                <w:rFonts w:ascii="Cambria Math" w:hAnsi="Cambria Math"/>
              </w:rPr>
              <m:t>β</m:t>
            </m:r>
          </m:e>
        </m:acc>
      </m:oMath>
      <w:r w:rsidRPr="0008027A">
        <w:t>— the price sensitivity to aggregate net withdrawal.</w:t>
      </w:r>
    </w:p>
    <w:p w14:paraId="627B0E30" w14:textId="032121CB" w:rsidR="0008027A" w:rsidRPr="0008027A" w:rsidRDefault="0008027A" w:rsidP="0008027A">
      <w:pPr>
        <w:rPr>
          <w:b/>
          <w:bCs/>
        </w:rPr>
      </w:pPr>
      <w:r w:rsidRPr="0008027A">
        <w:rPr>
          <w:b/>
          <w:bCs/>
        </w:rPr>
        <w:t xml:space="preserve">Source 2 — Cost Shifters (Identify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f</m:t>
            </m:r>
          </m:sub>
        </m:sSub>
      </m:oMath>
      <w:r w:rsidRPr="0008027A">
        <w:rPr>
          <w:b/>
          <w:bCs/>
        </w:rPr>
        <w:t>)</w:t>
      </w:r>
    </w:p>
    <w:p w14:paraId="25DC3D9A" w14:textId="77777777" w:rsidR="0008027A" w:rsidRPr="0008027A" w:rsidRDefault="0008027A" w:rsidP="0008027A">
      <w:r w:rsidRPr="0008027A">
        <w:t xml:space="preserve">You need something that shifts the marginal cost of injection/withdrawal across facilities or </w:t>
      </w:r>
      <w:proofErr w:type="gramStart"/>
      <w:r w:rsidRPr="0008027A">
        <w:t>over time</w:t>
      </w:r>
      <w:proofErr w:type="gramEnd"/>
      <w:r w:rsidRPr="0008027A">
        <w:t>:</w:t>
      </w:r>
    </w:p>
    <w:p w14:paraId="0D340195" w14:textId="77777777" w:rsidR="0008027A" w:rsidRPr="0008027A" w:rsidRDefault="0008027A" w:rsidP="0008027A">
      <w:pPr>
        <w:numPr>
          <w:ilvl w:val="0"/>
          <w:numId w:val="8"/>
        </w:numPr>
      </w:pPr>
      <w:r w:rsidRPr="0008027A">
        <w:rPr>
          <w:b/>
          <w:bCs/>
        </w:rPr>
        <w:t>Physical capacity utilization</w:t>
      </w:r>
      <w:r w:rsidRPr="0008027A">
        <w:t xml:space="preserve"> — when a facility is near full capacity, injection becomes physically costlier (compression costs rise). This is observable from GIE fill rates.</w:t>
      </w:r>
    </w:p>
    <w:p w14:paraId="1F2D734B" w14:textId="77777777" w:rsidR="0008027A" w:rsidRPr="0008027A" w:rsidRDefault="0008027A" w:rsidP="0008027A">
      <w:pPr>
        <w:numPr>
          <w:ilvl w:val="0"/>
          <w:numId w:val="8"/>
        </w:numPr>
      </w:pPr>
      <w:r w:rsidRPr="0008027A">
        <w:rPr>
          <w:b/>
          <w:bCs/>
        </w:rPr>
        <w:t>Facility type</w:t>
      </w:r>
      <w:r w:rsidRPr="0008027A">
        <w:t xml:space="preserve"> — salt caverns have different cost structures than depleted fields. This is observable from GIE metadata.</w:t>
      </w:r>
    </w:p>
    <w:p w14:paraId="2DACC6A2" w14:textId="77777777" w:rsidR="0008027A" w:rsidRPr="0008027A" w:rsidRDefault="0008027A" w:rsidP="0008027A">
      <w:pPr>
        <w:numPr>
          <w:ilvl w:val="0"/>
          <w:numId w:val="8"/>
        </w:numPr>
      </w:pPr>
      <w:r w:rsidRPr="0008027A">
        <w:rPr>
          <w:b/>
          <w:bCs/>
        </w:rPr>
        <w:t>Seasonal maintenance periods</w:t>
      </w:r>
      <w:r w:rsidRPr="0008027A">
        <w:t xml:space="preserve"> — facilities sometimes partially close for maintenance, raising effective marginal costs. Some of this is in ENTSOG outage data.</w:t>
      </w:r>
    </w:p>
    <w:p w14:paraId="584D0C24" w14:textId="77777777" w:rsidR="0008027A" w:rsidRPr="0008027A" w:rsidRDefault="0008027A" w:rsidP="0008027A">
      <w:pPr>
        <w:rPr>
          <w:b/>
          <w:bCs/>
        </w:rPr>
      </w:pPr>
      <w:r w:rsidRPr="0008027A">
        <w:rPr>
          <w:b/>
          <w:bCs/>
        </w:rPr>
        <w:t>Source 3 — The Mandate as a Conduct Shifter</w:t>
      </w:r>
    </w:p>
    <w:p w14:paraId="1ED7B25F" w14:textId="77777777" w:rsidR="0008027A" w:rsidRPr="0008027A" w:rsidRDefault="0008027A" w:rsidP="0008027A">
      <w:r w:rsidRPr="0008027A">
        <w:lastRenderedPageBreak/>
        <w:t>This is your most elegant identification device.</w:t>
      </w:r>
    </w:p>
    <w:p w14:paraId="53E2B290" w14:textId="77777777" w:rsidR="0008027A" w:rsidRPr="0008027A" w:rsidRDefault="0008027A" w:rsidP="0008027A">
      <w:r w:rsidRPr="0008027A">
        <w:t xml:space="preserve">The mandate forces facilities below the target to inject regardless of price signals — it </w:t>
      </w:r>
      <w:r w:rsidRPr="0008027A">
        <w:rPr>
          <w:b/>
          <w:bCs/>
        </w:rPr>
        <w:t>eliminates strategic behavior</w:t>
      </w:r>
      <w:r w:rsidRPr="0008027A">
        <w:t xml:space="preserve"> for constrained facilities during the binding period. This means:</w:t>
      </w:r>
    </w:p>
    <w:p w14:paraId="3AE9262A" w14:textId="392C6BF1" w:rsidR="0008027A" w:rsidRPr="0008027A" w:rsidRDefault="0008027A" w:rsidP="0008027A">
      <m:oMathPara>
        <m:oMath>
          <m:sSubSup>
            <m:sSubSupPr>
              <m:ctrlPr>
                <w:rPr>
                  <w:rFonts w:ascii="Cambria Math" w:hAnsi="Cambria Math"/>
                </w:rPr>
              </m:ctrlPr>
            </m:sSubSupPr>
            <m:e>
              <m:r>
                <w:rPr>
                  <w:rFonts w:ascii="Cambria Math" w:hAnsi="Cambria Math"/>
                </w:rPr>
                <m:t>θ</m:t>
              </m:r>
            </m:e>
            <m:sub>
              <m:r>
                <w:rPr>
                  <w:rFonts w:ascii="Cambria Math" w:hAnsi="Cambria Math"/>
                </w:rPr>
                <m:t>f</m:t>
              </m:r>
            </m:sub>
            <m:sup>
              <m:r>
                <m:rPr>
                  <m:nor/>
                </m:rPr>
                <m:t>constrained</m:t>
              </m:r>
            </m:sup>
          </m:sSubSup>
          <m:r>
            <w:rPr>
              <w:rFonts w:ascii="Cambria Math" w:hAnsi="Cambria Math"/>
            </w:rPr>
            <m:t>=0</m:t>
          </m:r>
          <m:r>
            <m:rPr>
              <m:nor/>
            </m:rPr>
            <m:t>by regulatory force</m:t>
          </m:r>
          <m:r>
            <w:br/>
          </m:r>
        </m:oMath>
      </m:oMathPara>
    </w:p>
    <w:p w14:paraId="1D69E9A9" w14:textId="7D9F8960" w:rsidR="0008027A" w:rsidRPr="0008027A" w:rsidRDefault="0008027A" w:rsidP="0008027A">
      <w:r w:rsidRPr="0008027A">
        <w:t xml:space="preserve">You can use the mandate-constrained periods as your </w:t>
      </w:r>
      <w:r w:rsidRPr="0008027A">
        <w:rPr>
          <w:b/>
          <w:bCs/>
        </w:rPr>
        <w:t>competitive benchmark observations</w:t>
      </w:r>
      <w:r w:rsidRPr="0008027A">
        <w:t xml:space="preserve"> — these are moments when you observe truly competitive behavior from the same facilities. The difference between conduct during constrained and unconstrained periods identifies </w:t>
      </w:r>
      <m:oMath>
        <m:sSub>
          <m:sSubPr>
            <m:ctrlPr>
              <w:rPr>
                <w:rFonts w:ascii="Cambria Math" w:hAnsi="Cambria Math"/>
              </w:rPr>
            </m:ctrlPr>
          </m:sSubPr>
          <m:e>
            <m:r>
              <w:rPr>
                <w:rFonts w:ascii="Cambria Math" w:hAnsi="Cambria Math"/>
              </w:rPr>
              <m:t>θ</m:t>
            </m:r>
          </m:e>
          <m:sub>
            <m:r>
              <w:rPr>
                <w:rFonts w:ascii="Cambria Math" w:hAnsi="Cambria Math"/>
              </w:rPr>
              <m:t>f</m:t>
            </m:r>
          </m:sub>
        </m:sSub>
      </m:oMath>
      <w:r w:rsidRPr="0008027A">
        <w:t>.</w:t>
      </w:r>
    </w:p>
    <w:p w14:paraId="0335A80E" w14:textId="77777777" w:rsidR="0008027A" w:rsidRPr="0008027A" w:rsidRDefault="0008027A" w:rsidP="0008027A">
      <w:r w:rsidRPr="0008027A">
        <w:t>Formally, estimate:</w:t>
      </w:r>
    </w:p>
    <w:p w14:paraId="3C7CC248" w14:textId="4E99C362" w:rsidR="0008027A" w:rsidRPr="0008027A" w:rsidRDefault="0008027A" w:rsidP="0008027A">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m:rPr>
                  <m:nor/>
                </m:rPr>
                <m:t>unconstrained</m:t>
              </m:r>
            </m:e>
            <m:sub>
              <m:r>
                <w:rPr>
                  <w:rFonts w:ascii="Cambria Math" w:hAnsi="Cambria Math"/>
                </w:rPr>
                <m:t>ft</m:t>
              </m:r>
            </m:sub>
          </m:sSub>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ft</m:t>
              </m:r>
            </m:sub>
          </m:sSub>
          <m:r>
            <w:br/>
          </m:r>
        </m:oMath>
      </m:oMathPara>
    </w:p>
    <w:p w14:paraId="1936098B" w14:textId="59113F37" w:rsidR="0008027A" w:rsidRPr="0008027A" w:rsidRDefault="0008027A" w:rsidP="0008027A">
      <w:r w:rsidRPr="0008027A">
        <w:t xml:space="preserve">The interaction </w:t>
      </w:r>
      <m:oMath>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r>
          <m:rPr>
            <m:sty m:val="b"/>
          </m:rPr>
          <w:rPr>
            <w:rFonts w:ascii="Cambria Math" w:hAnsi="Cambria Math"/>
          </w:rPr>
          <m:t>1</m:t>
        </m:r>
        <m:r>
          <w:rPr>
            <w:rFonts w:ascii="Cambria Math" w:hAnsi="Cambria Math"/>
          </w:rPr>
          <m:t>[</m:t>
        </m:r>
        <m:r>
          <m:rPr>
            <m:nor/>
          </m:rPr>
          <m:t>unconstrained</m:t>
        </m:r>
        <m:r>
          <w:rPr>
            <w:rFonts w:ascii="Cambria Math" w:hAnsi="Cambria Math"/>
          </w:rPr>
          <m:t>]</m:t>
        </m:r>
      </m:oMath>
      <w:r w:rsidRPr="0008027A">
        <w:t>is your conduct parameter, identified off the within-facility difference between mandate-constrained and unconstrained periods.</w:t>
      </w:r>
    </w:p>
    <w:p w14:paraId="4918EB9E" w14:textId="77777777" w:rsidR="0008027A" w:rsidRPr="0008027A" w:rsidRDefault="0008027A" w:rsidP="0008027A">
      <w:r w:rsidRPr="0008027A">
        <w:rPr>
          <w:b/>
          <w:bCs/>
        </w:rPr>
        <w:t>This is clean because:</w:t>
      </w:r>
    </w:p>
    <w:p w14:paraId="5C13E93C" w14:textId="77777777" w:rsidR="0008027A" w:rsidRPr="0008027A" w:rsidRDefault="0008027A" w:rsidP="0008027A">
      <w:pPr>
        <w:numPr>
          <w:ilvl w:val="0"/>
          <w:numId w:val="9"/>
        </w:numPr>
      </w:pPr>
      <w:r w:rsidRPr="0008027A">
        <w:t>Same facility, same cost structure</w:t>
      </w:r>
    </w:p>
    <w:p w14:paraId="02E77EAA" w14:textId="77777777" w:rsidR="0008027A" w:rsidRPr="0008027A" w:rsidRDefault="0008027A" w:rsidP="0008027A">
      <w:pPr>
        <w:numPr>
          <w:ilvl w:val="0"/>
          <w:numId w:val="9"/>
        </w:numPr>
      </w:pPr>
      <w:r w:rsidRPr="0008027A">
        <w:t>Same market conditions</w:t>
      </w:r>
    </w:p>
    <w:p w14:paraId="05F2E766" w14:textId="77777777" w:rsidR="0008027A" w:rsidRPr="0008027A" w:rsidRDefault="0008027A" w:rsidP="0008027A">
      <w:pPr>
        <w:numPr>
          <w:ilvl w:val="0"/>
          <w:numId w:val="9"/>
        </w:numPr>
      </w:pPr>
      <w:r w:rsidRPr="0008027A">
        <w:t>Only difference is whether regulatory constraint is binding</w:t>
      </w:r>
    </w:p>
    <w:p w14:paraId="52A3EAE7" w14:textId="77777777" w:rsidR="0008027A" w:rsidRPr="0008027A" w:rsidRDefault="0008027A" w:rsidP="0008027A">
      <w:pPr>
        <w:numPr>
          <w:ilvl w:val="0"/>
          <w:numId w:val="9"/>
        </w:numPr>
      </w:pPr>
      <w:r w:rsidRPr="0008027A">
        <w:t>Any behavioral difference is attributable to strategic conduct</w:t>
      </w:r>
    </w:p>
    <w:p w14:paraId="75778F40" w14:textId="77777777" w:rsidR="0008027A" w:rsidRPr="0008027A" w:rsidRDefault="0008027A" w:rsidP="0008027A">
      <w:r w:rsidRPr="0008027A">
        <w:pict w14:anchorId="202F37E0">
          <v:rect id="_x0000_i1104" style="width:0;height:1.5pt" o:hralign="center" o:hrstd="t" o:hr="t" fillcolor="#a0a0a0" stroked="f"/>
        </w:pict>
      </w:r>
    </w:p>
    <w:p w14:paraId="06BF7806" w14:textId="77777777" w:rsidR="0008027A" w:rsidRPr="0008027A" w:rsidRDefault="0008027A" w:rsidP="0008027A">
      <w:pPr>
        <w:rPr>
          <w:b/>
          <w:bCs/>
        </w:rPr>
      </w:pPr>
      <w:r w:rsidRPr="0008027A">
        <w:rPr>
          <w:b/>
          <w:bCs/>
        </w:rPr>
        <w:t>The Dynamic Part — Handling the Stopping Problem</w:t>
      </w:r>
    </w:p>
    <w:p w14:paraId="7A6C35B3" w14:textId="77777777" w:rsidR="0008027A" w:rsidRPr="0008027A" w:rsidRDefault="0008027A" w:rsidP="0008027A">
      <w:r w:rsidRPr="0008027A">
        <w:t xml:space="preserve">The full dynamic model is </w:t>
      </w:r>
      <w:proofErr w:type="spellStart"/>
      <w:proofErr w:type="gramStart"/>
      <w:r w:rsidRPr="0008027A">
        <w:t>a</w:t>
      </w:r>
      <w:proofErr w:type="spellEnd"/>
      <w:proofErr w:type="gramEnd"/>
      <w:r w:rsidRPr="0008027A">
        <w:t xml:space="preserve"> optimal stopping problem — the shipper decides each period whether to withdraw now or wait for higher prices. This is hard to estimate directly. But you have two tractable approaches:</w:t>
      </w:r>
    </w:p>
    <w:p w14:paraId="245504B9" w14:textId="77777777" w:rsidR="0008027A" w:rsidRPr="0008027A" w:rsidRDefault="0008027A" w:rsidP="0008027A">
      <w:pPr>
        <w:rPr>
          <w:b/>
          <w:bCs/>
        </w:rPr>
      </w:pPr>
      <w:r w:rsidRPr="0008027A">
        <w:rPr>
          <w:b/>
          <w:bCs/>
        </w:rPr>
        <w:t>Approach A — Euler Equation Estimation</w:t>
      </w:r>
    </w:p>
    <w:p w14:paraId="6CA2E7E0" w14:textId="77777777" w:rsidR="0008027A" w:rsidRPr="0008027A" w:rsidRDefault="0008027A" w:rsidP="0008027A">
      <w:r w:rsidRPr="0008027A">
        <w:t xml:space="preserve">Instead of solving the full dynamic program, use the </w:t>
      </w:r>
      <w:r w:rsidRPr="0008027A">
        <w:rPr>
          <w:b/>
          <w:bCs/>
        </w:rPr>
        <w:t>optimality condition between adjacent periods:</w:t>
      </w:r>
    </w:p>
    <w:p w14:paraId="40A65ED5" w14:textId="77777777" w:rsidR="0008027A" w:rsidRPr="0008027A" w:rsidRDefault="0008027A" w:rsidP="0008027A">
      <w:r w:rsidRPr="0008027A">
        <w:t>If the shipper is optimizing dynamically, the marginal value of withdrawing today must equal the discounted expected marginal value of withdrawing tomorrow:</w:t>
      </w:r>
    </w:p>
    <w:p w14:paraId="4990DEEE" w14:textId="71FF28A9" w:rsidR="0008027A" w:rsidRPr="0008027A" w:rsidRDefault="0008027A" w:rsidP="0008027A">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δ</m:t>
              </m:r>
            </m:sub>
          </m:sSub>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f,t+1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a</m:t>
              </m:r>
            </m:e>
            <m:sub>
              <m:r>
                <w:rPr>
                  <w:rFonts w:ascii="Cambria Math" w:hAnsi="Cambria Math"/>
                </w:rPr>
                <m:t>f,t+1</m:t>
              </m:r>
            </m:sub>
          </m:sSub>
          <m:r>
            <w:rPr>
              <w:rFonts w:ascii="Cambria Math" w:hAnsi="Cambria Math"/>
            </w:rPr>
            <m:t>]</m:t>
          </m:r>
          <m:r>
            <w:rPr>
              <w:i/>
            </w:rPr>
            <w:br/>
          </m:r>
        </m:oMath>
      </m:oMathPara>
    </w:p>
    <w:p w14:paraId="55C52A39" w14:textId="57F749E3" w:rsidR="0008027A" w:rsidRPr="0008027A" w:rsidRDefault="0008027A" w:rsidP="0008027A">
      <w:r w:rsidRPr="0008027A">
        <w:t xml:space="preserve">This Euler equation can be estimated directly using GMM — you don't need to solve the full model. Instruments are anything in the information set at time </w:t>
      </w:r>
      <m:oMath>
        <m:r>
          <w:rPr>
            <w:rFonts w:ascii="Cambria Math" w:hAnsi="Cambria Math"/>
          </w:rPr>
          <m:t>t</m:t>
        </m:r>
      </m:oMath>
      <w:r w:rsidRPr="0008027A">
        <w:t xml:space="preserve">that predicts </w:t>
      </w:r>
      <m:oMath>
        <m:r>
          <w:rPr>
            <w:rFonts w:ascii="Cambria Math" w:hAnsi="Cambria Math"/>
          </w:rPr>
          <m:t>t+1</m:t>
        </m:r>
      </m:oMath>
      <w:r w:rsidRPr="0008027A">
        <w:t>outcomes: lagged prices, lagged inventory, temperature forecasts.</w:t>
      </w:r>
    </w:p>
    <w:p w14:paraId="07F1BDC7" w14:textId="77777777" w:rsidR="0008027A" w:rsidRPr="0008027A" w:rsidRDefault="0008027A" w:rsidP="0008027A">
      <w:r w:rsidRPr="0008027A">
        <w:t>This approach is:</w:t>
      </w:r>
    </w:p>
    <w:p w14:paraId="600A3270" w14:textId="77777777" w:rsidR="0008027A" w:rsidRPr="0008027A" w:rsidRDefault="0008027A" w:rsidP="0008027A">
      <w:pPr>
        <w:numPr>
          <w:ilvl w:val="0"/>
          <w:numId w:val="10"/>
        </w:numPr>
      </w:pPr>
      <w:r w:rsidRPr="0008027A">
        <w:t>Computationally simple</w:t>
      </w:r>
    </w:p>
    <w:p w14:paraId="023DE6E8" w14:textId="77777777" w:rsidR="0008027A" w:rsidRPr="0008027A" w:rsidRDefault="0008027A" w:rsidP="0008027A">
      <w:pPr>
        <w:numPr>
          <w:ilvl w:val="0"/>
          <w:numId w:val="10"/>
        </w:numPr>
      </w:pPr>
      <w:r w:rsidRPr="0008027A">
        <w:t>Robust to misspecification of the discount factor</w:t>
      </w:r>
    </w:p>
    <w:p w14:paraId="1BCFFB32" w14:textId="77777777" w:rsidR="0008027A" w:rsidRPr="0008027A" w:rsidRDefault="0008027A" w:rsidP="0008027A">
      <w:pPr>
        <w:numPr>
          <w:ilvl w:val="0"/>
          <w:numId w:val="10"/>
        </w:numPr>
      </w:pPr>
      <w:r w:rsidRPr="0008027A">
        <w:t>Well-understood by referees (standard in dynamic production estimation)</w:t>
      </w:r>
    </w:p>
    <w:p w14:paraId="14E46763" w14:textId="77777777" w:rsidR="0008027A" w:rsidRPr="0008027A" w:rsidRDefault="0008027A" w:rsidP="0008027A">
      <w:pPr>
        <w:rPr>
          <w:b/>
          <w:bCs/>
        </w:rPr>
      </w:pPr>
      <w:r w:rsidRPr="0008027A">
        <w:rPr>
          <w:b/>
          <w:bCs/>
        </w:rPr>
        <w:t>Approach B — Sufficient Statistics / Reduced Form Dynamics</w:t>
      </w:r>
    </w:p>
    <w:p w14:paraId="195F109E" w14:textId="77777777" w:rsidR="0008027A" w:rsidRPr="0008027A" w:rsidRDefault="0008027A" w:rsidP="0008027A">
      <w:r w:rsidRPr="0008027A">
        <w:t xml:space="preserve">Even simpler: instead of full structural dynamics, characterize the </w:t>
      </w:r>
      <w:r w:rsidRPr="0008027A">
        <w:rPr>
          <w:b/>
          <w:bCs/>
        </w:rPr>
        <w:t>option value of storage</w:t>
      </w:r>
      <w:r w:rsidRPr="0008027A">
        <w:t xml:space="preserve"> using </w:t>
      </w:r>
      <w:proofErr w:type="gramStart"/>
      <w:r w:rsidRPr="0008027A">
        <w:t>a sufficient statistic</w:t>
      </w:r>
      <w:proofErr w:type="gramEnd"/>
      <w:r w:rsidRPr="0008027A">
        <w:t>.</w:t>
      </w:r>
    </w:p>
    <w:p w14:paraId="6F0D3418" w14:textId="77777777" w:rsidR="0008027A" w:rsidRPr="0008027A" w:rsidRDefault="0008027A" w:rsidP="0008027A">
      <w:r w:rsidRPr="0008027A">
        <w:t>The key insight is that the option value of waiting depends on:</w:t>
      </w:r>
    </w:p>
    <w:p w14:paraId="68946D7C" w14:textId="75841676" w:rsidR="0008027A" w:rsidRPr="0008027A" w:rsidRDefault="0008027A" w:rsidP="0008027A">
      <w:pPr>
        <w:numPr>
          <w:ilvl w:val="0"/>
          <w:numId w:val="11"/>
        </w:numPr>
      </w:pPr>
      <w:r w:rsidRPr="0008027A">
        <w:t xml:space="preserve">Current inventory </w:t>
      </w:r>
      <m:oMath>
        <m:sSub>
          <m:sSubPr>
            <m:ctrlPr>
              <w:rPr>
                <w:rFonts w:ascii="Cambria Math" w:hAnsi="Cambria Math"/>
              </w:rPr>
            </m:ctrlPr>
          </m:sSubPr>
          <m:e>
            <m:r>
              <w:rPr>
                <w:rFonts w:ascii="Cambria Math" w:hAnsi="Cambria Math"/>
              </w:rPr>
              <m:t>s</m:t>
            </m:r>
          </m:e>
          <m:sub>
            <m:r>
              <w:rPr>
                <w:rFonts w:ascii="Cambria Math" w:hAnsi="Cambria Math"/>
              </w:rPr>
              <m:t>ft</m:t>
            </m:r>
          </m:sub>
        </m:sSub>
      </m:oMath>
      <w:r w:rsidRPr="0008027A">
        <w:t xml:space="preserve">(how much gas </w:t>
      </w:r>
      <w:proofErr w:type="gramStart"/>
      <w:r w:rsidRPr="0008027A">
        <w:t>you</w:t>
      </w:r>
      <w:proofErr w:type="gramEnd"/>
      <w:r w:rsidRPr="0008027A">
        <w:t xml:space="preserve"> have to sell)</w:t>
      </w:r>
    </w:p>
    <w:p w14:paraId="21391620" w14:textId="5A2BABAA" w:rsidR="0008027A" w:rsidRPr="0008027A" w:rsidRDefault="0008027A" w:rsidP="0008027A">
      <w:pPr>
        <w:numPr>
          <w:ilvl w:val="0"/>
          <w:numId w:val="11"/>
        </w:numPr>
      </w:pPr>
      <w:r w:rsidRPr="0008027A">
        <w:t xml:space="preserve">Current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08027A">
        <w:t>(opportunity cost of waiting)</w:t>
      </w:r>
    </w:p>
    <w:p w14:paraId="26128891" w14:textId="18BE8B1E" w:rsidR="0008027A" w:rsidRPr="0008027A" w:rsidRDefault="0008027A" w:rsidP="0008027A">
      <w:pPr>
        <w:numPr>
          <w:ilvl w:val="0"/>
          <w:numId w:val="11"/>
        </w:numPr>
      </w:pPr>
      <w:r w:rsidRPr="0008027A">
        <w:t xml:space="preserve">Price volatility </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Pr="0008027A">
        <w:t>(value of the option — higher volatility = more value to wait)</w:t>
      </w:r>
    </w:p>
    <w:p w14:paraId="300DEC55" w14:textId="043CD375" w:rsidR="0008027A" w:rsidRPr="0008027A" w:rsidRDefault="0008027A" w:rsidP="0008027A">
      <w:pPr>
        <w:numPr>
          <w:ilvl w:val="0"/>
          <w:numId w:val="11"/>
        </w:numPr>
      </w:pPr>
      <w:r w:rsidRPr="0008027A">
        <w:t xml:space="preserve">Time remaining in winter </w:t>
      </w:r>
      <m:oMath>
        <m:r>
          <w:rPr>
            <w:rFonts w:ascii="Cambria Math" w:hAnsi="Cambria Math"/>
          </w:rPr>
          <m:t>T-t</m:t>
        </m:r>
      </m:oMath>
      <w:r w:rsidRPr="0008027A">
        <w:t>(urgency — can't wait forever)</w:t>
      </w:r>
    </w:p>
    <w:p w14:paraId="21304190" w14:textId="77777777" w:rsidR="0008027A" w:rsidRPr="0008027A" w:rsidRDefault="0008027A" w:rsidP="0008027A">
      <w:r w:rsidRPr="0008027A">
        <w:t>You can construct these variables directly from your data and include them as controls in your estimating equation. The conduct parameter is then identified off residual variation in withdrawal decisions after controlling for all legitimate dynamic incentives.</w:t>
      </w:r>
    </w:p>
    <w:p w14:paraId="534FEC21" w14:textId="77777777" w:rsidR="0008027A" w:rsidRPr="0008027A" w:rsidRDefault="0008027A" w:rsidP="0008027A">
      <w:r w:rsidRPr="0008027A">
        <w:t>Formally:</w:t>
      </w:r>
    </w:p>
    <w:p w14:paraId="3C229E62" w14:textId="6186F27F" w:rsidR="0008027A" w:rsidRPr="0008027A" w:rsidRDefault="0008027A" w:rsidP="0008027A">
      <m:oMathPara>
        <m:oMath>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sSub>
            <m:sSubPr>
              <m:ctrlPr>
                <w:rPr>
                  <w:rFonts w:ascii="Cambria Math" w:hAnsi="Cambria Math"/>
                </w:rPr>
              </m:ctrlPr>
            </m:sSubPr>
            <m:e>
              <m:r>
                <w:rPr>
                  <w:rFonts w:ascii="Cambria Math" w:hAnsi="Cambria Math"/>
                </w:rPr>
                <m:t>s</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4</m:t>
              </m:r>
            </m:sub>
          </m:sSub>
          <m:r>
            <w:rPr>
              <w:rFonts w:ascii="Cambria Math" w:hAnsi="Cambria Math"/>
            </w:rPr>
            <m:t>(T-t)+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ft</m:t>
              </m:r>
            </m:sub>
          </m:sSub>
          <m:r>
            <w:br/>
          </m:r>
        </m:oMath>
      </m:oMathPara>
    </w:p>
    <w:p w14:paraId="1722DAC3" w14:textId="77777777" w:rsidR="0008027A" w:rsidRPr="0008027A" w:rsidRDefault="0008027A" w:rsidP="0008027A">
      <w:r w:rsidRPr="0008027A">
        <w:t>Any remaining systematic under-withdrawal relative to these controls is your market power residual.</w:t>
      </w:r>
    </w:p>
    <w:p w14:paraId="2F2F376B" w14:textId="77777777" w:rsidR="0008027A" w:rsidRPr="0008027A" w:rsidRDefault="0008027A" w:rsidP="0008027A">
      <w:r w:rsidRPr="0008027A">
        <w:rPr>
          <w:b/>
          <w:bCs/>
        </w:rPr>
        <w:t>This is probably the most feasible approach for a second paper</w:t>
      </w:r>
      <w:r w:rsidRPr="0008027A">
        <w:t xml:space="preserve"> — it's transparent, doesn't require solving a dynamic program, and the controls have clear economic interpretations that referees will find intuitive.</w:t>
      </w:r>
    </w:p>
    <w:p w14:paraId="416DCFC6" w14:textId="77777777" w:rsidR="0008027A" w:rsidRPr="0008027A" w:rsidRDefault="0008027A" w:rsidP="0008027A">
      <w:r w:rsidRPr="0008027A">
        <w:lastRenderedPageBreak/>
        <w:pict w14:anchorId="4E7F4AA4">
          <v:rect id="_x0000_i1105" style="width:0;height:1.5pt" o:hralign="center" o:hrstd="t" o:hr="t" fillcolor="#a0a0a0" stroked="f"/>
        </w:pict>
      </w:r>
    </w:p>
    <w:p w14:paraId="2CC8B8D8" w14:textId="77777777" w:rsidR="0008027A" w:rsidRPr="0008027A" w:rsidRDefault="0008027A" w:rsidP="0008027A">
      <w:pPr>
        <w:rPr>
          <w:b/>
          <w:bCs/>
        </w:rPr>
      </w:pPr>
      <w:r w:rsidRPr="0008027A">
        <w:rPr>
          <w:b/>
          <w:bCs/>
        </w:rPr>
        <w:t>Full Estimation Sequence</w:t>
      </w:r>
    </w:p>
    <w:p w14:paraId="2B680F1C" w14:textId="77777777" w:rsidR="0008027A" w:rsidRPr="0008027A" w:rsidRDefault="0008027A" w:rsidP="0008027A">
      <w:r w:rsidRPr="0008027A">
        <w:t>Here's the concrete step-by-step:</w:t>
      </w:r>
    </w:p>
    <w:p w14:paraId="52187A71" w14:textId="77777777" w:rsidR="0008027A" w:rsidRPr="0008027A" w:rsidRDefault="0008027A" w:rsidP="0008027A">
      <w:r w:rsidRPr="0008027A">
        <w:rPr>
          <w:b/>
          <w:bCs/>
        </w:rPr>
        <w:t>Step 1 — Build the dataset</w:t>
      </w:r>
    </w:p>
    <w:p w14:paraId="101E0FA7" w14:textId="77777777" w:rsidR="0008027A" w:rsidRPr="0008027A" w:rsidRDefault="0008027A" w:rsidP="0008027A">
      <w:pPr>
        <w:numPr>
          <w:ilvl w:val="0"/>
          <w:numId w:val="12"/>
        </w:numPr>
      </w:pPr>
      <w:r w:rsidRPr="0008027A">
        <w:t>GIE daily injection/withdrawal/inventory for all EU facilities</w:t>
      </w:r>
    </w:p>
    <w:p w14:paraId="6C4B41E5" w14:textId="77777777" w:rsidR="0008027A" w:rsidRPr="0008027A" w:rsidRDefault="0008027A" w:rsidP="0008027A">
      <w:pPr>
        <w:numPr>
          <w:ilvl w:val="0"/>
          <w:numId w:val="12"/>
        </w:numPr>
      </w:pPr>
      <w:r w:rsidRPr="0008027A">
        <w:t>Match to spot prices (TTF, NCG, PSV, PEG by country)</w:t>
      </w:r>
    </w:p>
    <w:p w14:paraId="1E2BF24B" w14:textId="77777777" w:rsidR="0008027A" w:rsidRPr="0008027A" w:rsidRDefault="0008027A" w:rsidP="0008027A">
      <w:pPr>
        <w:numPr>
          <w:ilvl w:val="0"/>
          <w:numId w:val="12"/>
        </w:numPr>
      </w:pPr>
      <w:r w:rsidRPr="0008027A">
        <w:t>Match to temperature data (ERA5)</w:t>
      </w:r>
    </w:p>
    <w:p w14:paraId="16FAE3B7" w14:textId="77777777" w:rsidR="0008027A" w:rsidRPr="0008027A" w:rsidRDefault="0008027A" w:rsidP="0008027A">
      <w:pPr>
        <w:numPr>
          <w:ilvl w:val="0"/>
          <w:numId w:val="12"/>
        </w:numPr>
      </w:pPr>
      <w:r w:rsidRPr="0008027A">
        <w:t>Match to LNG send-out (GIE ALSI)</w:t>
      </w:r>
    </w:p>
    <w:p w14:paraId="31FEAD5C" w14:textId="77777777" w:rsidR="0008027A" w:rsidRPr="0008027A" w:rsidRDefault="0008027A" w:rsidP="0008027A">
      <w:pPr>
        <w:numPr>
          <w:ilvl w:val="0"/>
          <w:numId w:val="12"/>
        </w:numPr>
      </w:pPr>
      <w:r w:rsidRPr="0008027A">
        <w:t>Match to renewable generation (ENTSO-E)</w:t>
      </w:r>
    </w:p>
    <w:p w14:paraId="124D8003" w14:textId="77777777" w:rsidR="0008027A" w:rsidRPr="0008027A" w:rsidRDefault="0008027A" w:rsidP="0008027A">
      <w:pPr>
        <w:numPr>
          <w:ilvl w:val="0"/>
          <w:numId w:val="12"/>
        </w:numPr>
      </w:pPr>
      <w:r w:rsidRPr="0008027A">
        <w:t>Classify facilities by operator type and country market structure</w:t>
      </w:r>
    </w:p>
    <w:p w14:paraId="4234A18C" w14:textId="514274EC" w:rsidR="0008027A" w:rsidRPr="0008027A" w:rsidRDefault="0008027A" w:rsidP="0008027A">
      <w:pPr>
        <w:numPr>
          <w:ilvl w:val="0"/>
          <w:numId w:val="12"/>
        </w:numPr>
      </w:pPr>
      <w:r w:rsidRPr="0008027A">
        <w:t xml:space="preserve">Code mandate constraint status: is facility </w:t>
      </w:r>
      <m:oMath>
        <m:r>
          <w:rPr>
            <w:rFonts w:ascii="Cambria Math" w:hAnsi="Cambria Math"/>
          </w:rPr>
          <m:t>f</m:t>
        </m:r>
      </m:oMath>
      <w:r w:rsidRPr="0008027A">
        <w:t xml:space="preserve">below national target on date </w:t>
      </w:r>
      <m:oMath>
        <m:r>
          <w:rPr>
            <w:rFonts w:ascii="Cambria Math" w:hAnsi="Cambria Math"/>
          </w:rPr>
          <m:t>t</m:t>
        </m:r>
      </m:oMath>
      <w:r w:rsidRPr="0008027A">
        <w:t>?</w:t>
      </w:r>
    </w:p>
    <w:p w14:paraId="78264302" w14:textId="0B9973FA" w:rsidR="0008027A" w:rsidRPr="0008027A" w:rsidRDefault="0008027A" w:rsidP="0008027A">
      <w:r w:rsidRPr="0008027A">
        <w:rPr>
          <w:b/>
          <w:bCs/>
        </w:rPr>
        <w:t xml:space="preserve">Step 2 — Estimate price impact </w:t>
      </w:r>
      <m:oMath>
        <m:acc>
          <m:accPr>
            <m:ctrlPr>
              <w:rPr>
                <w:rFonts w:ascii="Cambria Math" w:hAnsi="Cambria Math"/>
              </w:rPr>
            </m:ctrlPr>
          </m:accPr>
          <m:e>
            <m:r>
              <w:rPr>
                <w:rFonts w:ascii="Cambria Math" w:hAnsi="Cambria Math"/>
              </w:rPr>
              <m:t>β</m:t>
            </m:r>
          </m:e>
        </m:acc>
      </m:oMath>
    </w:p>
    <w:p w14:paraId="6EE5AB0B" w14:textId="77777777" w:rsidR="0008027A" w:rsidRPr="0008027A" w:rsidRDefault="0008027A" w:rsidP="0008027A">
      <w:r w:rsidRPr="0008027A">
        <w:t>Regress daily spot price on aggregate net withdrawal, instrumenting with temperature, renewables, LNG arrivals:</w:t>
      </w:r>
    </w:p>
    <w:p w14:paraId="7BDFC6FE" w14:textId="36D5D085" w:rsidR="0008027A" w:rsidRPr="0008027A" w:rsidRDefault="0008027A" w:rsidP="0008027A">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=μ+β</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br/>
          </m:r>
        </m:oMath>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a</m:t>
                  </m:r>
                </m:e>
                <m:sub>
                  <m:r>
                    <w:rPr>
                      <w:rFonts w:ascii="Cambria Math" w:hAnsi="Cambria Math"/>
                    </w:rPr>
                    <m:t>ft</m:t>
                  </m:r>
                </m:sub>
              </m:sSub>
            </m:e>
          </m:nary>
          <m:r>
            <w:rPr>
              <w:rFonts w:ascii="Cambria Math" w:hAnsi="Cambria Math"/>
            </w:rPr>
            <m:t>,</m:t>
          </m:r>
          <m:r>
            <m:rPr>
              <m:nor/>
            </m:rPr>
            <m:t>instrument: </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nor/>
            </m:rPr>
            <m:t>temp deviation, wind, LNG</m:t>
          </m:r>
          <m:r>
            <w:rPr>
              <w:rFonts w:ascii="Cambria Math" w:hAnsi="Cambria Math"/>
            </w:rPr>
            <m:t>)</m:t>
          </m:r>
          <m:r>
            <w:rPr>
              <w:i/>
            </w:rPr>
            <w:br/>
          </m:r>
        </m:oMath>
      </m:oMathPara>
    </w:p>
    <w:p w14:paraId="52E2042B" w14:textId="77777777" w:rsidR="0008027A" w:rsidRPr="0008027A" w:rsidRDefault="0008027A" w:rsidP="0008027A">
      <w:r w:rsidRPr="0008027A">
        <w:rPr>
          <w:b/>
          <w:bCs/>
        </w:rPr>
        <w:t>Step 3 — Estimate facility-level conduct</w:t>
      </w:r>
    </w:p>
    <w:p w14:paraId="43C6D63D" w14:textId="77777777" w:rsidR="0008027A" w:rsidRPr="0008027A" w:rsidRDefault="0008027A" w:rsidP="0008027A">
      <w:r w:rsidRPr="0008027A">
        <w:t>For each facility (or facility type), estimate:</w:t>
      </w:r>
    </w:p>
    <w:p w14:paraId="3E15BC39" w14:textId="2D8B93D2" w:rsidR="0008027A" w:rsidRPr="0008027A" w:rsidRDefault="0008027A" w:rsidP="0008027A">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m:t>
          </m:r>
          <m:r>
            <m:rPr>
              <m:nor/>
            </m:rPr>
            <m:t>dynamic controls</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ft</m:t>
              </m:r>
            </m:sub>
          </m:sSub>
          <m:r>
            <w:br/>
          </m:r>
        </m:oMath>
      </m:oMathPara>
    </w:p>
    <w:p w14:paraId="62E2BD48" w14:textId="77777777" w:rsidR="0008027A" w:rsidRPr="0008027A" w:rsidRDefault="0008027A" w:rsidP="0008027A">
      <w:r w:rsidRPr="0008027A">
        <w:t>Using mandate-constrained periods as competitive benchmark and within-facility variation over time.</w:t>
      </w:r>
    </w:p>
    <w:p w14:paraId="2F84668C" w14:textId="77777777" w:rsidR="0008027A" w:rsidRPr="0008027A" w:rsidRDefault="0008027A" w:rsidP="0008027A">
      <w:r w:rsidRPr="0008027A">
        <w:rPr>
          <w:b/>
          <w:bCs/>
        </w:rPr>
        <w:t>Step 4 — Heterogeneity analysis</w:t>
      </w:r>
    </w:p>
    <w:p w14:paraId="055ED836" w14:textId="7DFB72FE" w:rsidR="0008027A" w:rsidRPr="0008027A" w:rsidRDefault="0008027A" w:rsidP="0008027A">
      <w:r w:rsidRPr="0008027A">
        <w:t xml:space="preserve">Regress estimated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f</m:t>
            </m:r>
          </m:sub>
        </m:sSub>
      </m:oMath>
      <w:r w:rsidRPr="0008027A">
        <w:t>on facility characteristics:</w:t>
      </w:r>
    </w:p>
    <w:p w14:paraId="229950CF" w14:textId="77777777" w:rsidR="0008027A" w:rsidRPr="0008027A" w:rsidRDefault="0008027A" w:rsidP="0008027A">
      <w:pPr>
        <w:numPr>
          <w:ilvl w:val="0"/>
          <w:numId w:val="13"/>
        </w:numPr>
      </w:pPr>
      <w:r w:rsidRPr="0008027A">
        <w:t>Operator type (Russian-linked, state, integrated utility, independent)</w:t>
      </w:r>
    </w:p>
    <w:p w14:paraId="6EBDC9B9" w14:textId="77777777" w:rsidR="0008027A" w:rsidRPr="0008027A" w:rsidRDefault="0008027A" w:rsidP="0008027A">
      <w:pPr>
        <w:numPr>
          <w:ilvl w:val="0"/>
          <w:numId w:val="13"/>
        </w:numPr>
      </w:pPr>
      <w:r w:rsidRPr="0008027A">
        <w:t>Facility size relative to national market</w:t>
      </w:r>
    </w:p>
    <w:p w14:paraId="01F0A4B7" w14:textId="77777777" w:rsidR="0008027A" w:rsidRPr="0008027A" w:rsidRDefault="0008027A" w:rsidP="0008027A">
      <w:pPr>
        <w:numPr>
          <w:ilvl w:val="0"/>
          <w:numId w:val="13"/>
        </w:numPr>
      </w:pPr>
      <w:r w:rsidRPr="0008027A">
        <w:lastRenderedPageBreak/>
        <w:t>Physical storage type (salt cavern vs. depleted field)</w:t>
      </w:r>
    </w:p>
    <w:p w14:paraId="07EBA02E" w14:textId="77777777" w:rsidR="0008027A" w:rsidRPr="0008027A" w:rsidRDefault="0008027A" w:rsidP="0008027A">
      <w:pPr>
        <w:numPr>
          <w:ilvl w:val="0"/>
          <w:numId w:val="13"/>
        </w:numPr>
      </w:pPr>
      <w:r w:rsidRPr="0008027A">
        <w:t>Country market concentration (HHI of downstream gas retail)</w:t>
      </w:r>
    </w:p>
    <w:p w14:paraId="756CB1D1" w14:textId="77777777" w:rsidR="0008027A" w:rsidRPr="0008027A" w:rsidRDefault="0008027A" w:rsidP="0008027A">
      <w:r w:rsidRPr="0008027A">
        <w:rPr>
          <w:b/>
          <w:bCs/>
        </w:rPr>
        <w:t>Step 5 — Policy counterfactual</w:t>
      </w:r>
    </w:p>
    <w:p w14:paraId="65EE9D18" w14:textId="2EE332D8" w:rsidR="0008027A" w:rsidRPr="0008027A" w:rsidRDefault="0008027A" w:rsidP="0008027A">
      <w:r w:rsidRPr="0008027A">
        <w:t xml:space="preserve">Using estimated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f</m:t>
            </m:r>
          </m:sub>
        </m:sSub>
      </m:oMath>
      <w:r w:rsidRPr="0008027A">
        <w:t xml:space="preserve">and </w:t>
      </w:r>
      <m:oMath>
        <m:acc>
          <m:accPr>
            <m:ctrlPr>
              <w:rPr>
                <w:rFonts w:ascii="Cambria Math" w:hAnsi="Cambria Math"/>
              </w:rPr>
            </m:ctrlPr>
          </m:accPr>
          <m:e>
            <m:r>
              <w:rPr>
                <w:rFonts w:ascii="Cambria Math" w:hAnsi="Cambria Math"/>
              </w:rPr>
              <m:t>β</m:t>
            </m:r>
          </m:e>
        </m:acc>
      </m:oMath>
      <w:r w:rsidRPr="0008027A">
        <w:t>, simulate what prices would have been under:</w:t>
      </w:r>
    </w:p>
    <w:p w14:paraId="0E0D8E4B" w14:textId="2A78FD13" w:rsidR="0008027A" w:rsidRPr="0008027A" w:rsidRDefault="0008027A" w:rsidP="0008027A">
      <w:pPr>
        <w:numPr>
          <w:ilvl w:val="0"/>
          <w:numId w:val="14"/>
        </w:numPr>
      </w:pPr>
      <w:r w:rsidRPr="0008027A">
        <w:t>Full competition (</w:t>
      </w:r>
      <m:oMath>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=0</m:t>
        </m:r>
      </m:oMath>
      <w:r w:rsidRPr="0008027A">
        <w:t xml:space="preserve"> for all facilities)</w:t>
      </w:r>
    </w:p>
    <w:p w14:paraId="39188E4A" w14:textId="77777777" w:rsidR="0008027A" w:rsidRPr="0008027A" w:rsidRDefault="0008027A" w:rsidP="0008027A">
      <w:pPr>
        <w:numPr>
          <w:ilvl w:val="0"/>
          <w:numId w:val="14"/>
        </w:numPr>
      </w:pPr>
      <w:r w:rsidRPr="0008027A">
        <w:t>No mandate (remove the regulatory constraint)</w:t>
      </w:r>
    </w:p>
    <w:p w14:paraId="7E178BD0" w14:textId="77777777" w:rsidR="0008027A" w:rsidRPr="0008027A" w:rsidRDefault="0008027A" w:rsidP="0008027A">
      <w:pPr>
        <w:numPr>
          <w:ilvl w:val="0"/>
          <w:numId w:val="14"/>
        </w:numPr>
      </w:pPr>
      <w:proofErr w:type="spellStart"/>
      <w:r w:rsidRPr="0008027A">
        <w:t>Rehden</w:t>
      </w:r>
      <w:proofErr w:type="spellEnd"/>
      <w:r w:rsidRPr="0008027A">
        <w:t xml:space="preserve"> under Gazprom for full 2022 winter (reverse the trusteeship)</w:t>
      </w:r>
    </w:p>
    <w:p w14:paraId="685BB015" w14:textId="77777777" w:rsidR="0008027A" w:rsidRPr="0008027A" w:rsidRDefault="0008027A" w:rsidP="0008027A">
      <w:r w:rsidRPr="0008027A">
        <w:pict w14:anchorId="045F4D40">
          <v:rect id="_x0000_i1106" style="width:0;height:1.5pt" o:hralign="center" o:hrstd="t" o:hr="t" fillcolor="#a0a0a0" stroked="f"/>
        </w:pict>
      </w:r>
    </w:p>
    <w:p w14:paraId="207F09D8" w14:textId="77777777" w:rsidR="0008027A" w:rsidRPr="0008027A" w:rsidRDefault="0008027A" w:rsidP="0008027A">
      <w:pPr>
        <w:rPr>
          <w:b/>
          <w:bCs/>
        </w:rPr>
      </w:pPr>
      <w:r w:rsidRPr="0008027A">
        <w:rPr>
          <w:b/>
          <w:bCs/>
        </w:rPr>
        <w:t>What This Paper Looks Like to a Referee</w:t>
      </w:r>
    </w:p>
    <w:p w14:paraId="44A972BE" w14:textId="77777777" w:rsidR="0008027A" w:rsidRPr="0008027A" w:rsidRDefault="0008027A" w:rsidP="0008027A">
      <w:r w:rsidRPr="0008027A">
        <w:t>The honest selling points:</w:t>
      </w:r>
    </w:p>
    <w:p w14:paraId="33A3C39B" w14:textId="77777777" w:rsidR="0008027A" w:rsidRPr="0008027A" w:rsidRDefault="0008027A" w:rsidP="0008027A">
      <w:r w:rsidRPr="0008027A">
        <w:rPr>
          <w:b/>
          <w:bCs/>
        </w:rPr>
        <w:t>Methodological:</w:t>
      </w:r>
      <w:r w:rsidRPr="0008027A">
        <w:t xml:space="preserve"> Conduct parameter estimation in a dynamic inventory setting — extension of Bresnahan to a new and important market. The use of regulatory mandates as a conduct shifter is novel and clean.</w:t>
      </w:r>
    </w:p>
    <w:p w14:paraId="2C93F052" w14:textId="77777777" w:rsidR="0008027A" w:rsidRPr="0008027A" w:rsidRDefault="0008027A" w:rsidP="0008027A">
      <w:r w:rsidRPr="0008027A">
        <w:rPr>
          <w:b/>
          <w:bCs/>
        </w:rPr>
        <w:t>Empirical:</w:t>
      </w:r>
      <w:r w:rsidRPr="0008027A">
        <w:t xml:space="preserve"> First systematic evidence on strategic behavior in EU gas storage using facility-level panel data. The </w:t>
      </w:r>
      <w:proofErr w:type="spellStart"/>
      <w:r w:rsidRPr="0008027A">
        <w:t>Rehden</w:t>
      </w:r>
      <w:proofErr w:type="spellEnd"/>
      <w:r w:rsidRPr="0008027A">
        <w:t xml:space="preserve"> event study provides the most credible causal evidence.</w:t>
      </w:r>
    </w:p>
    <w:p w14:paraId="4277398E" w14:textId="77777777" w:rsidR="0008027A" w:rsidRPr="0008027A" w:rsidRDefault="0008027A" w:rsidP="0008027A">
      <w:r w:rsidRPr="0008027A">
        <w:rPr>
          <w:b/>
          <w:bCs/>
        </w:rPr>
        <w:t>Policy:</w:t>
      </w:r>
      <w:r w:rsidRPr="0008027A">
        <w:t xml:space="preserve"> Quantifies the welfare cost of storage market power and the welfare benefit of the 2022 mandate. Directly relevant to ongoing ACER discussions on storage regulation.</w:t>
      </w:r>
    </w:p>
    <w:p w14:paraId="72E7C62A" w14:textId="77777777" w:rsidR="0008027A" w:rsidRPr="0008027A" w:rsidRDefault="0008027A" w:rsidP="0008027A">
      <w:r w:rsidRPr="0008027A">
        <w:rPr>
          <w:b/>
          <w:bCs/>
        </w:rPr>
        <w:t>The one thing you must handle carefully:</w:t>
      </w:r>
      <w:r w:rsidRPr="0008027A">
        <w:t xml:space="preserve"> The aggregation assumption — that facility-level behavior reflects a single dominant shipper. You need to defend this carefully in the paper, ideally with supporting evidence from the few cases (Germany, Gazprom) where shipper concentration is documented.</w:t>
      </w:r>
    </w:p>
    <w:p w14:paraId="7CF4E391" w14:textId="77777777" w:rsidR="0008027A" w:rsidRDefault="0008027A"/>
    <w:sectPr w:rsidR="0008027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121A"/>
    <w:multiLevelType w:val="multilevel"/>
    <w:tmpl w:val="2A2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B5E60"/>
    <w:multiLevelType w:val="multilevel"/>
    <w:tmpl w:val="80EC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56CFF"/>
    <w:multiLevelType w:val="multilevel"/>
    <w:tmpl w:val="96E8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44FC6"/>
    <w:multiLevelType w:val="multilevel"/>
    <w:tmpl w:val="6AA4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420AC"/>
    <w:multiLevelType w:val="multilevel"/>
    <w:tmpl w:val="550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56FA7"/>
    <w:multiLevelType w:val="multilevel"/>
    <w:tmpl w:val="6CAA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959F6"/>
    <w:multiLevelType w:val="multilevel"/>
    <w:tmpl w:val="F69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1176D"/>
    <w:multiLevelType w:val="multilevel"/>
    <w:tmpl w:val="F06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71100"/>
    <w:multiLevelType w:val="multilevel"/>
    <w:tmpl w:val="C69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C7ADA"/>
    <w:multiLevelType w:val="multilevel"/>
    <w:tmpl w:val="A1B2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A7A0A"/>
    <w:multiLevelType w:val="multilevel"/>
    <w:tmpl w:val="3CAA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5339E3"/>
    <w:multiLevelType w:val="multilevel"/>
    <w:tmpl w:val="F20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95D8F"/>
    <w:multiLevelType w:val="multilevel"/>
    <w:tmpl w:val="E4AA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E4C4C"/>
    <w:multiLevelType w:val="multilevel"/>
    <w:tmpl w:val="645E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131712">
    <w:abstractNumId w:val="2"/>
  </w:num>
  <w:num w:numId="2" w16cid:durableId="1642493360">
    <w:abstractNumId w:val="6"/>
  </w:num>
  <w:num w:numId="3" w16cid:durableId="1218512527">
    <w:abstractNumId w:val="3"/>
  </w:num>
  <w:num w:numId="4" w16cid:durableId="1886677888">
    <w:abstractNumId w:val="7"/>
  </w:num>
  <w:num w:numId="5" w16cid:durableId="288627388">
    <w:abstractNumId w:val="8"/>
  </w:num>
  <w:num w:numId="6" w16cid:durableId="1441411974">
    <w:abstractNumId w:val="9"/>
  </w:num>
  <w:num w:numId="7" w16cid:durableId="1256092979">
    <w:abstractNumId w:val="10"/>
  </w:num>
  <w:num w:numId="8" w16cid:durableId="969093002">
    <w:abstractNumId w:val="5"/>
  </w:num>
  <w:num w:numId="9" w16cid:durableId="995838159">
    <w:abstractNumId w:val="4"/>
  </w:num>
  <w:num w:numId="10" w16cid:durableId="1489592385">
    <w:abstractNumId w:val="13"/>
  </w:num>
  <w:num w:numId="11" w16cid:durableId="1477648847">
    <w:abstractNumId w:val="11"/>
  </w:num>
  <w:num w:numId="12" w16cid:durableId="1088505988">
    <w:abstractNumId w:val="12"/>
  </w:num>
  <w:num w:numId="13" w16cid:durableId="1799713746">
    <w:abstractNumId w:val="1"/>
  </w:num>
  <w:num w:numId="14" w16cid:durableId="1636981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ADB"/>
    <w:rsid w:val="0008027A"/>
    <w:rsid w:val="00673B9B"/>
    <w:rsid w:val="00867979"/>
    <w:rsid w:val="00FA6ADB"/>
    <w:rsid w:val="00FE1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1B4DB"/>
  <w15:chartTrackingRefBased/>
  <w15:docId w15:val="{35223718-D14D-431A-9FFD-50820926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ADB"/>
    <w:rPr>
      <w:rFonts w:eastAsiaTheme="majorEastAsia" w:cstheme="majorBidi"/>
      <w:color w:val="272727" w:themeColor="text1" w:themeTint="D8"/>
    </w:rPr>
  </w:style>
  <w:style w:type="paragraph" w:styleId="Title">
    <w:name w:val="Title"/>
    <w:basedOn w:val="Normal"/>
    <w:next w:val="Normal"/>
    <w:link w:val="TitleChar"/>
    <w:uiPriority w:val="10"/>
    <w:qFormat/>
    <w:rsid w:val="00FA6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ADB"/>
    <w:pPr>
      <w:spacing w:before="160"/>
      <w:jc w:val="center"/>
    </w:pPr>
    <w:rPr>
      <w:i/>
      <w:iCs/>
      <w:color w:val="404040" w:themeColor="text1" w:themeTint="BF"/>
    </w:rPr>
  </w:style>
  <w:style w:type="character" w:customStyle="1" w:styleId="QuoteChar">
    <w:name w:val="Quote Char"/>
    <w:basedOn w:val="DefaultParagraphFont"/>
    <w:link w:val="Quote"/>
    <w:uiPriority w:val="29"/>
    <w:rsid w:val="00FA6ADB"/>
    <w:rPr>
      <w:i/>
      <w:iCs/>
      <w:color w:val="404040" w:themeColor="text1" w:themeTint="BF"/>
    </w:rPr>
  </w:style>
  <w:style w:type="paragraph" w:styleId="ListParagraph">
    <w:name w:val="List Paragraph"/>
    <w:basedOn w:val="Normal"/>
    <w:uiPriority w:val="34"/>
    <w:qFormat/>
    <w:rsid w:val="00FA6ADB"/>
    <w:pPr>
      <w:ind w:left="720"/>
      <w:contextualSpacing/>
    </w:pPr>
  </w:style>
  <w:style w:type="character" w:styleId="IntenseEmphasis">
    <w:name w:val="Intense Emphasis"/>
    <w:basedOn w:val="DefaultParagraphFont"/>
    <w:uiPriority w:val="21"/>
    <w:qFormat/>
    <w:rsid w:val="00FA6ADB"/>
    <w:rPr>
      <w:i/>
      <w:iCs/>
      <w:color w:val="0F4761" w:themeColor="accent1" w:themeShade="BF"/>
    </w:rPr>
  </w:style>
  <w:style w:type="paragraph" w:styleId="IntenseQuote">
    <w:name w:val="Intense Quote"/>
    <w:basedOn w:val="Normal"/>
    <w:next w:val="Normal"/>
    <w:link w:val="IntenseQuoteChar"/>
    <w:uiPriority w:val="30"/>
    <w:qFormat/>
    <w:rsid w:val="00FA6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ADB"/>
    <w:rPr>
      <w:i/>
      <w:iCs/>
      <w:color w:val="0F4761" w:themeColor="accent1" w:themeShade="BF"/>
    </w:rPr>
  </w:style>
  <w:style w:type="character" w:styleId="IntenseReference">
    <w:name w:val="Intense Reference"/>
    <w:basedOn w:val="DefaultParagraphFont"/>
    <w:uiPriority w:val="32"/>
    <w:qFormat/>
    <w:rsid w:val="00FA6A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12</Pages>
  <Words>2481</Words>
  <Characters>14143</Characters>
  <Application>Microsoft Office Word</Application>
  <DocSecurity>0</DocSecurity>
  <Lines>117</Lines>
  <Paragraphs>33</Paragraphs>
  <ScaleCrop>false</ScaleCrop>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Sonnur Bas</dc:creator>
  <cp:keywords/>
  <dc:description/>
  <cp:lastModifiedBy>Sonnur Bas</cp:lastModifiedBy>
  <cp:revision>2</cp:revision>
  <dcterms:created xsi:type="dcterms:W3CDTF">2026-06-19T13:09:00Z</dcterms:created>
  <dcterms:modified xsi:type="dcterms:W3CDTF">2026-06-19T16:05:00Z</dcterms:modified>
</cp:coreProperties>
</file>