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4E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>Members:</w:t>
      </w:r>
      <w:r w:rsidRPr="0071717C">
        <w:rPr>
          <w:rFonts w:asciiTheme="majorHAnsi" w:hAnsiTheme="majorHAnsi"/>
          <w:sz w:val="24"/>
        </w:rPr>
        <w:tab/>
      </w:r>
      <w:proofErr w:type="spellStart"/>
      <w:r w:rsidRPr="0071717C">
        <w:rPr>
          <w:rFonts w:asciiTheme="majorHAnsi" w:hAnsiTheme="majorHAnsi"/>
          <w:sz w:val="24"/>
        </w:rPr>
        <w:t>Anthea</w:t>
      </w:r>
      <w:proofErr w:type="spellEnd"/>
      <w:r w:rsidRPr="0071717C">
        <w:rPr>
          <w:rFonts w:asciiTheme="majorHAnsi" w:hAnsiTheme="majorHAnsi"/>
          <w:sz w:val="24"/>
        </w:rPr>
        <w:t xml:space="preserve"> Atkinson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 xml:space="preserve">Cecil </w:t>
      </w:r>
      <w:proofErr w:type="spellStart"/>
      <w:r w:rsidRPr="0071717C">
        <w:rPr>
          <w:rFonts w:asciiTheme="majorHAnsi" w:hAnsiTheme="majorHAnsi"/>
          <w:sz w:val="24"/>
        </w:rPr>
        <w:t>Abrams</w:t>
      </w:r>
      <w:proofErr w:type="spellEnd"/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</w:r>
      <w:proofErr w:type="spellStart"/>
      <w:r w:rsidRPr="0071717C">
        <w:rPr>
          <w:rFonts w:asciiTheme="majorHAnsi" w:hAnsiTheme="majorHAnsi"/>
          <w:sz w:val="24"/>
        </w:rPr>
        <w:t>Varsha</w:t>
      </w:r>
      <w:proofErr w:type="spellEnd"/>
      <w:r w:rsidRPr="0071717C">
        <w:rPr>
          <w:rFonts w:asciiTheme="majorHAnsi" w:hAnsiTheme="majorHAnsi"/>
          <w:sz w:val="24"/>
        </w:rPr>
        <w:t xml:space="preserve"> </w:t>
      </w:r>
      <w:proofErr w:type="spellStart"/>
      <w:r w:rsidRPr="0071717C">
        <w:rPr>
          <w:rFonts w:asciiTheme="majorHAnsi" w:hAnsiTheme="majorHAnsi"/>
          <w:sz w:val="24"/>
        </w:rPr>
        <w:t>Boodram</w:t>
      </w:r>
      <w:proofErr w:type="spellEnd"/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>Felicia Collins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>Stephan Singh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 xml:space="preserve">Sonny </w:t>
      </w:r>
      <w:proofErr w:type="spellStart"/>
      <w:r w:rsidRPr="0071717C">
        <w:rPr>
          <w:rFonts w:asciiTheme="majorHAnsi" w:hAnsiTheme="majorHAnsi"/>
          <w:sz w:val="24"/>
        </w:rPr>
        <w:t>Kothapally</w:t>
      </w:r>
      <w:proofErr w:type="spellEnd"/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 xml:space="preserve">Jonathan </w:t>
      </w:r>
      <w:proofErr w:type="spellStart"/>
      <w:r w:rsidRPr="0071717C">
        <w:rPr>
          <w:rFonts w:asciiTheme="majorHAnsi" w:hAnsiTheme="majorHAnsi"/>
          <w:sz w:val="24"/>
        </w:rPr>
        <w:t>Moonsammy</w:t>
      </w:r>
      <w:proofErr w:type="spellEnd"/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 xml:space="preserve">Randy </w:t>
      </w:r>
      <w:proofErr w:type="spellStart"/>
      <w:r w:rsidRPr="0071717C">
        <w:rPr>
          <w:rFonts w:asciiTheme="majorHAnsi" w:hAnsiTheme="majorHAnsi"/>
          <w:sz w:val="24"/>
        </w:rPr>
        <w:t>Bobb</w:t>
      </w:r>
      <w:proofErr w:type="spellEnd"/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>Carl Kumar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>Elson Whyte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>Brandon Yong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</w:r>
      <w:proofErr w:type="spellStart"/>
      <w:r w:rsidRPr="0071717C">
        <w:rPr>
          <w:rFonts w:asciiTheme="majorHAnsi" w:hAnsiTheme="majorHAnsi"/>
          <w:sz w:val="24"/>
        </w:rPr>
        <w:t>Isoke</w:t>
      </w:r>
      <w:proofErr w:type="spellEnd"/>
      <w:r w:rsidRPr="0071717C">
        <w:rPr>
          <w:rFonts w:asciiTheme="majorHAnsi" w:hAnsiTheme="majorHAnsi"/>
          <w:sz w:val="24"/>
        </w:rPr>
        <w:t xml:space="preserve"> Britton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</w:r>
      <w:proofErr w:type="spellStart"/>
      <w:r w:rsidRPr="0071717C">
        <w:rPr>
          <w:rFonts w:asciiTheme="majorHAnsi" w:hAnsiTheme="majorHAnsi"/>
          <w:sz w:val="24"/>
        </w:rPr>
        <w:t>Jesusa</w:t>
      </w:r>
      <w:proofErr w:type="spellEnd"/>
      <w:r w:rsidRPr="0071717C">
        <w:rPr>
          <w:rFonts w:asciiTheme="majorHAnsi" w:hAnsiTheme="majorHAnsi"/>
          <w:sz w:val="24"/>
        </w:rPr>
        <w:t xml:space="preserve"> Lee</w:t>
      </w:r>
    </w:p>
    <w:p w:rsidR="005270B2" w:rsidRPr="0071717C" w:rsidRDefault="0071717C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>Subject:</w:t>
      </w:r>
      <w:r w:rsidRPr="0071717C">
        <w:rPr>
          <w:rFonts w:asciiTheme="majorHAnsi" w:hAnsiTheme="majorHAnsi"/>
          <w:sz w:val="24"/>
        </w:rPr>
        <w:tab/>
      </w:r>
      <w:r w:rsidR="005270B2" w:rsidRPr="0071717C">
        <w:rPr>
          <w:rFonts w:asciiTheme="majorHAnsi" w:hAnsiTheme="majorHAnsi"/>
          <w:sz w:val="24"/>
        </w:rPr>
        <w:t>Caribbean Studies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>Class:</w:t>
      </w:r>
      <w:r w:rsidRPr="0071717C">
        <w:rPr>
          <w:rFonts w:asciiTheme="majorHAnsi" w:hAnsiTheme="majorHAnsi"/>
          <w:sz w:val="24"/>
        </w:rPr>
        <w:tab/>
      </w:r>
      <w:r w:rsidRPr="0071717C">
        <w:rPr>
          <w:rFonts w:asciiTheme="majorHAnsi" w:hAnsiTheme="majorHAnsi"/>
          <w:sz w:val="24"/>
        </w:rPr>
        <w:tab/>
        <w:t>U6</w:t>
      </w:r>
    </w:p>
    <w:p w:rsidR="005270B2" w:rsidRPr="0071717C" w:rsidRDefault="005270B2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br w:type="page"/>
      </w:r>
    </w:p>
    <w:p w:rsidR="005270B2" w:rsidRPr="0071717C" w:rsidRDefault="005270B2" w:rsidP="00AA5099">
      <w:pPr>
        <w:pStyle w:val="Title"/>
      </w:pPr>
      <w:r w:rsidRPr="0071717C">
        <w:lastRenderedPageBreak/>
        <w:t>CARICOM</w:t>
      </w:r>
    </w:p>
    <w:p w:rsidR="00AA59BC" w:rsidRDefault="00894824" w:rsidP="0071717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Caribbean Community and Common Market (CARICOM) </w:t>
      </w:r>
      <w:proofErr w:type="gramStart"/>
      <w:r>
        <w:rPr>
          <w:rFonts w:asciiTheme="majorHAnsi" w:hAnsiTheme="majorHAnsi"/>
          <w:sz w:val="24"/>
        </w:rPr>
        <w:t>was</w:t>
      </w:r>
      <w:proofErr w:type="gramEnd"/>
      <w:r>
        <w:rPr>
          <w:rFonts w:asciiTheme="majorHAnsi" w:hAnsiTheme="majorHAnsi"/>
          <w:sz w:val="24"/>
        </w:rPr>
        <w:t xml:space="preserve"> launched in 1 August, 1973</w:t>
      </w:r>
      <w:r w:rsidR="005228D0" w:rsidRPr="0071717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as a development plan superseding the Caribbean Free Trade Association (CARIFTA). </w:t>
      </w:r>
      <w:r w:rsidR="00AA59BC">
        <w:rPr>
          <w:rFonts w:asciiTheme="majorHAnsi" w:hAnsiTheme="majorHAnsi"/>
          <w:sz w:val="24"/>
        </w:rPr>
        <w:t xml:space="preserve">CARICOM integration, now being limited to a partial customs union, was initially expected to develop into a common market system. </w:t>
      </w:r>
      <w:r w:rsidR="005228D0" w:rsidRPr="00AA59BC">
        <w:rPr>
          <w:rFonts w:asciiTheme="majorHAnsi" w:hAnsiTheme="majorHAnsi"/>
          <w:i/>
          <w:sz w:val="24"/>
        </w:rPr>
        <w:t xml:space="preserve">(A free trade agreement eliminates barriers on goods exchanged among participating countries. In a customs union, members adopt a common external tariff (CET) and common trade policy toward third-party countries. A common market goes further, allowing for the free flow of all factors of production (capital and labour) among members). </w:t>
      </w:r>
      <w:r w:rsidR="005228D0" w:rsidRPr="0071717C">
        <w:rPr>
          <w:rFonts w:asciiTheme="majorHAnsi" w:hAnsiTheme="majorHAnsi"/>
          <w:sz w:val="24"/>
        </w:rPr>
        <w:t xml:space="preserve">CARICOM's strategy for </w:t>
      </w:r>
      <w:r w:rsidR="00AA59BC">
        <w:rPr>
          <w:rFonts w:asciiTheme="majorHAnsi" w:hAnsiTheme="majorHAnsi"/>
          <w:sz w:val="24"/>
        </w:rPr>
        <w:t>the integration of all economic spaces rests heavily on the implementation of the</w:t>
      </w:r>
      <w:r w:rsidR="005228D0" w:rsidRPr="0071717C">
        <w:rPr>
          <w:rFonts w:asciiTheme="majorHAnsi" w:hAnsiTheme="majorHAnsi"/>
          <w:sz w:val="24"/>
        </w:rPr>
        <w:t xml:space="preserve"> Caribbean Single Market and Economy (CSME</w:t>
      </w:r>
      <w:r w:rsidR="00AA59BC" w:rsidRPr="0071717C">
        <w:rPr>
          <w:rFonts w:asciiTheme="majorHAnsi" w:hAnsiTheme="majorHAnsi"/>
          <w:sz w:val="24"/>
        </w:rPr>
        <w:t>) that</w:t>
      </w:r>
      <w:r w:rsidR="00AA59BC">
        <w:rPr>
          <w:rFonts w:asciiTheme="majorHAnsi" w:hAnsiTheme="majorHAnsi"/>
          <w:sz w:val="24"/>
        </w:rPr>
        <w:t xml:space="preserve"> was </w:t>
      </w:r>
      <w:r w:rsidR="005228D0" w:rsidRPr="0071717C">
        <w:rPr>
          <w:rFonts w:asciiTheme="majorHAnsi" w:hAnsiTheme="majorHAnsi"/>
          <w:sz w:val="24"/>
        </w:rPr>
        <w:t>formally</w:t>
      </w:r>
      <w:r w:rsidR="00AA59BC">
        <w:rPr>
          <w:rFonts w:asciiTheme="majorHAnsi" w:hAnsiTheme="majorHAnsi"/>
          <w:sz w:val="24"/>
        </w:rPr>
        <w:t xml:space="preserve"> established on January 1, 2006. </w:t>
      </w:r>
      <w:r w:rsidR="005228D0" w:rsidRPr="0071717C">
        <w:rPr>
          <w:rFonts w:asciiTheme="majorHAnsi" w:hAnsiTheme="majorHAnsi"/>
          <w:sz w:val="24"/>
        </w:rPr>
        <w:t xml:space="preserve">CARICOM is a </w:t>
      </w:r>
      <w:r w:rsidR="00AA59BC">
        <w:rPr>
          <w:rFonts w:asciiTheme="majorHAnsi" w:hAnsiTheme="majorHAnsi"/>
          <w:sz w:val="24"/>
        </w:rPr>
        <w:t>trade-reliant region with globalisation as a key factor in its development</w:t>
      </w:r>
      <w:r w:rsidR="005228D0" w:rsidRPr="0071717C">
        <w:rPr>
          <w:rFonts w:asciiTheme="majorHAnsi" w:hAnsiTheme="majorHAnsi"/>
          <w:sz w:val="24"/>
        </w:rPr>
        <w:t xml:space="preserve">. </w:t>
      </w:r>
      <w:r w:rsidR="00AA59BC">
        <w:rPr>
          <w:rFonts w:asciiTheme="majorHAnsi" w:hAnsiTheme="majorHAnsi"/>
          <w:sz w:val="24"/>
        </w:rPr>
        <w:t xml:space="preserve">Compromising </w:t>
      </w:r>
      <w:r w:rsidR="005228D0" w:rsidRPr="0071717C">
        <w:rPr>
          <w:rFonts w:asciiTheme="majorHAnsi" w:hAnsiTheme="majorHAnsi"/>
          <w:sz w:val="24"/>
        </w:rPr>
        <w:t xml:space="preserve">to these changes through the CSME is </w:t>
      </w:r>
      <w:r w:rsidR="00AA59BC">
        <w:rPr>
          <w:rFonts w:asciiTheme="majorHAnsi" w:hAnsiTheme="majorHAnsi"/>
          <w:sz w:val="24"/>
        </w:rPr>
        <w:t>CARICOM’s</w:t>
      </w:r>
      <w:r w:rsidR="005228D0" w:rsidRPr="0071717C">
        <w:rPr>
          <w:rFonts w:asciiTheme="majorHAnsi" w:hAnsiTheme="majorHAnsi"/>
          <w:sz w:val="24"/>
        </w:rPr>
        <w:t xml:space="preserve"> primary development challenge. To </w:t>
      </w:r>
      <w:proofErr w:type="spellStart"/>
      <w:r w:rsidR="005228D0" w:rsidRPr="0071717C">
        <w:rPr>
          <w:rFonts w:asciiTheme="majorHAnsi" w:hAnsiTheme="majorHAnsi"/>
          <w:sz w:val="24"/>
        </w:rPr>
        <w:t>fulfill</w:t>
      </w:r>
      <w:proofErr w:type="spellEnd"/>
      <w:r w:rsidR="005228D0" w:rsidRPr="0071717C">
        <w:rPr>
          <w:rFonts w:asciiTheme="majorHAnsi" w:hAnsiTheme="majorHAnsi"/>
          <w:sz w:val="24"/>
        </w:rPr>
        <w:t xml:space="preserve"> the CSME vision, </w:t>
      </w:r>
      <w:r w:rsidR="00AA59BC">
        <w:rPr>
          <w:rFonts w:asciiTheme="majorHAnsi" w:hAnsiTheme="majorHAnsi"/>
          <w:sz w:val="24"/>
        </w:rPr>
        <w:t>member states have to adopt deeper commitments towards economic integration.</w:t>
      </w:r>
    </w:p>
    <w:p w:rsidR="005270B2" w:rsidRPr="0071717C" w:rsidRDefault="00AA59BC" w:rsidP="0071717C">
      <w:pPr>
        <w:rPr>
          <w:rFonts w:asciiTheme="majorHAnsi" w:hAnsiTheme="majorHAnsi"/>
          <w:sz w:val="24"/>
        </w:rPr>
      </w:pPr>
      <w:r w:rsidRPr="0071717C">
        <w:rPr>
          <w:rFonts w:asciiTheme="majorHAnsi" w:hAnsiTheme="majorHAnsi"/>
          <w:sz w:val="24"/>
        </w:rPr>
        <w:t xml:space="preserve"> </w:t>
      </w:r>
      <w:r w:rsidR="005228D0" w:rsidRPr="0071717C">
        <w:rPr>
          <w:rFonts w:asciiTheme="majorHAnsi" w:hAnsiTheme="majorHAnsi"/>
          <w:sz w:val="24"/>
        </w:rPr>
        <w:t xml:space="preserve">The Caribbean Basin has been a </w:t>
      </w:r>
      <w:r w:rsidR="00CB5FCE">
        <w:rPr>
          <w:rFonts w:asciiTheme="majorHAnsi" w:hAnsiTheme="majorHAnsi"/>
          <w:sz w:val="24"/>
        </w:rPr>
        <w:t>traditional</w:t>
      </w:r>
      <w:r w:rsidR="005228D0" w:rsidRPr="0071717C">
        <w:rPr>
          <w:rFonts w:asciiTheme="majorHAnsi" w:hAnsiTheme="majorHAnsi"/>
          <w:sz w:val="24"/>
        </w:rPr>
        <w:t xml:space="preserve"> </w:t>
      </w:r>
      <w:r w:rsidR="00CB5FCE">
        <w:rPr>
          <w:rFonts w:asciiTheme="majorHAnsi" w:hAnsiTheme="majorHAnsi"/>
          <w:sz w:val="24"/>
        </w:rPr>
        <w:t xml:space="preserve">pursuit </w:t>
      </w:r>
      <w:r w:rsidR="005228D0" w:rsidRPr="0071717C">
        <w:rPr>
          <w:rFonts w:asciiTheme="majorHAnsi" w:hAnsiTheme="majorHAnsi"/>
          <w:sz w:val="24"/>
        </w:rPr>
        <w:t>of</w:t>
      </w:r>
      <w:r w:rsidR="00CB5FCE">
        <w:rPr>
          <w:rFonts w:asciiTheme="majorHAnsi" w:hAnsiTheme="majorHAnsi"/>
          <w:sz w:val="24"/>
        </w:rPr>
        <w:t xml:space="preserve"> developed nations such as the United States</w:t>
      </w:r>
      <w:r w:rsidR="005228D0" w:rsidRPr="0071717C">
        <w:rPr>
          <w:rFonts w:asciiTheme="majorHAnsi" w:hAnsiTheme="majorHAnsi"/>
          <w:sz w:val="24"/>
        </w:rPr>
        <w:t xml:space="preserve"> and the success of CARICOM directly affects stability in the region. It therefore has important implications for</w:t>
      </w:r>
      <w:r w:rsidR="00CB5FCE">
        <w:rPr>
          <w:rFonts w:asciiTheme="majorHAnsi" w:hAnsiTheme="majorHAnsi"/>
          <w:sz w:val="24"/>
        </w:rPr>
        <w:t xml:space="preserve"> global</w:t>
      </w:r>
      <w:r w:rsidR="005228D0" w:rsidRPr="0071717C">
        <w:rPr>
          <w:rFonts w:asciiTheme="majorHAnsi" w:hAnsiTheme="majorHAnsi"/>
          <w:sz w:val="24"/>
        </w:rPr>
        <w:t xml:space="preserve"> trade, investment, immigration, </w:t>
      </w:r>
      <w:r w:rsidR="00CB5FCE">
        <w:rPr>
          <w:rFonts w:asciiTheme="majorHAnsi" w:hAnsiTheme="majorHAnsi"/>
          <w:sz w:val="24"/>
        </w:rPr>
        <w:t>drug illegalisation</w:t>
      </w:r>
      <w:r w:rsidR="005228D0" w:rsidRPr="0071717C">
        <w:rPr>
          <w:rFonts w:asciiTheme="majorHAnsi" w:hAnsiTheme="majorHAnsi"/>
          <w:sz w:val="24"/>
        </w:rPr>
        <w:t xml:space="preserve">, </w:t>
      </w:r>
      <w:r w:rsidR="00CB5FCE">
        <w:rPr>
          <w:rFonts w:asciiTheme="majorHAnsi" w:hAnsiTheme="majorHAnsi"/>
          <w:sz w:val="24"/>
        </w:rPr>
        <w:t>and national security policies.</w:t>
      </w:r>
      <w:r w:rsidR="005228D0" w:rsidRPr="0071717C">
        <w:rPr>
          <w:rFonts w:asciiTheme="majorHAnsi" w:hAnsiTheme="majorHAnsi"/>
          <w:sz w:val="24"/>
        </w:rPr>
        <w:t xml:space="preserve"> </w:t>
      </w:r>
    </w:p>
    <w:p w:rsidR="005228D0" w:rsidRPr="0071717C" w:rsidRDefault="005228D0" w:rsidP="00AA5099">
      <w:pPr>
        <w:pStyle w:val="Title"/>
      </w:pPr>
      <w:r w:rsidRPr="0071717C">
        <w:t>Early Integration Efforts</w:t>
      </w:r>
    </w:p>
    <w:p w:rsidR="005228D0" w:rsidRPr="0071717C" w:rsidRDefault="005228D0" w:rsidP="0071717C">
      <w:pPr>
        <w:rPr>
          <w:rFonts w:asciiTheme="majorHAnsi" w:hAnsiTheme="majorHAnsi" w:cs="Times New Roman"/>
          <w:sz w:val="24"/>
        </w:rPr>
      </w:pPr>
      <w:r w:rsidRPr="0071717C">
        <w:rPr>
          <w:rFonts w:asciiTheme="majorHAnsi" w:hAnsiTheme="majorHAnsi" w:cs="Times New Roman"/>
          <w:sz w:val="24"/>
        </w:rPr>
        <w:t>CARICOM was established on July 5, 1973 with the signing of the Treaty of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71717C">
        <w:rPr>
          <w:rFonts w:asciiTheme="majorHAnsi" w:hAnsiTheme="majorHAnsi" w:cs="Times New Roman"/>
          <w:sz w:val="24"/>
        </w:rPr>
        <w:t>Chaguaramas</w:t>
      </w:r>
      <w:proofErr w:type="spellEnd"/>
      <w:r w:rsidRPr="0071717C">
        <w:rPr>
          <w:rFonts w:asciiTheme="majorHAnsi" w:hAnsiTheme="majorHAnsi" w:cs="Times New Roman"/>
          <w:sz w:val="24"/>
        </w:rPr>
        <w:t>. It was built on the trials and errors of previous unification efforts,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CB5FCE">
        <w:rPr>
          <w:rFonts w:asciiTheme="majorHAnsi" w:hAnsiTheme="majorHAnsi" w:cs="Times New Roman"/>
          <w:sz w:val="24"/>
        </w:rPr>
        <w:t xml:space="preserve">beginning with the </w:t>
      </w:r>
      <w:r w:rsidRPr="0071717C">
        <w:rPr>
          <w:rFonts w:asciiTheme="majorHAnsi" w:hAnsiTheme="majorHAnsi" w:cs="Times New Roman"/>
          <w:sz w:val="24"/>
        </w:rPr>
        <w:t>W</w:t>
      </w:r>
      <w:r w:rsidR="00CB5FCE">
        <w:rPr>
          <w:rFonts w:asciiTheme="majorHAnsi" w:hAnsiTheme="majorHAnsi" w:cs="Times New Roman"/>
          <w:sz w:val="24"/>
        </w:rPr>
        <w:t>est Indies Federation (1958-62)</w:t>
      </w:r>
      <w:r w:rsidRPr="0071717C">
        <w:rPr>
          <w:rFonts w:asciiTheme="majorHAnsi" w:hAnsiTheme="majorHAnsi" w:cs="Times New Roman"/>
          <w:sz w:val="24"/>
        </w:rPr>
        <w:t xml:space="preserve">. Despite </w:t>
      </w:r>
      <w:r w:rsidR="00CB5FCE">
        <w:rPr>
          <w:rFonts w:asciiTheme="majorHAnsi" w:hAnsiTheme="majorHAnsi" w:cs="Times New Roman"/>
          <w:sz w:val="24"/>
        </w:rPr>
        <w:t>instigation</w:t>
      </w:r>
      <w:r w:rsidRPr="0071717C">
        <w:rPr>
          <w:rFonts w:asciiTheme="majorHAnsi" w:hAnsiTheme="majorHAnsi" w:cs="Times New Roman"/>
          <w:sz w:val="24"/>
        </w:rPr>
        <w:t xml:space="preserve"> by Great Britain, it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dissolved rapidly when Jamaica and Trinidad and Tobago withdrew in </w:t>
      </w:r>
      <w:proofErr w:type="spellStart"/>
      <w:r w:rsidRPr="0071717C">
        <w:rPr>
          <w:rFonts w:asciiTheme="majorHAnsi" w:hAnsiTheme="majorHAnsi" w:cs="Times New Roman"/>
          <w:sz w:val="24"/>
        </w:rPr>
        <w:t>favor</w:t>
      </w:r>
      <w:proofErr w:type="spellEnd"/>
      <w:r w:rsidRPr="0071717C">
        <w:rPr>
          <w:rFonts w:asciiTheme="majorHAnsi" w:hAnsiTheme="majorHAnsi" w:cs="Times New Roman"/>
          <w:sz w:val="24"/>
        </w:rPr>
        <w:t xml:space="preserve"> of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national self-determination. </w:t>
      </w:r>
      <w:r w:rsidR="00CB5FCE">
        <w:rPr>
          <w:rFonts w:asciiTheme="majorHAnsi" w:hAnsiTheme="majorHAnsi" w:cs="Times New Roman"/>
          <w:sz w:val="24"/>
        </w:rPr>
        <w:t>It took</w:t>
      </w:r>
      <w:r w:rsidR="0071717C" w:rsidRPr="0071717C">
        <w:rPr>
          <w:rFonts w:asciiTheme="majorHAnsi" w:hAnsiTheme="majorHAnsi" w:cs="Times New Roman"/>
          <w:sz w:val="24"/>
        </w:rPr>
        <w:t xml:space="preserve"> new form in 1965 </w:t>
      </w:r>
      <w:r w:rsidRPr="0071717C">
        <w:rPr>
          <w:rFonts w:asciiTheme="majorHAnsi" w:hAnsiTheme="majorHAnsi" w:cs="Times New Roman"/>
          <w:sz w:val="24"/>
        </w:rPr>
        <w:t>with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the Caribbean Free Trade Association (CARIFTA). It marked the beginning of a free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trade area and was replaced five years later by a deeper commitment under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CARICOM.</w:t>
      </w:r>
    </w:p>
    <w:p w:rsidR="0071717C" w:rsidRPr="0071717C" w:rsidRDefault="005228D0" w:rsidP="0071717C">
      <w:pPr>
        <w:rPr>
          <w:rFonts w:asciiTheme="majorHAnsi" w:hAnsiTheme="majorHAnsi" w:cs="Times New Roman"/>
          <w:sz w:val="24"/>
        </w:rPr>
      </w:pPr>
      <w:r w:rsidRPr="0071717C">
        <w:rPr>
          <w:rFonts w:asciiTheme="majorHAnsi" w:hAnsiTheme="majorHAnsi" w:cs="Times New Roman"/>
          <w:sz w:val="24"/>
        </w:rPr>
        <w:t>CARICOM began as two linked concepts: the Caribbean Community and the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Common Market. Although conceptually </w:t>
      </w:r>
      <w:r w:rsidR="00CB5FCE">
        <w:rPr>
          <w:rFonts w:asciiTheme="majorHAnsi" w:hAnsiTheme="majorHAnsi" w:cs="Times New Roman"/>
          <w:sz w:val="24"/>
        </w:rPr>
        <w:t>conjugated</w:t>
      </w:r>
      <w:r w:rsidRPr="0071717C">
        <w:rPr>
          <w:rFonts w:asciiTheme="majorHAnsi" w:hAnsiTheme="majorHAnsi" w:cs="Times New Roman"/>
          <w:sz w:val="24"/>
        </w:rPr>
        <w:t>, they were devised as separate legal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and institu</w:t>
      </w:r>
      <w:r w:rsidR="00CB5FCE">
        <w:rPr>
          <w:rFonts w:asciiTheme="majorHAnsi" w:hAnsiTheme="majorHAnsi" w:cs="Times New Roman"/>
          <w:sz w:val="24"/>
        </w:rPr>
        <w:t xml:space="preserve">tional entities that provided </w:t>
      </w:r>
      <w:r w:rsidRPr="0071717C">
        <w:rPr>
          <w:rFonts w:asciiTheme="majorHAnsi" w:hAnsiTheme="majorHAnsi" w:cs="Times New Roman"/>
          <w:sz w:val="24"/>
        </w:rPr>
        <w:t xml:space="preserve">flexibility </w:t>
      </w:r>
      <w:r w:rsidR="00CB5FCE">
        <w:rPr>
          <w:rFonts w:asciiTheme="majorHAnsi" w:hAnsiTheme="majorHAnsi" w:cs="Times New Roman"/>
          <w:sz w:val="24"/>
        </w:rPr>
        <w:t>in accommodating</w:t>
      </w:r>
      <w:r w:rsidRPr="0071717C">
        <w:rPr>
          <w:rFonts w:asciiTheme="majorHAnsi" w:hAnsiTheme="majorHAnsi" w:cs="Times New Roman"/>
          <w:sz w:val="24"/>
        </w:rPr>
        <w:t xml:space="preserve"> differing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preferences for regional integration. The Caribbean Community comprises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multiple functional relationships and institutions designed to integrate the region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politically, economically, and legally. CARICOM was not given supranational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authority, which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allowed for relative ease of </w:t>
      </w:r>
      <w:r w:rsidR="00CB5FCE">
        <w:rPr>
          <w:rFonts w:asciiTheme="majorHAnsi" w:hAnsiTheme="majorHAnsi" w:cs="Times New Roman"/>
          <w:sz w:val="24"/>
        </w:rPr>
        <w:t>approval</w:t>
      </w:r>
      <w:r w:rsidRPr="0071717C">
        <w:rPr>
          <w:rFonts w:asciiTheme="majorHAnsi" w:hAnsiTheme="majorHAnsi" w:cs="Times New Roman"/>
          <w:sz w:val="24"/>
        </w:rPr>
        <w:t>. This arrangement</w:t>
      </w:r>
      <w:r w:rsidR="00CB5FCE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did not lead to full regional integration. In the words of two Caribbean experts, </w:t>
      </w:r>
      <w:r w:rsidRPr="00CB5FCE">
        <w:rPr>
          <w:rFonts w:asciiTheme="majorHAnsi" w:hAnsiTheme="majorHAnsi" w:cs="Times New Roman"/>
          <w:i/>
          <w:sz w:val="24"/>
        </w:rPr>
        <w:t>“CARICOM is a</w:t>
      </w:r>
      <w:r w:rsidR="0071717C" w:rsidRPr="00CB5FCE">
        <w:rPr>
          <w:rFonts w:asciiTheme="majorHAnsi" w:hAnsiTheme="majorHAnsi" w:cs="Times New Roman"/>
          <w:i/>
          <w:sz w:val="24"/>
        </w:rPr>
        <w:t xml:space="preserve"> </w:t>
      </w:r>
      <w:r w:rsidRPr="00CB5FCE">
        <w:rPr>
          <w:rFonts w:asciiTheme="majorHAnsi" w:hAnsiTheme="majorHAnsi" w:cs="Times New Roman"/>
          <w:i/>
          <w:sz w:val="24"/>
        </w:rPr>
        <w:t>structure created by national governments to make national policies more effective</w:t>
      </w:r>
      <w:r w:rsidR="0071717C" w:rsidRPr="00CB5FCE">
        <w:rPr>
          <w:rFonts w:asciiTheme="majorHAnsi" w:hAnsiTheme="majorHAnsi" w:cs="Times New Roman"/>
          <w:i/>
          <w:sz w:val="24"/>
        </w:rPr>
        <w:t xml:space="preserve"> </w:t>
      </w:r>
      <w:r w:rsidRPr="00CB5FCE">
        <w:rPr>
          <w:rFonts w:asciiTheme="majorHAnsi" w:hAnsiTheme="majorHAnsi" w:cs="Times New Roman"/>
          <w:i/>
          <w:sz w:val="24"/>
        </w:rPr>
        <w:t>by pursuing them within a regional framework.”</w:t>
      </w:r>
      <w:r w:rsidRPr="0071717C">
        <w:rPr>
          <w:rFonts w:asciiTheme="majorHAnsi" w:hAnsiTheme="majorHAnsi" w:cs="Times New Roman"/>
          <w:sz w:val="24"/>
        </w:rPr>
        <w:t xml:space="preserve"> </w:t>
      </w:r>
    </w:p>
    <w:p w:rsidR="005228D0" w:rsidRPr="0071717C" w:rsidRDefault="005228D0" w:rsidP="0071717C">
      <w:pPr>
        <w:rPr>
          <w:rFonts w:asciiTheme="majorHAnsi" w:hAnsiTheme="majorHAnsi" w:cs="Times New Roman"/>
          <w:sz w:val="24"/>
        </w:rPr>
      </w:pPr>
      <w:r w:rsidRPr="0071717C">
        <w:rPr>
          <w:rFonts w:asciiTheme="majorHAnsi" w:hAnsiTheme="majorHAnsi" w:cs="Times New Roman"/>
          <w:sz w:val="24"/>
        </w:rPr>
        <w:lastRenderedPageBreak/>
        <w:t>The Common Market</w:t>
      </w:r>
      <w:r w:rsidR="00CB5FCE">
        <w:rPr>
          <w:rFonts w:asciiTheme="majorHAnsi" w:hAnsiTheme="majorHAnsi" w:cs="Times New Roman"/>
          <w:sz w:val="24"/>
        </w:rPr>
        <w:t xml:space="preserve"> focused primarily on trade-</w:t>
      </w:r>
      <w:r w:rsidRPr="0071717C">
        <w:rPr>
          <w:rFonts w:asciiTheme="majorHAnsi" w:hAnsiTheme="majorHAnsi" w:cs="Times New Roman"/>
          <w:sz w:val="24"/>
        </w:rPr>
        <w:t>investment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integration. It proceeded from a free trade area to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become a limited customs union, complete with a porous (multiple exceptions)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common external tariff (CET). Although the “Common Market” did not evolve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beyond a “loose trading regime,” CARICOM did succeed in </w:t>
      </w:r>
      <w:r w:rsidR="006061C4">
        <w:rPr>
          <w:rFonts w:asciiTheme="majorHAnsi" w:hAnsiTheme="majorHAnsi" w:cs="Times New Roman"/>
          <w:sz w:val="24"/>
        </w:rPr>
        <w:t xml:space="preserve">integrating </w:t>
      </w:r>
      <w:r w:rsidRPr="0071717C">
        <w:rPr>
          <w:rFonts w:asciiTheme="majorHAnsi" w:hAnsiTheme="majorHAnsi" w:cs="Times New Roman"/>
          <w:sz w:val="24"/>
        </w:rPr>
        <w:t>a diverse group of states. The smallest islands formed the Organization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of Eastern Caribbean States (OECS) in 1981 to pursue a</w:t>
      </w:r>
      <w:r w:rsidR="006061C4">
        <w:rPr>
          <w:rFonts w:asciiTheme="majorHAnsi" w:hAnsiTheme="majorHAnsi" w:cs="Times New Roman"/>
          <w:sz w:val="24"/>
        </w:rPr>
        <w:t xml:space="preserve"> deeper integration</w:t>
      </w:r>
      <w:r w:rsidRPr="0071717C">
        <w:rPr>
          <w:rFonts w:asciiTheme="majorHAnsi" w:hAnsiTheme="majorHAnsi" w:cs="Times New Roman"/>
          <w:sz w:val="24"/>
        </w:rPr>
        <w:t xml:space="preserve"> pact </w:t>
      </w:r>
      <w:r w:rsidR="006061C4">
        <w:rPr>
          <w:rFonts w:asciiTheme="majorHAnsi" w:hAnsiTheme="majorHAnsi" w:cs="Times New Roman"/>
          <w:sz w:val="24"/>
        </w:rPr>
        <w:t xml:space="preserve">to have a standing with </w:t>
      </w:r>
      <w:r w:rsidRPr="0071717C">
        <w:rPr>
          <w:rFonts w:asciiTheme="majorHAnsi" w:hAnsiTheme="majorHAnsi" w:cs="Times New Roman"/>
          <w:sz w:val="24"/>
        </w:rPr>
        <w:t>the larger CARICOM countries.</w:t>
      </w:r>
    </w:p>
    <w:p w:rsidR="005228D0" w:rsidRPr="0071717C" w:rsidRDefault="005228D0" w:rsidP="0071717C">
      <w:pPr>
        <w:rPr>
          <w:rFonts w:asciiTheme="majorHAnsi" w:hAnsiTheme="majorHAnsi" w:cs="Times New Roman"/>
          <w:sz w:val="24"/>
        </w:rPr>
      </w:pPr>
      <w:r w:rsidRPr="0071717C">
        <w:rPr>
          <w:rFonts w:asciiTheme="majorHAnsi" w:hAnsiTheme="majorHAnsi" w:cs="Times New Roman"/>
          <w:sz w:val="24"/>
        </w:rPr>
        <w:t>In 2001, CARICOM formally adopted the CSME concept in the Revised Treaty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of </w:t>
      </w:r>
      <w:proofErr w:type="spellStart"/>
      <w:r w:rsidRPr="0071717C">
        <w:rPr>
          <w:rFonts w:asciiTheme="majorHAnsi" w:hAnsiTheme="majorHAnsi" w:cs="Times New Roman"/>
          <w:sz w:val="24"/>
        </w:rPr>
        <w:t>Chaguaramas</w:t>
      </w:r>
      <w:proofErr w:type="spellEnd"/>
      <w:r w:rsidRPr="0071717C">
        <w:rPr>
          <w:rFonts w:asciiTheme="majorHAnsi" w:hAnsiTheme="majorHAnsi" w:cs="Times New Roman"/>
          <w:sz w:val="24"/>
        </w:rPr>
        <w:t xml:space="preserve"> (the Revised Treaty), effectively replacing the Common Market as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the economic integration standard. Together, CARICOM and the CSME share the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attainment of three fundamental goals</w:t>
      </w:r>
      <w:r w:rsidR="006061C4">
        <w:rPr>
          <w:rFonts w:asciiTheme="majorHAnsi" w:hAnsiTheme="majorHAnsi" w:cs="Times New Roman"/>
          <w:sz w:val="24"/>
        </w:rPr>
        <w:t xml:space="preserve">: </w:t>
      </w:r>
      <w:r w:rsidRPr="0071717C">
        <w:rPr>
          <w:rFonts w:asciiTheme="majorHAnsi" w:hAnsiTheme="majorHAnsi" w:cs="Times New Roman"/>
          <w:sz w:val="24"/>
        </w:rPr>
        <w:t>economic integration; coordination of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foreign policies; and </w:t>
      </w:r>
      <w:r w:rsidR="006061C4">
        <w:rPr>
          <w:rFonts w:asciiTheme="majorHAnsi" w:hAnsiTheme="majorHAnsi" w:cs="Times New Roman"/>
          <w:sz w:val="24"/>
        </w:rPr>
        <w:t>functional cooperation.</w:t>
      </w:r>
      <w:r w:rsidRPr="0071717C">
        <w:rPr>
          <w:rFonts w:asciiTheme="majorHAnsi" w:hAnsiTheme="majorHAnsi" w:cs="Times New Roman"/>
          <w:sz w:val="24"/>
        </w:rPr>
        <w:t xml:space="preserve"> Some of these goals, however, have found greater success than others, as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CARICOM struggled to maintain its momentum.</w:t>
      </w:r>
    </w:p>
    <w:p w:rsidR="005228D0" w:rsidRPr="0071717C" w:rsidRDefault="00AA5099" w:rsidP="00AA5099">
      <w:pPr>
        <w:pStyle w:val="Title"/>
      </w:pPr>
      <w:r>
        <w:t>Challenges t</w:t>
      </w:r>
      <w:r w:rsidR="005228D0" w:rsidRPr="0071717C">
        <w:t>o Integration</w:t>
      </w:r>
    </w:p>
    <w:p w:rsidR="005228D0" w:rsidRPr="0071717C" w:rsidRDefault="00F064F2" w:rsidP="0071717C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The </w:t>
      </w:r>
      <w:r w:rsidR="005228D0" w:rsidRPr="0071717C">
        <w:rPr>
          <w:rFonts w:asciiTheme="majorHAnsi" w:hAnsiTheme="majorHAnsi" w:cs="Times New Roman"/>
          <w:sz w:val="24"/>
        </w:rPr>
        <w:t xml:space="preserve">70s </w:t>
      </w:r>
      <w:r>
        <w:rPr>
          <w:rFonts w:asciiTheme="majorHAnsi" w:hAnsiTheme="majorHAnsi" w:cs="Times New Roman"/>
          <w:sz w:val="24"/>
        </w:rPr>
        <w:t>saw a period</w:t>
      </w:r>
      <w:r w:rsidR="005228D0" w:rsidRPr="0071717C">
        <w:rPr>
          <w:rFonts w:asciiTheme="majorHAnsi" w:hAnsiTheme="majorHAnsi" w:cs="Times New Roman"/>
          <w:sz w:val="24"/>
        </w:rPr>
        <w:t xml:space="preserve"> of oil price shocks, rising interest rates, and growing ideological </w:t>
      </w:r>
      <w:r>
        <w:rPr>
          <w:rFonts w:asciiTheme="majorHAnsi" w:hAnsiTheme="majorHAnsi" w:cs="Times New Roman"/>
          <w:sz w:val="24"/>
        </w:rPr>
        <w:t>radicalism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 xml:space="preserve">in the Caribbean that </w:t>
      </w:r>
      <w:r>
        <w:rPr>
          <w:rFonts w:asciiTheme="majorHAnsi" w:hAnsiTheme="majorHAnsi" w:cs="Times New Roman"/>
          <w:sz w:val="24"/>
        </w:rPr>
        <w:t>lead</w:t>
      </w:r>
      <w:r w:rsidR="005228D0" w:rsidRPr="0071717C">
        <w:rPr>
          <w:rFonts w:asciiTheme="majorHAnsi" w:hAnsiTheme="majorHAnsi" w:cs="Times New Roman"/>
          <w:sz w:val="24"/>
        </w:rPr>
        <w:t xml:space="preserve"> to slow growth, rising debt, social unrest, and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>
        <w:rPr>
          <w:rFonts w:asciiTheme="majorHAnsi" w:hAnsiTheme="majorHAnsi" w:cs="Times New Roman"/>
          <w:sz w:val="24"/>
        </w:rPr>
        <w:t xml:space="preserve">political division in the </w:t>
      </w:r>
      <w:r w:rsidR="005228D0" w:rsidRPr="0071717C">
        <w:rPr>
          <w:rFonts w:asciiTheme="majorHAnsi" w:hAnsiTheme="majorHAnsi" w:cs="Times New Roman"/>
          <w:sz w:val="24"/>
        </w:rPr>
        <w:t xml:space="preserve">80s. </w:t>
      </w:r>
      <w:r>
        <w:rPr>
          <w:rFonts w:asciiTheme="majorHAnsi" w:hAnsiTheme="majorHAnsi" w:cs="Times New Roman"/>
          <w:sz w:val="24"/>
        </w:rPr>
        <w:t>This discouraged integration</w:t>
      </w:r>
      <w:r w:rsidR="005228D0" w:rsidRPr="0071717C">
        <w:rPr>
          <w:rFonts w:asciiTheme="majorHAnsi" w:hAnsiTheme="majorHAnsi" w:cs="Times New Roman"/>
          <w:sz w:val="24"/>
        </w:rPr>
        <w:t>. CARICOM remained tied to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>Europe through unilateral preferential trade arrangements and would take up, with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>some controversy, the conditional U.S. offer of unilateral trade preferences defined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>in the 1983 Caribbean Basin Initiative (CBI). These preferences enhanced selected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>trade opportunities, but were ultimately limited and proved to be poor foundations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>for diversifying economic activity, as had trade dependence in the colonial period.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81E79" w:rsidRPr="00581E79">
        <w:rPr>
          <w:rFonts w:asciiTheme="majorHAnsi" w:hAnsiTheme="majorHAnsi" w:cs="Times New Roman"/>
          <w:i/>
          <w:sz w:val="24"/>
        </w:rPr>
        <w:t>“</w:t>
      </w:r>
      <w:r w:rsidR="005228D0" w:rsidRPr="00581E79">
        <w:rPr>
          <w:rFonts w:asciiTheme="majorHAnsi" w:hAnsiTheme="majorHAnsi" w:cs="Times New Roman"/>
          <w:i/>
          <w:sz w:val="24"/>
        </w:rPr>
        <w:t>By the 1990s, the economies of Latin America and the Caribbean rebounded,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but CARICOM actually began to experience declining growth in output and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productivity in many cases, with collective GDP growth on average falling from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3.9% in the 1970s to 2.2% in the 1980s and 1.9% in the 1990s. In addition, by the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turn of the 21st century, the World Trade Organization (WTO)</w:t>
      </w:r>
      <w:r w:rsidR="00AA59B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pressed the European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Union (EU) to eliminate their unilateral preferences accorded CARICOM exports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(e.g., bananas and sugar), and the United States entered into a string of bilateral free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trade agreements (FTAs) with Western Hemisphere countries that began to erode the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relative benefits of the CBI preference programs. As the benefits of trade preferences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continued their relative decline, the natural structure of CARICOM’s trade patterns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began to shift (see next section), as did incentives to move beyond a customs union.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As an inward looking strategy typical of 1970s integration efforts, CARICOM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was constrained as a trade-related development strategy. Described by one Caribbean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scholar as, “integrating, expanding, and protecting the regional market for goods,”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CARICOM did not enhance intraregional trade to the degree expected. One study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finds that from 1970 to 2003, although intraregional trade grew faster than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="005228D0" w:rsidRPr="00581E79">
        <w:rPr>
          <w:rFonts w:asciiTheme="majorHAnsi" w:hAnsiTheme="majorHAnsi" w:cs="Times New Roman"/>
          <w:i/>
          <w:sz w:val="24"/>
        </w:rPr>
        <w:t>extraregional</w:t>
      </w:r>
      <w:proofErr w:type="spellEnd"/>
      <w:r w:rsidR="005228D0" w:rsidRPr="00581E79">
        <w:rPr>
          <w:rFonts w:asciiTheme="majorHAnsi" w:hAnsiTheme="majorHAnsi" w:cs="Times New Roman"/>
          <w:i/>
          <w:sz w:val="24"/>
        </w:rPr>
        <w:t xml:space="preserve"> trade, as a percentage of total trade, it peaked in 1998 (details are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>discussed in next section). Intraregional trade is also dominated by Trinidad and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228D0" w:rsidRPr="00581E79">
        <w:rPr>
          <w:rFonts w:asciiTheme="majorHAnsi" w:hAnsiTheme="majorHAnsi" w:cs="Times New Roman"/>
          <w:i/>
          <w:sz w:val="24"/>
        </w:rPr>
        <w:t xml:space="preserve">Tobago’s oil exports. Net </w:t>
      </w:r>
      <w:r w:rsidR="005228D0" w:rsidRPr="00581E79">
        <w:rPr>
          <w:rFonts w:asciiTheme="majorHAnsi" w:hAnsiTheme="majorHAnsi" w:cs="Times New Roman"/>
          <w:i/>
          <w:sz w:val="24"/>
        </w:rPr>
        <w:lastRenderedPageBreak/>
        <w:t xml:space="preserve">of oil, which is </w:t>
      </w:r>
      <w:proofErr w:type="gramStart"/>
      <w:r w:rsidR="005228D0" w:rsidRPr="00581E79">
        <w:rPr>
          <w:rFonts w:asciiTheme="majorHAnsi" w:hAnsiTheme="majorHAnsi" w:cs="Times New Roman"/>
          <w:i/>
          <w:sz w:val="24"/>
        </w:rPr>
        <w:t>not</w:t>
      </w:r>
      <w:proofErr w:type="gramEnd"/>
      <w:r w:rsidR="005228D0" w:rsidRPr="00581E79">
        <w:rPr>
          <w:rFonts w:asciiTheme="majorHAnsi" w:hAnsiTheme="majorHAnsi" w:cs="Times New Roman"/>
          <w:i/>
          <w:sz w:val="24"/>
        </w:rPr>
        <w:t xml:space="preserve"> affected much by CARICOM’s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 </w:t>
      </w:r>
      <w:r w:rsidR="00581E79" w:rsidRPr="00581E79">
        <w:rPr>
          <w:rFonts w:asciiTheme="majorHAnsi" w:hAnsiTheme="majorHAnsi" w:cs="Times New Roman"/>
          <w:i/>
          <w:sz w:val="24"/>
        </w:rPr>
        <w:t>preferences;</w:t>
      </w:r>
      <w:r w:rsidR="005228D0" w:rsidRPr="00581E79">
        <w:rPr>
          <w:rFonts w:asciiTheme="majorHAnsi" w:hAnsiTheme="majorHAnsi" w:cs="Times New Roman"/>
          <w:i/>
          <w:sz w:val="24"/>
        </w:rPr>
        <w:t xml:space="preserve"> intraregio</w:t>
      </w:r>
      <w:r w:rsidR="0071717C" w:rsidRPr="00581E79">
        <w:rPr>
          <w:rFonts w:asciiTheme="majorHAnsi" w:hAnsiTheme="majorHAnsi" w:cs="Times New Roman"/>
          <w:i/>
          <w:sz w:val="24"/>
        </w:rPr>
        <w:t xml:space="preserve">nal exports have never exceeded </w:t>
      </w:r>
      <w:r w:rsidR="005228D0" w:rsidRPr="00581E79">
        <w:rPr>
          <w:rFonts w:asciiTheme="majorHAnsi" w:hAnsiTheme="majorHAnsi" w:cs="Times New Roman"/>
          <w:i/>
          <w:sz w:val="24"/>
        </w:rPr>
        <w:t>6% of total CARICOM trade.</w:t>
      </w:r>
      <w:r w:rsidR="00581E79" w:rsidRPr="00581E79">
        <w:rPr>
          <w:rFonts w:asciiTheme="majorHAnsi" w:hAnsiTheme="majorHAnsi" w:cs="Times New Roman"/>
          <w:i/>
          <w:sz w:val="24"/>
        </w:rPr>
        <w:t>”</w:t>
      </w:r>
      <w:r w:rsidR="005228D0" w:rsidRPr="0071717C">
        <w:rPr>
          <w:rFonts w:asciiTheme="majorHAnsi" w:hAnsiTheme="majorHAnsi" w:cs="Times New Roman"/>
          <w:sz w:val="24"/>
        </w:rPr>
        <w:t xml:space="preserve"> The trends suggest that CARI</w:t>
      </w:r>
      <w:r w:rsidR="0071717C" w:rsidRPr="0071717C">
        <w:rPr>
          <w:rFonts w:asciiTheme="majorHAnsi" w:hAnsiTheme="majorHAnsi" w:cs="Times New Roman"/>
          <w:sz w:val="24"/>
        </w:rPr>
        <w:t xml:space="preserve">COM trade policies were limited </w:t>
      </w:r>
      <w:r w:rsidR="005228D0" w:rsidRPr="0071717C">
        <w:rPr>
          <w:rFonts w:asciiTheme="majorHAnsi" w:hAnsiTheme="majorHAnsi" w:cs="Times New Roman"/>
          <w:sz w:val="24"/>
        </w:rPr>
        <w:t>in advancing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>intraregional integration.</w:t>
      </w:r>
    </w:p>
    <w:p w:rsidR="005228D0" w:rsidRPr="0071717C" w:rsidRDefault="00F064F2" w:rsidP="0071717C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Structural factors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>
        <w:rPr>
          <w:rFonts w:asciiTheme="majorHAnsi" w:hAnsiTheme="majorHAnsi" w:cs="Times New Roman"/>
          <w:sz w:val="24"/>
        </w:rPr>
        <w:t xml:space="preserve">like </w:t>
      </w:r>
      <w:r w:rsidR="005228D0" w:rsidRPr="0071717C">
        <w:rPr>
          <w:rFonts w:asciiTheme="majorHAnsi" w:hAnsiTheme="majorHAnsi" w:cs="Times New Roman"/>
          <w:sz w:val="24"/>
        </w:rPr>
        <w:t>the similarity in economies and high concentration of export products</w:t>
      </w:r>
      <w:r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>also limited the potential trade effects of CARICOM’s regional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>
        <w:rPr>
          <w:rFonts w:asciiTheme="majorHAnsi" w:hAnsiTheme="majorHAnsi" w:cs="Times New Roman"/>
          <w:sz w:val="24"/>
        </w:rPr>
        <w:t xml:space="preserve">goods </w:t>
      </w:r>
      <w:proofErr w:type="gramStart"/>
      <w:r>
        <w:rPr>
          <w:rFonts w:asciiTheme="majorHAnsi" w:hAnsiTheme="majorHAnsi" w:cs="Times New Roman"/>
          <w:sz w:val="24"/>
        </w:rPr>
        <w:t>market .</w:t>
      </w:r>
      <w:proofErr w:type="gramEnd"/>
      <w:r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 xml:space="preserve">Future growth in trade, therefore, is expected to come from </w:t>
      </w:r>
      <w:r>
        <w:rPr>
          <w:rFonts w:asciiTheme="majorHAnsi" w:hAnsiTheme="majorHAnsi" w:cs="Times New Roman"/>
          <w:sz w:val="24"/>
        </w:rPr>
        <w:t xml:space="preserve">global exchange which </w:t>
      </w:r>
      <w:r w:rsidR="005228D0" w:rsidRPr="0071717C">
        <w:rPr>
          <w:rFonts w:asciiTheme="majorHAnsi" w:hAnsiTheme="majorHAnsi" w:cs="Times New Roman"/>
          <w:sz w:val="24"/>
        </w:rPr>
        <w:t>require</w:t>
      </w:r>
      <w:r>
        <w:rPr>
          <w:rFonts w:asciiTheme="majorHAnsi" w:hAnsiTheme="majorHAnsi" w:cs="Times New Roman"/>
          <w:sz w:val="24"/>
        </w:rPr>
        <w:t>s</w:t>
      </w:r>
      <w:r w:rsidR="005228D0" w:rsidRPr="0071717C">
        <w:rPr>
          <w:rFonts w:asciiTheme="majorHAnsi" w:hAnsiTheme="majorHAnsi" w:cs="Times New Roman"/>
          <w:sz w:val="24"/>
        </w:rPr>
        <w:t xml:space="preserve"> careful management of small-state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>
        <w:rPr>
          <w:rFonts w:asciiTheme="majorHAnsi" w:hAnsiTheme="majorHAnsi" w:cs="Times New Roman"/>
          <w:sz w:val="24"/>
        </w:rPr>
        <w:t>portability</w:t>
      </w:r>
      <w:r w:rsidR="005228D0" w:rsidRPr="0071717C">
        <w:rPr>
          <w:rFonts w:asciiTheme="majorHAnsi" w:hAnsiTheme="majorHAnsi" w:cs="Times New Roman"/>
          <w:sz w:val="24"/>
        </w:rPr>
        <w:t xml:space="preserve"> given CARICOM’s highly concentrated export base, which increases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="005228D0" w:rsidRPr="0071717C">
        <w:rPr>
          <w:rFonts w:asciiTheme="majorHAnsi" w:hAnsiTheme="majorHAnsi" w:cs="Times New Roman"/>
          <w:sz w:val="24"/>
        </w:rPr>
        <w:t xml:space="preserve">vulnerability to external shocks and </w:t>
      </w:r>
      <w:r>
        <w:rPr>
          <w:rFonts w:asciiTheme="majorHAnsi" w:hAnsiTheme="majorHAnsi" w:cs="Times New Roman"/>
          <w:sz w:val="24"/>
        </w:rPr>
        <w:t>unaccounted shifts in trade markets</w:t>
      </w:r>
      <w:r w:rsidR="00581E79">
        <w:rPr>
          <w:rFonts w:asciiTheme="majorHAnsi" w:hAnsiTheme="majorHAnsi" w:cs="Times New Roman"/>
          <w:sz w:val="24"/>
        </w:rPr>
        <w:t xml:space="preserve"> such as inflations</w:t>
      </w:r>
      <w:r w:rsidR="005228D0" w:rsidRPr="0071717C">
        <w:rPr>
          <w:rFonts w:asciiTheme="majorHAnsi" w:hAnsiTheme="majorHAnsi" w:cs="Times New Roman"/>
          <w:sz w:val="24"/>
        </w:rPr>
        <w:t>.</w:t>
      </w:r>
    </w:p>
    <w:p w:rsidR="005228D0" w:rsidRPr="0071717C" w:rsidRDefault="005228D0" w:rsidP="0071717C">
      <w:pPr>
        <w:rPr>
          <w:rFonts w:asciiTheme="majorHAnsi" w:hAnsiTheme="majorHAnsi" w:cs="Times New Roman"/>
          <w:sz w:val="24"/>
        </w:rPr>
      </w:pPr>
      <w:r w:rsidRPr="0071717C">
        <w:rPr>
          <w:rFonts w:asciiTheme="majorHAnsi" w:hAnsiTheme="majorHAnsi" w:cs="Times New Roman"/>
          <w:sz w:val="24"/>
        </w:rPr>
        <w:t>It is also important to take note of the asymmetries in trade performance among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countries, with Trinidad and Tobago and Barbados having the largest growth in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exports, and smaller countries, many with diminished agricultural output and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increased tourism, experiencing much smaller merchandise export growth. Jamaica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has experienced a marked decline in its exports, while becoming the largest intra-CARICOM importer</w:t>
      </w:r>
      <w:r w:rsidR="0071717C" w:rsidRPr="0071717C">
        <w:rPr>
          <w:rFonts w:asciiTheme="majorHAnsi" w:hAnsiTheme="majorHAnsi" w:cs="Times New Roman"/>
          <w:sz w:val="24"/>
        </w:rPr>
        <w:t xml:space="preserve"> of goods, a trend largely </w:t>
      </w:r>
      <w:r w:rsidRPr="0071717C">
        <w:rPr>
          <w:rFonts w:asciiTheme="majorHAnsi" w:hAnsiTheme="majorHAnsi" w:cs="Times New Roman"/>
          <w:sz w:val="24"/>
        </w:rPr>
        <w:t>attributed to its macroeconomic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instability that, in particular, has hurt the manufacturing sector</w:t>
      </w:r>
      <w:r w:rsidR="00581E79">
        <w:rPr>
          <w:rFonts w:asciiTheme="majorHAnsi" w:hAnsiTheme="majorHAnsi" w:cs="Times New Roman"/>
          <w:sz w:val="24"/>
        </w:rPr>
        <w:t>.</w:t>
      </w:r>
    </w:p>
    <w:p w:rsidR="005228D0" w:rsidRPr="0071717C" w:rsidRDefault="005228D0" w:rsidP="0071717C">
      <w:pPr>
        <w:rPr>
          <w:rFonts w:asciiTheme="majorHAnsi" w:hAnsiTheme="majorHAnsi" w:cs="Times New Roman"/>
          <w:sz w:val="24"/>
        </w:rPr>
      </w:pPr>
      <w:r w:rsidRPr="0071717C">
        <w:rPr>
          <w:rFonts w:asciiTheme="majorHAnsi" w:hAnsiTheme="majorHAnsi" w:cs="Times New Roman"/>
          <w:sz w:val="24"/>
        </w:rPr>
        <w:t>Although CARICOM did not induce a large real growth in intraregional trade,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it succeeded in other ways. There have been significant gains to integration outside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the trade area, including the benefits of shared institutional responsibilities in the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provision of public goods and services. In addition, complementary structures of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production have been important for efficiency gains, as well as early efforts to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 xml:space="preserve">integrate </w:t>
      </w:r>
      <w:proofErr w:type="spellStart"/>
      <w:r w:rsidRPr="0071717C">
        <w:rPr>
          <w:rFonts w:asciiTheme="majorHAnsi" w:hAnsiTheme="majorHAnsi" w:cs="Times New Roman"/>
          <w:sz w:val="24"/>
        </w:rPr>
        <w:t>labor</w:t>
      </w:r>
      <w:proofErr w:type="spellEnd"/>
      <w:r w:rsidRPr="0071717C">
        <w:rPr>
          <w:rFonts w:asciiTheme="majorHAnsi" w:hAnsiTheme="majorHAnsi" w:cs="Times New Roman"/>
          <w:sz w:val="24"/>
        </w:rPr>
        <w:t xml:space="preserve"> and capital markets, which promote efficient allocation of factors of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production, cost reduction</w:t>
      </w:r>
      <w:r w:rsidR="0071717C" w:rsidRPr="0071717C">
        <w:rPr>
          <w:rFonts w:asciiTheme="majorHAnsi" w:hAnsiTheme="majorHAnsi" w:cs="Times New Roman"/>
          <w:sz w:val="24"/>
        </w:rPr>
        <w:t xml:space="preserve">, and improved competitiveness. </w:t>
      </w:r>
    </w:p>
    <w:p w:rsidR="00581E79" w:rsidRDefault="005228D0" w:rsidP="0071717C">
      <w:pPr>
        <w:rPr>
          <w:rFonts w:asciiTheme="majorHAnsi" w:hAnsiTheme="majorHAnsi" w:cs="Times New Roman"/>
          <w:sz w:val="24"/>
        </w:rPr>
      </w:pPr>
      <w:r w:rsidRPr="0071717C">
        <w:rPr>
          <w:rFonts w:asciiTheme="majorHAnsi" w:hAnsiTheme="majorHAnsi" w:cs="Times New Roman"/>
          <w:sz w:val="24"/>
        </w:rPr>
        <w:t>The OECS also offers valuable lessons. The fiscal and monetary discipline imposed by the monetary union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is credited with maintaining macroeconomic policy discipline and points to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one advantage of deeper economic integration. By contrast, the worse economic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performance of the much larger states of Guyana and Jamaica is associated with</w:t>
      </w:r>
      <w:r w:rsidR="0071717C" w:rsidRPr="0071717C">
        <w:rPr>
          <w:rFonts w:asciiTheme="majorHAnsi" w:hAnsiTheme="majorHAnsi" w:cs="Times New Roman"/>
          <w:sz w:val="24"/>
        </w:rPr>
        <w:t xml:space="preserve"> </w:t>
      </w:r>
      <w:r w:rsidRPr="0071717C">
        <w:rPr>
          <w:rFonts w:asciiTheme="majorHAnsi" w:hAnsiTheme="majorHAnsi" w:cs="Times New Roman"/>
          <w:sz w:val="24"/>
        </w:rPr>
        <w:t>considerable politi</w:t>
      </w:r>
      <w:r w:rsidR="0071717C" w:rsidRPr="0071717C">
        <w:rPr>
          <w:rFonts w:asciiTheme="majorHAnsi" w:hAnsiTheme="majorHAnsi" w:cs="Times New Roman"/>
          <w:sz w:val="24"/>
        </w:rPr>
        <w:t xml:space="preserve">cal and economic volatility and </w:t>
      </w:r>
      <w:r w:rsidRPr="0071717C">
        <w:rPr>
          <w:rFonts w:asciiTheme="majorHAnsi" w:hAnsiTheme="majorHAnsi" w:cs="Times New Roman"/>
          <w:sz w:val="24"/>
        </w:rPr>
        <w:t>weak macroeconomic policies.</w:t>
      </w:r>
    </w:p>
    <w:p w:rsidR="008F4791" w:rsidRDefault="008F4791" w:rsidP="008F4791">
      <w:pPr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References:</w:t>
      </w:r>
    </w:p>
    <w:p w:rsidR="008F4791" w:rsidRPr="008F4791" w:rsidRDefault="008F4791" w:rsidP="008F4791">
      <w:pPr>
        <w:jc w:val="center"/>
        <w:rPr>
          <w:rFonts w:asciiTheme="majorHAnsi" w:hAnsiTheme="majorHAnsi" w:cs="Times New Roman"/>
        </w:rPr>
      </w:pPr>
      <w:r w:rsidRPr="008F4791">
        <w:rPr>
          <w:rFonts w:asciiTheme="majorHAnsi" w:hAnsiTheme="majorHAnsi" w:cs="Times New Roman"/>
        </w:rPr>
        <w:t xml:space="preserve">"Free Movement of OECS </w:t>
      </w:r>
      <w:proofErr w:type="gramStart"/>
      <w:r w:rsidRPr="008F4791">
        <w:rPr>
          <w:rFonts w:asciiTheme="majorHAnsi" w:hAnsiTheme="majorHAnsi" w:cs="Times New Roman"/>
        </w:rPr>
        <w:t>Citizens :</w:t>
      </w:r>
      <w:proofErr w:type="gramEnd"/>
      <w:r w:rsidRPr="008F4791">
        <w:rPr>
          <w:rFonts w:asciiTheme="majorHAnsi" w:hAnsiTheme="majorHAnsi" w:cs="Times New Roman"/>
        </w:rPr>
        <w:t xml:space="preserve"> Administrative Arrangements and Procedures" (PDF). </w:t>
      </w:r>
      <w:r w:rsidRPr="00525786">
        <w:rPr>
          <w:rFonts w:asciiTheme="majorHAnsi" w:hAnsiTheme="majorHAnsi" w:cs="Times New Roman"/>
          <w:i/>
        </w:rPr>
        <w:t>Oecs.org</w:t>
      </w:r>
      <w:r w:rsidRPr="008F4791">
        <w:rPr>
          <w:rFonts w:asciiTheme="majorHAnsi" w:hAnsiTheme="majorHAnsi" w:cs="Times New Roman"/>
        </w:rPr>
        <w:t xml:space="preserve">. Retrieved 30 January, 2016 from </w:t>
      </w:r>
      <w:r w:rsidRPr="00525786">
        <w:rPr>
          <w:rFonts w:asciiTheme="majorHAnsi" w:hAnsiTheme="majorHAnsi" w:cs="Times New Roman"/>
        </w:rPr>
        <w:t>http://www.oecs.org/publications/doc_download/557-free-movement-of-oecs-citizens-administrative-arrangements-procedures</w:t>
      </w:r>
    </w:p>
    <w:p w:rsidR="008F4791" w:rsidRPr="008F4791" w:rsidRDefault="008F4791" w:rsidP="008F4791">
      <w:pPr>
        <w:jc w:val="center"/>
        <w:rPr>
          <w:rFonts w:asciiTheme="majorHAnsi" w:hAnsiTheme="majorHAnsi"/>
        </w:rPr>
      </w:pPr>
      <w:proofErr w:type="gramStart"/>
      <w:r w:rsidRPr="008F4791">
        <w:rPr>
          <w:rFonts w:asciiTheme="majorHAnsi" w:hAnsiTheme="majorHAnsi"/>
        </w:rPr>
        <w:t>CSME.</w:t>
      </w:r>
      <w:proofErr w:type="gramEnd"/>
      <w:r w:rsidRPr="008F4791">
        <w:rPr>
          <w:rFonts w:asciiTheme="majorHAnsi" w:hAnsiTheme="majorHAnsi"/>
        </w:rPr>
        <w:t xml:space="preserve"> </w:t>
      </w:r>
      <w:proofErr w:type="gramStart"/>
      <w:r w:rsidRPr="008F4791">
        <w:rPr>
          <w:rFonts w:asciiTheme="majorHAnsi" w:hAnsiTheme="majorHAnsi"/>
        </w:rPr>
        <w:t>(</w:t>
      </w:r>
      <w:proofErr w:type="spellStart"/>
      <w:r w:rsidRPr="008F4791">
        <w:rPr>
          <w:rFonts w:asciiTheme="majorHAnsi" w:hAnsiTheme="majorHAnsi"/>
        </w:rPr>
        <w:t>n.d</w:t>
      </w:r>
      <w:proofErr w:type="spellEnd"/>
      <w:r w:rsidRPr="008F4791">
        <w:rPr>
          <w:rFonts w:asciiTheme="majorHAnsi" w:hAnsiTheme="majorHAnsi"/>
        </w:rPr>
        <w:t>.).</w:t>
      </w:r>
      <w:proofErr w:type="gramEnd"/>
      <w:r w:rsidR="00525786">
        <w:rPr>
          <w:rFonts w:asciiTheme="majorHAnsi" w:hAnsiTheme="majorHAnsi"/>
        </w:rPr>
        <w:t xml:space="preserve"> </w:t>
      </w:r>
      <w:proofErr w:type="gramStart"/>
      <w:r w:rsidR="00525786" w:rsidRPr="00525786">
        <w:rPr>
          <w:rFonts w:asciiTheme="majorHAnsi" w:hAnsiTheme="majorHAnsi"/>
          <w:i/>
        </w:rPr>
        <w:t>Caribbean Community Secretariat.</w:t>
      </w:r>
      <w:proofErr w:type="gramEnd"/>
      <w:r w:rsidRPr="008F4791">
        <w:rPr>
          <w:rFonts w:asciiTheme="majorHAnsi" w:hAnsiTheme="majorHAnsi"/>
        </w:rPr>
        <w:t xml:space="preserve"> Retrieved February 04, 2016, from </w:t>
      </w:r>
      <w:r w:rsidRPr="00525786">
        <w:rPr>
          <w:rFonts w:asciiTheme="majorHAnsi" w:hAnsiTheme="majorHAnsi"/>
        </w:rPr>
        <w:t>http://www.caricom.org/jsp/community/history.jsp?menu=community</w:t>
      </w:r>
    </w:p>
    <w:p w:rsidR="008F4791" w:rsidRPr="008F4791" w:rsidRDefault="008F4791" w:rsidP="008F4791">
      <w:pPr>
        <w:jc w:val="center"/>
        <w:rPr>
          <w:rFonts w:asciiTheme="majorHAnsi" w:hAnsiTheme="majorHAnsi"/>
        </w:rPr>
      </w:pPr>
      <w:proofErr w:type="gramStart"/>
      <w:r w:rsidRPr="008F4791">
        <w:rPr>
          <w:rFonts w:asciiTheme="majorHAnsi" w:hAnsiTheme="majorHAnsi"/>
        </w:rPr>
        <w:t>Caribbean Common Market (CARIFTA and CARICOM) (</w:t>
      </w:r>
      <w:proofErr w:type="spellStart"/>
      <w:r w:rsidRPr="008F4791">
        <w:rPr>
          <w:rFonts w:asciiTheme="majorHAnsi" w:hAnsiTheme="majorHAnsi"/>
        </w:rPr>
        <w:t>n.d</w:t>
      </w:r>
      <w:proofErr w:type="spellEnd"/>
      <w:r w:rsidRPr="008F4791">
        <w:rPr>
          <w:rFonts w:asciiTheme="majorHAnsi" w:hAnsiTheme="majorHAnsi"/>
        </w:rPr>
        <w:t>.).</w:t>
      </w:r>
      <w:proofErr w:type="gramEnd"/>
      <w:r w:rsidRPr="008F4791">
        <w:rPr>
          <w:rFonts w:asciiTheme="majorHAnsi" w:hAnsiTheme="majorHAnsi"/>
        </w:rPr>
        <w:t xml:space="preserve"> Retrieved February 04, 2016, from </w:t>
      </w:r>
      <w:r w:rsidRPr="00525786">
        <w:rPr>
          <w:rFonts w:asciiTheme="majorHAnsi" w:hAnsiTheme="majorHAnsi"/>
        </w:rPr>
        <w:t>http://www.encyclopedia.com/article-1G2-3078901162/caribbean-common-market-carifta.html</w:t>
      </w:r>
    </w:p>
    <w:p w:rsidR="008F4791" w:rsidRDefault="008F4791" w:rsidP="008F4791">
      <w:pPr>
        <w:jc w:val="center"/>
        <w:rPr>
          <w:rFonts w:asciiTheme="majorHAnsi" w:hAnsiTheme="majorHAnsi" w:cs="Times New Roman"/>
          <w:sz w:val="24"/>
        </w:rPr>
      </w:pPr>
      <w:proofErr w:type="gramStart"/>
      <w:r w:rsidRPr="008F4791">
        <w:rPr>
          <w:rFonts w:asciiTheme="majorHAnsi" w:hAnsiTheme="majorHAnsi" w:cs="Times New Roman"/>
          <w:sz w:val="24"/>
        </w:rPr>
        <w:lastRenderedPageBreak/>
        <w:t>Introduction to CARICOM &amp; CSME.</w:t>
      </w:r>
      <w:proofErr w:type="gramEnd"/>
      <w:r w:rsidRPr="008F4791">
        <w:rPr>
          <w:rFonts w:asciiTheme="majorHAnsi" w:hAnsiTheme="majorHAnsi" w:cs="Times New Roman"/>
          <w:sz w:val="24"/>
        </w:rPr>
        <w:t xml:space="preserve"> </w:t>
      </w:r>
      <w:proofErr w:type="gramStart"/>
      <w:r w:rsidRPr="008F4791">
        <w:rPr>
          <w:rFonts w:asciiTheme="majorHAnsi" w:hAnsiTheme="majorHAnsi" w:cs="Times New Roman"/>
          <w:sz w:val="24"/>
        </w:rPr>
        <w:t>(</w:t>
      </w:r>
      <w:proofErr w:type="spellStart"/>
      <w:r w:rsidRPr="008F4791">
        <w:rPr>
          <w:rFonts w:asciiTheme="majorHAnsi" w:hAnsiTheme="majorHAnsi" w:cs="Times New Roman"/>
          <w:sz w:val="24"/>
        </w:rPr>
        <w:t>n.d</w:t>
      </w:r>
      <w:proofErr w:type="spellEnd"/>
      <w:r w:rsidRPr="008F4791">
        <w:rPr>
          <w:rFonts w:asciiTheme="majorHAnsi" w:hAnsiTheme="majorHAnsi" w:cs="Times New Roman"/>
          <w:sz w:val="24"/>
        </w:rPr>
        <w:t>.).</w:t>
      </w:r>
      <w:proofErr w:type="gramEnd"/>
      <w:r w:rsidRPr="008F4791">
        <w:rPr>
          <w:rFonts w:asciiTheme="majorHAnsi" w:hAnsiTheme="majorHAnsi" w:cs="Times New Roman"/>
          <w:sz w:val="24"/>
        </w:rPr>
        <w:t xml:space="preserve"> Retrieved February 04, 2016, from </w:t>
      </w:r>
      <w:r w:rsidRPr="00525786">
        <w:rPr>
          <w:rFonts w:asciiTheme="majorHAnsi" w:hAnsiTheme="majorHAnsi" w:cs="Times New Roman"/>
          <w:sz w:val="24"/>
        </w:rPr>
        <w:t>http://www.scribd.com/doc/2905473/Introduction-to-CARICOM-CSME#scribd</w:t>
      </w:r>
    </w:p>
    <w:sectPr w:rsidR="008F4791" w:rsidSect="00D2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0B2"/>
    <w:rsid w:val="00311350"/>
    <w:rsid w:val="0050074E"/>
    <w:rsid w:val="005228D0"/>
    <w:rsid w:val="00525786"/>
    <w:rsid w:val="005270B2"/>
    <w:rsid w:val="00581E79"/>
    <w:rsid w:val="006061C4"/>
    <w:rsid w:val="0071717C"/>
    <w:rsid w:val="00894824"/>
    <w:rsid w:val="008F4791"/>
    <w:rsid w:val="00AA5099"/>
    <w:rsid w:val="00AA59BC"/>
    <w:rsid w:val="00AB6F99"/>
    <w:rsid w:val="00CB5FCE"/>
    <w:rsid w:val="00D27EF9"/>
    <w:rsid w:val="00F0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0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F47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7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5</cp:revision>
  <dcterms:created xsi:type="dcterms:W3CDTF">2016-02-04T10:36:00Z</dcterms:created>
  <dcterms:modified xsi:type="dcterms:W3CDTF">2016-02-04T12:08:00Z</dcterms:modified>
</cp:coreProperties>
</file>