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2410C"/>
        </w:rPr>
        <w:t>CompliGuard AI</w:t>
      </w:r>
    </w:p>
    <w:p>
      <w:r>
        <w:rPr>
          <w:i/>
          <w:color w:val="6B7280"/>
          <w:sz w:val="24"/>
        </w:rPr>
        <w:t>Multi-Agent AML Investigation System — the 6 stages and the 16 agents</w:t>
      </w:r>
    </w:p>
    <w:p/>
    <w:p>
      <w:r>
        <w:t>CompliGuard AI takes one suspicious-activity alert and turns it into a fully investigated, scored, explainable, and auditable case — drafting a Suspicious Activity Report (SAR) when warranted — while a human analyst keeps the final say. It never files anything automatically. The design is hybrid: deterministic rules own the decisions (auditable), and a local Qwen LLM reasons and explains.</w:t>
      </w:r>
    </w:p>
    <w:p>
      <w:pPr>
        <w:pStyle w:val="Heading1"/>
      </w:pPr>
      <w:r>
        <w:rPr>
          <w:color w:val="C2410C"/>
        </w:rPr>
        <w:t>How a case flows</w:t>
      </w:r>
    </w:p>
    <w:p>
      <w:pPr>
        <w:pStyle w:val="ListParagraph"/>
      </w:pPr>
      <w:r>
        <w:t>1.  An alert is ingested (customer, reason, recipient, amount, jurisdiction).</w:t>
      </w:r>
    </w:p>
    <w:p>
      <w:pPr>
        <w:pStyle w:val="ListParagraph"/>
      </w:pPr>
      <w:r>
        <w:t>2.  It is triaged (type, severity, provisional priority) and data quality is graded.</w:t>
      </w:r>
    </w:p>
    <w:p>
      <w:pPr>
        <w:pStyle w:val="ListParagraph"/>
      </w:pPr>
      <w:r>
        <w:t>3.  If essential records are missing, the case halts for more information.</w:t>
      </w:r>
    </w:p>
    <w:p>
      <w:pPr>
        <w:pStyle w:val="ListParagraph"/>
      </w:pPr>
      <w:r>
        <w:t>4.  Eight investigation agents run in parallel, each emitting structured evidence.</w:t>
      </w:r>
    </w:p>
    <w:p>
      <w:pPr>
        <w:pStyle w:val="ListParagraph"/>
      </w:pPr>
      <w:r>
        <w:t>5.  Risk is scored (rules blended with an independent LLM assessment).</w:t>
      </w:r>
    </w:p>
    <w:p>
      <w:pPr>
        <w:pStyle w:val="ListParagraph"/>
      </w:pPr>
      <w:r>
        <w:t>6.  A fail-safe router disposes the case: auto-close, false-positive review, manual review, or SAR.</w:t>
      </w:r>
    </w:p>
    <w:p>
      <w:pPr>
        <w:pStyle w:val="ListParagraph"/>
      </w:pPr>
      <w:r>
        <w:t>7.  High-risk cases get a 12-section SAR draft, checked against the evidence.</w:t>
      </w:r>
    </w:p>
    <w:p>
      <w:pPr>
        <w:pStyle w:val="ListParagraph"/>
      </w:pPr>
      <w:r>
        <w:t>8.  A human analyst approves / rejects / edits — and their feedback trains the system.</w:t>
      </w:r>
    </w:p>
    <w:p>
      <w:pPr>
        <w:pStyle w:val="ListParagraph"/>
      </w:pPr>
      <w:r>
        <w:t>9.  Everything is persisted to an audit store and is fully traceable.</w:t>
      </w:r>
    </w:p>
    <w:p/>
    <w:p>
      <w:pPr>
        <w:pStyle w:val="Heading1"/>
      </w:pPr>
      <w:r>
        <w:rPr>
          <w:color w:val="C2410C"/>
        </w:rPr>
        <w:t>Stage 1 — Intake &amp; Triage</w:t>
      </w:r>
    </w:p>
    <w:p>
      <w:r>
        <w:rPr>
          <w:i/>
          <w:color w:val="6B7280"/>
        </w:rPr>
        <w:t>First-pass handling of the incoming alert before any investigation.</w:t>
      </w:r>
    </w:p>
    <w:p>
      <w:pPr>
        <w:pStyle w:val="ListBullet"/>
      </w:pPr>
      <w:r>
        <w:rPr>
          <w:b/>
        </w:rPr>
        <w:t xml:space="preserve">Alert Intake Agent — </w:t>
      </w:r>
      <w:r>
        <w:t>Classifies the alert type (structuring, mule, layering, …) and severity, assigns a provisional P1–P4 priority, extracts the key entities (parties, amount, jurisdiction), and routes the case.</w:t>
      </w:r>
    </w:p>
    <w:p>
      <w:pPr>
        <w:pStyle w:val="ListBullet"/>
      </w:pPr>
      <w:r>
        <w:rPr>
          <w:b/>
        </w:rPr>
        <w:t xml:space="preserve">Data Quality Gate — </w:t>
      </w:r>
      <w:r>
        <w:t>Grades the available data GOOD / PARTIAL / POOR / CRITICAL_MISSING with a 0–100 score. If the customer profile or transaction history is missing, it HALTS the case (NEEDS_MORE_INFORMATION) instead of investigating blind.</w:t>
      </w:r>
    </w:p>
    <w:p/>
    <w:p>
      <w:pPr>
        <w:pStyle w:val="Heading1"/>
      </w:pPr>
      <w:r>
        <w:rPr>
          <w:color w:val="C2410C"/>
        </w:rPr>
        <w:t>Stage 2 — Parallel Investigation (8 agents run at the same time)</w:t>
      </w:r>
    </w:p>
    <w:p>
      <w:r>
        <w:rPr>
          <w:i/>
          <w:color w:val="6B7280"/>
        </w:rPr>
        <w:t>Eight specialised agents gather independent signals simultaneously. Each one emits a structured EvidenceItem (with a traceable ID), an audit rationale with a confidence score, and model-governance metadata.</w:t>
      </w:r>
    </w:p>
    <w:p>
      <w:pPr>
        <w:pStyle w:val="ListBullet"/>
      </w:pPr>
      <w:r>
        <w:rPr>
          <w:b/>
        </w:rPr>
        <w:t xml:space="preserve">Transaction Analysis Agent — </w:t>
      </w:r>
      <w:r>
        <w:t>Detects the money-laundering typology (structuring, money mule, layering/dispersion, high-risk overseas, volume spike) using the rule engine + Qwen, and computes the account's behaviour baseline (normal amounts, countries, hours, dormancy).</w:t>
      </w:r>
    </w:p>
    <w:p>
      <w:pPr>
        <w:pStyle w:val="ListBullet"/>
      </w:pPr>
      <w:r>
        <w:rPr>
          <w:b/>
        </w:rPr>
        <w:t xml:space="preserve">Transaction Timeline Agent — </w:t>
      </w:r>
      <w:r>
        <w:t>Reconstructs the case as a chronological, annotated timeline, adding a plain-language risk note to each event (e.g. 'first transfer to a new overseas recipient', 'near-threshold transfer', 'dormant account reactivation').</w:t>
      </w:r>
    </w:p>
    <w:p>
      <w:pPr>
        <w:pStyle w:val="ListBullet"/>
      </w:pPr>
      <w:r>
        <w:rPr>
          <w:b/>
        </w:rPr>
        <w:t xml:space="preserve">Relationship Graph Agent — </w:t>
      </w:r>
      <w:r>
        <w:t>Builds the money-flow network and looks for laundering signatures: fan-out (dispersion), rapid hop-by-hop forwarding (mules), convergence on a common collector, circular flow, and the possible layering path — producing a graph risk score.</w:t>
      </w:r>
    </w:p>
    <w:p>
      <w:pPr>
        <w:pStyle w:val="ListBullet"/>
      </w:pPr>
      <w:r>
        <w:rPr>
          <w:b/>
        </w:rPr>
        <w:t xml:space="preserve">KYC Profile Agent — </w:t>
      </w:r>
      <w:r>
        <w:t>Runs five consistency checks (income vs activity, occupation, account age, risk category, prior alerts) and triggers Enhanced Due Diligence (EDD) when the profile cannot explain the activity.</w:t>
      </w:r>
    </w:p>
    <w:p>
      <w:pPr>
        <w:pStyle w:val="ListBullet"/>
      </w:pPr>
      <w:r>
        <w:rPr>
          <w:b/>
        </w:rPr>
        <w:t xml:space="preserve">Watchlist Screening Agent — </w:t>
      </w:r>
      <w:r>
        <w:t>Fuzzy-screens BOTH the customer and the recipient against sanctions, PEP, internal-blacklist and scam lists. A name match is never auto-cleared — it always requires a human.</w:t>
      </w:r>
    </w:p>
    <w:p>
      <w:pPr>
        <w:pStyle w:val="ListBullet"/>
      </w:pPr>
      <w:r>
        <w:rPr>
          <w:b/>
        </w:rPr>
        <w:t xml:space="preserve">Adverse Media Agent — </w:t>
      </w:r>
      <w:r>
        <w:t>Searches the live web (Google News) for negative news — fraud, investigations, enforcement — about both parties, catching entities before they are formally listed. Falls back to a curated list when offline.</w:t>
      </w:r>
    </w:p>
    <w:p>
      <w:pPr>
        <w:pStyle w:val="ListBullet"/>
      </w:pPr>
      <w:r>
        <w:rPr>
          <w:b/>
        </w:rPr>
        <w:t xml:space="preserve">Policy RAG Agent — </w:t>
      </w:r>
      <w:r>
        <w:t>Retrieves the most relevant internal AML policies using two-stage RAG (vector recall + cross-encoder reranking) over heading-chunked documents, returning scored, section-level citations.</w:t>
      </w:r>
    </w:p>
    <w:p>
      <w:pPr>
        <w:pStyle w:val="ListBullet"/>
      </w:pPr>
      <w:r>
        <w:rPr>
          <w:b/>
        </w:rPr>
        <w:t xml:space="preserve">Case Memory Agent — </w:t>
      </w:r>
      <w:r>
        <w:t>Looks up the customer's history across past investigations — prior cases, escalations, repeat recipients — and learns from analyst false-positive feedback to lower confidence on similar future cases.</w:t>
      </w:r>
    </w:p>
    <w:p/>
    <w:p>
      <w:pPr>
        <w:pStyle w:val="Heading1"/>
      </w:pPr>
      <w:r>
        <w:rPr>
          <w:color w:val="C2410C"/>
        </w:rPr>
        <w:t>Stage 3 — Risk Scoring</w:t>
      </w:r>
    </w:p>
    <w:p>
      <w:r>
        <w:rPr>
          <w:i/>
          <w:color w:val="6B7280"/>
        </w:rPr>
        <w:t>All findings are combined into a single, explainable risk decision.</w:t>
      </w:r>
    </w:p>
    <w:p>
      <w:pPr>
        <w:pStyle w:val="ListBullet"/>
      </w:pPr>
      <w:r>
        <w:rPr>
          <w:b/>
        </w:rPr>
        <w:t xml:space="preserve">Risk Scoring Agent — </w:t>
      </w:r>
      <w:r>
        <w:t>Blends a transparent rule-based baseline with an independent Qwen assessment to produce the final score and risk level. It emits a factor-by-factor breakdown where each factor references evidence by ID, a calibrated confidence (derived from data quality, policy found, tool failures and evidence strength — not LLM self-report), and a risk-aware priority + SLA deadline.</w:t>
      </w:r>
    </w:p>
    <w:p/>
    <w:p>
      <w:pPr>
        <w:pStyle w:val="Heading1"/>
      </w:pPr>
      <w:r>
        <w:rPr>
          <w:color w:val="C2410C"/>
        </w:rPr>
        <w:t>Stage 4 — Disposition (fail-safe router)</w:t>
      </w:r>
    </w:p>
    <w:p>
      <w:r>
        <w:rPr>
          <w:i/>
          <w:color w:val="6B7280"/>
        </w:rPr>
        <w:t>A fail-safe router decides the case's path — strictest rule wins, and the system never auto-closes a case it could not reliably assess.</w:t>
      </w:r>
    </w:p>
    <w:p>
      <w:pPr>
        <w:pStyle w:val="ListBullet"/>
      </w:pPr>
      <w:r>
        <w:rPr>
          <w:b/>
        </w:rPr>
        <w:t xml:space="preserve">False-Positive Review Agent — </w:t>
      </w:r>
      <w:r>
        <w:t>For a sub-threshold but flagged case, checks whether the activity is explainable (known recipient, supporting invoice, clear economic purpose, no watchlist match, consistent profile) and clears benign cases — but always refers a sanctions name-match to a human.</w:t>
      </w:r>
    </w:p>
    <w:p>
      <w:pPr>
        <w:pStyle w:val="ListBullet"/>
      </w:pPr>
      <w:r>
        <w:rPr>
          <w:b/>
        </w:rPr>
        <w:t xml:space="preserve">Auto-Clearance Agent — </w:t>
      </w:r>
      <w:r>
        <w:t>Instead of silently ending a low-risk case, it produces a professional clearance note: the reason, the specific supporting evidence, and the recommended action (e.g. 'Close with monitoring').</w:t>
      </w:r>
    </w:p>
    <w:p/>
    <w:p>
      <w:pPr>
        <w:pStyle w:val="Heading1"/>
      </w:pPr>
      <w:r>
        <w:rPr>
          <w:color w:val="C2410C"/>
        </w:rPr>
        <w:t>Stage 5 — Reporting</w:t>
      </w:r>
    </w:p>
    <w:p>
      <w:r>
        <w:rPr>
          <w:i/>
          <w:color w:val="6B7280"/>
        </w:rPr>
        <w:t>High-risk cases produce a regulator-style report for human review.</w:t>
      </w:r>
    </w:p>
    <w:p>
      <w:pPr>
        <w:pStyle w:val="ListBullet"/>
      </w:pPr>
      <w:r>
        <w:rPr>
          <w:b/>
        </w:rPr>
        <w:t xml:space="preserve">SAR Drafting Agent — </w:t>
      </w:r>
      <w:r>
        <w:t>Generates a structured 12-section Suspicious Activity Report package (JSON → Markdown / PDF / DOCX), framed explicitly as a DRAFT for a human analyst — never an automatic submission.</w:t>
      </w:r>
    </w:p>
    <w:p>
      <w:pPr>
        <w:pStyle w:val="ListBullet"/>
      </w:pPr>
      <w:r>
        <w:rPr>
          <w:b/>
        </w:rPr>
        <w:t xml:space="preserve">Compliance Review Agent — </w:t>
      </w:r>
      <w:r>
        <w:t>Validates that every claim in the draft is backed by evidence and scores the report's completeness and quality before it reaches the analyst.</w:t>
      </w:r>
    </w:p>
    <w:p/>
    <w:p>
      <w:pPr>
        <w:pStyle w:val="Heading1"/>
      </w:pPr>
      <w:r>
        <w:rPr>
          <w:color w:val="C2410C"/>
        </w:rPr>
        <w:t>Stage 6 — Human Approval</w:t>
      </w:r>
    </w:p>
    <w:p>
      <w:r>
        <w:rPr>
          <w:i/>
          <w:color w:val="6B7280"/>
        </w:rPr>
        <w:t>The human-in-the-loop: an analyst always makes the final call.</w:t>
      </w:r>
    </w:p>
    <w:p>
      <w:pPr>
        <w:pStyle w:val="ListBullet"/>
      </w:pPr>
      <w:r>
        <w:rPr>
          <w:b/>
        </w:rPr>
        <w:t xml:space="preserve">Human Approval — </w:t>
      </w:r>
      <w:r>
        <w:t>The paused case is presented to a senior analyst who can approve, reject, edit the SAR, or request more information, and can override the risk level. Their decision and feedback tags are recorded and feed back into Case Memory for future learning.</w:t>
      </w:r>
    </w:p>
    <w:p/>
    <w:p>
      <w:r>
        <w:rPr>
          <w:i/>
          <w:color w:val="6B7280"/>
          <w:sz w:val="19"/>
        </w:rPr>
        <w:t>Underneath the agents: a YAML-driven AML rule engine, ChromaDB RAG with reranking, a structured evidence layer (every claim traceable to an ID), an enforced case-status lifecycle, model governance (every output records model / prompt / ruleset / policy version), and a full Supabase audit trail.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