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937"/>
          <w:sz w:val="26"/>
        </w:rPr>
        <w:t>Compliance</w:t>
      </w:r>
      <w:r>
        <w:rPr>
          <w:b/>
          <w:color w:val="F97316"/>
          <w:sz w:val="26"/>
        </w:rPr>
        <w:t>Guard</w:t>
      </w:r>
      <w:r>
        <w:rPr>
          <w:b/>
          <w:color w:val="F97316"/>
          <w:sz w:val="16"/>
        </w:rPr>
        <w:t xml:space="preserve">        CONFIDENTIAL</w:t>
      </w:r>
    </w:p>
    <w:p>
      <w:r>
        <w:rPr>
          <w:b/>
          <w:color w:val="1F2937"/>
          <w:sz w:val="40"/>
        </w:rPr>
        <w:t>Suspicious Activity Report (DRAFT)</w:t>
      </w:r>
    </w:p>
    <w:p>
      <w:r>
        <w:rPr>
          <w:i/>
          <w:color w:val="6B7280"/>
          <w:sz w:val="21"/>
        </w:rPr>
        <w:t>Draft investigation package - requires human analyst review before STR lodgement with FIED.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6B7280"/>
                <w:sz w:val="18"/>
              </w:rPr>
              <w:t>Case ID</w:t>
            </w:r>
          </w:p>
        </w:tc>
        <w:tc>
          <w:tcPr>
            <w:tcW w:type="dxa" w:w="4320"/>
          </w:tcPr>
          <w:p>
            <w:r>
              <w:rPr>
                <w:color w:val="1F2937"/>
                <w:sz w:val="19"/>
              </w:rPr>
              <w:t>AML-2026-001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B7280"/>
                <w:sz w:val="18"/>
              </w:rPr>
              <w:t>Customer</w:t>
            </w:r>
          </w:p>
        </w:tc>
        <w:tc>
          <w:tcPr>
            <w:tcW w:type="dxa" w:w="4320"/>
          </w:tcPr>
          <w:p>
            <w:r>
              <w:rPr>
                <w:color w:val="1F2937"/>
                <w:sz w:val="19"/>
              </w:rPr>
              <w:t>CUST-10291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B7280"/>
                <w:sz w:val="18"/>
              </w:rPr>
              <w:t>Alert type</w:t>
            </w:r>
          </w:p>
        </w:tc>
        <w:tc>
          <w:tcPr>
            <w:tcW w:type="dxa" w:w="4320"/>
          </w:tcPr>
          <w:p>
            <w:r>
              <w:rPr>
                <w:color w:val="1F2937"/>
                <w:sz w:val="19"/>
              </w:rPr>
              <w:t>Structuring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B7280"/>
                <w:sz w:val="18"/>
              </w:rPr>
              <w:t>Date generated</w:t>
            </w:r>
          </w:p>
        </w:tc>
        <w:tc>
          <w:tcPr>
            <w:tcW w:type="dxa" w:w="4320"/>
          </w:tcPr>
          <w:p>
            <w:r>
              <w:rPr>
                <w:color w:val="1F2937"/>
                <w:sz w:val="19"/>
              </w:rPr>
              <w:t>2026-06-26 15:35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B7280"/>
                <w:sz w:val="18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color w:val="1F2937"/>
                <w:sz w:val="19"/>
              </w:rPr>
              <w:t>Awaiting Analyst Review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B7280"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color w:val="1F2937"/>
                <w:sz w:val="19"/>
              </w:rPr>
              <w:t>P1  (Critical - immediate review)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B7280"/>
                <w:sz w:val="18"/>
              </w:rPr>
              <w:t>Risk</w:t>
            </w:r>
          </w:p>
        </w:tc>
        <w:tc>
          <w:tcPr>
            <w:tcW w:type="dxa" w:w="4320"/>
          </w:tcPr>
          <w:p>
            <w:r>
              <w:rPr>
                <w:color w:val="1F2937"/>
                <w:sz w:val="19"/>
              </w:rPr>
              <w:t>82/100  -  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B7280"/>
                <w:sz w:val="18"/>
              </w:rPr>
              <w:t>Prepared by</w:t>
            </w:r>
          </w:p>
        </w:tc>
        <w:tc>
          <w:tcPr>
            <w:tcW w:type="dxa" w:w="4320"/>
          </w:tcPr>
          <w:p>
            <w:r>
              <w:rPr>
                <w:color w:val="1F2937"/>
                <w:sz w:val="19"/>
              </w:rPr>
              <w:t>CompliGuard AI - multi-agent investigation</w:t>
            </w:r>
          </w:p>
        </w:tc>
      </w:tr>
    </w:tbl>
    <w:p/>
    <w:p>
      <w:pPr>
        <w:pStyle w:val="Heading1"/>
      </w:pPr>
      <w:r>
        <w:rPr>
          <w:color w:val="F97316"/>
        </w:rPr>
        <w:t>Case Overview</w:t>
      </w:r>
    </w:p>
    <w:p>
      <w:pPr>
        <w:pStyle w:val="ListBullet"/>
      </w:pPr>
      <w:r>
        <w:rPr>
          <w:sz w:val="19"/>
        </w:rPr>
        <w:t>Case ID: AML-2026-001</w:t>
      </w:r>
    </w:p>
    <w:p>
      <w:pPr>
        <w:pStyle w:val="ListBullet"/>
      </w:pPr>
      <w:r>
        <w:rPr>
          <w:sz w:val="19"/>
        </w:rPr>
        <w:t>Customer ID: CUST-10291</w:t>
      </w:r>
    </w:p>
    <w:p>
      <w:pPr>
        <w:pStyle w:val="ListBullet"/>
      </w:pPr>
      <w:r>
        <w:rPr>
          <w:sz w:val="19"/>
        </w:rPr>
        <w:t>Status: AWAITING_ANALYST_REVIEW</w:t>
      </w:r>
    </w:p>
    <w:p>
      <w:pPr>
        <w:pStyle w:val="ListBullet"/>
      </w:pPr>
      <w:r>
        <w:rPr>
          <w:sz w:val="19"/>
        </w:rPr>
        <w:t>Alert type: Structuring  |  Priority: P1</w:t>
      </w:r>
    </w:p>
    <w:p>
      <w:pPr>
        <w:pStyle w:val="Heading1"/>
      </w:pPr>
      <w:r>
        <w:rPr>
          <w:color w:val="F97316"/>
        </w:rPr>
        <w:t>Risk Assessment</w:t>
      </w:r>
    </w:p>
    <w:p>
      <w:pPr>
        <w:pStyle w:val="ListBullet"/>
      </w:pPr>
      <w:r>
        <w:rPr>
          <w:sz w:val="19"/>
        </w:rPr>
        <w:t>Final score: 82/100 (HIGH)</w:t>
      </w:r>
    </w:p>
    <w:p>
      <w:pPr>
        <w:pStyle w:val="ListBullet"/>
      </w:pPr>
      <w:r>
        <w:rPr>
          <w:sz w:val="19"/>
        </w:rPr>
        <w:t>Rule baseline: 85  |  AI assessment: 80</w:t>
      </w:r>
    </w:p>
    <w:p>
      <w:pPr>
        <w:pStyle w:val="ListBullet"/>
      </w:pPr>
      <w:r>
        <w:rPr>
          <w:sz w:val="19"/>
        </w:rPr>
        <w:t>Recommendation: Escalate for STR determination.</w:t>
      </w:r>
    </w:p>
    <w:p>
      <w:pPr>
        <w:pStyle w:val="ListBullet"/>
      </w:pPr>
      <w:r>
        <w:rPr>
          <w:sz w:val="19"/>
        </w:rPr>
        <w:t>Explanation: Sub-threshold structuring to a new high-risk overseas recipient.</w:t>
      </w:r>
    </w:p>
    <w:p>
      <w:pPr>
        <w:pStyle w:val="Heading1"/>
      </w:pPr>
      <w:r>
        <w:rPr>
          <w:color w:val="F97316"/>
        </w:rPr>
        <w:t>Triggered AML Rules</w:t>
      </w:r>
    </w:p>
    <w:p>
      <w:pPr>
        <w:pStyle w:val="ListBullet"/>
      </w:pPr>
      <w:r>
        <w:rPr>
          <w:sz w:val="19"/>
        </w:rPr>
        <w:t>[AML-STRUCT-001] +25 Structuring / Smurfing (HIGH) - 3 transfers between RM9,000 and RM10,000 within 24h. [evidence: EV-TXN-001, EV-TXN-003]</w:t>
      </w:r>
    </w:p>
    <w:p>
      <w:pPr>
        <w:pStyle w:val="ListBullet"/>
      </w:pPr>
      <w:r>
        <w:rPr>
          <w:sz w:val="19"/>
        </w:rPr>
        <w:t>[AML-GEO-001] +20 High-Risk Overseas Transfer (MEDIUM_HIGH) - Transfer to Cambodia. [evidence: EV-TXN-002]</w:t>
      </w:r>
    </w:p>
    <w:p>
      <w:pPr>
        <w:pStyle w:val="Heading1"/>
      </w:pPr>
      <w:r>
        <w:rPr>
          <w:color w:val="F97316"/>
        </w:rPr>
        <w:t>Agent Findings</w:t>
      </w:r>
    </w:p>
    <w:p>
      <w:pPr>
        <w:pStyle w:val="ListBullet"/>
      </w:pPr>
      <w:r>
        <w:rPr>
          <w:sz w:val="19"/>
        </w:rPr>
        <w:t>Typology: structuring</w:t>
      </w:r>
    </w:p>
    <w:p>
      <w:pPr>
        <w:pStyle w:val="ListBullet"/>
      </w:pPr>
      <w:r>
        <w:rPr>
          <w:sz w:val="19"/>
        </w:rPr>
        <w:t>KYC: inconsistent | checks failed: ['income_mismatch'] | EDD: True</w:t>
      </w:r>
    </w:p>
    <w:p>
      <w:pPr>
        <w:pStyle w:val="ListBullet"/>
      </w:pPr>
      <w:r>
        <w:rPr>
          <w:sz w:val="19"/>
        </w:rPr>
        <w:t>Watchlist: Possible match (best 88% on INTERNAL_BLACKLIST)</w:t>
      </w:r>
    </w:p>
    <w:p>
      <w:pPr>
        <w:pStyle w:val="ListBullet"/>
      </w:pPr>
      <w:r>
        <w:rPr>
          <w:sz w:val="19"/>
        </w:rPr>
        <w:t>Memory: No prior history</w:t>
      </w:r>
    </w:p>
    <w:p>
      <w:pPr>
        <w:pStyle w:val="Heading1"/>
      </w:pPr>
      <w:r>
        <w:rPr>
          <w:color w:val="F97316"/>
        </w:rPr>
        <w:t>Policy References</w:t>
      </w:r>
    </w:p>
    <w:p>
      <w:pPr>
        <w:pStyle w:val="ListBullet"/>
      </w:pPr>
      <w:r>
        <w:rPr>
          <w:sz w:val="19"/>
        </w:rPr>
        <w:t>MY-AML-STR-001: Malaysia Suspicious Transaction Review Policy (section 3)</w:t>
      </w:r>
    </w:p>
    <w:p>
      <w:pPr>
        <w:pStyle w:val="Heading1"/>
      </w:pPr>
      <w:r>
        <w:rPr>
          <w:color w:val="F97316"/>
        </w:rPr>
        <w:t>SAR Draft</w:t>
      </w:r>
    </w:p>
    <w:p>
      <w:pPr>
        <w:pStyle w:val="ListBullet"/>
      </w:pPr>
      <w:r>
        <w:rPr>
          <w:sz w:val="19"/>
        </w:rPr>
        <w:t>1. Customer Information ...</w:t>
      </w:r>
    </w:p>
    <w:p>
      <w:pPr>
        <w:pStyle w:val="Heading1"/>
      </w:pPr>
      <w:r>
        <w:rPr>
          <w:color w:val="F97316"/>
        </w:rPr>
        <w:t>Evidence Register</w:t>
      </w:r>
    </w:p>
    <w:p>
      <w:pPr>
        <w:pStyle w:val="ListBullet"/>
      </w:pPr>
      <w:r>
        <w:rPr>
          <w:sz w:val="19"/>
        </w:rPr>
        <w:t>[EV-TXN-001] transaction/TXN-8801.amount = 9800 - RM9,800 to Global Trade Ltd (Cambodia)</w:t>
      </w:r>
    </w:p>
    <w:p>
      <w:pPr>
        <w:pStyle w:val="Heading1"/>
      </w:pPr>
      <w:r>
        <w:rPr>
          <w:color w:val="F97316"/>
        </w:rPr>
        <w:t>Audit Timeline</w:t>
      </w:r>
    </w:p>
    <w:p>
      <w:pPr>
        <w:pStyle w:val="ListBullet"/>
      </w:pPr>
      <w:r>
        <w:rPr>
          <w:sz w:val="19"/>
        </w:rPr>
        <w:t>10:00:01 - Alert Intake Agent triaged</w:t>
      </w:r>
    </w:p>
    <w:p>
      <w:pPr>
        <w:pStyle w:val="ListBullet"/>
      </w:pPr>
      <w:r>
        <w:rPr>
          <w:sz w:val="19"/>
        </w:rPr>
        <w:t>10:00:05 - Risk Scoring Agent scored 82/100</w:t>
      </w:r>
    </w:p>
    <w:p/>
    <w:p>
      <w:r>
        <w:rPr>
          <w:i/>
          <w:color w:val="6B7280"/>
          <w:sz w:val="17"/>
        </w:rPr>
        <w:t>AI-generated DRAFT investigation package. Requires human analyst review and sign-off before any STR is lodged with FIED.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ComplianceGuard AI  ·  Confidential  ·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