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384048" cy="384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ianceGuard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b/>
          <w:color w:val="1F2937"/>
          <w:sz w:val="26"/>
        </w:rPr>
        <w:t>Compliance</w:t>
      </w:r>
      <w:r>
        <w:rPr>
          <w:b/>
          <w:color w:val="F97316"/>
          <w:sz w:val="26"/>
        </w:rPr>
        <w:t>Guard</w:t>
      </w:r>
      <w:r>
        <w:rPr>
          <w:b/>
          <w:color w:val="F97316"/>
          <w:sz w:val="16"/>
        </w:rPr>
        <w:t xml:space="preserve">        CONFIDENTIAL</w:t>
      </w:r>
    </w:p>
    <w:p>
      <w:r>
        <w:rPr>
          <w:b/>
          <w:color w:val="1F2937"/>
          <w:sz w:val="40"/>
        </w:rPr>
        <w:t>Suspicious Activity Report (DRAFT)</w:t>
      </w:r>
    </w:p>
    <w:p>
      <w:r>
        <w:rPr>
          <w:i/>
          <w:color w:val="6B7280"/>
          <w:sz w:val="21"/>
        </w:rPr>
        <w:t>Generated by ComplianceGuard AI - pending analyst sign-off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6B7280"/>
                <w:sz w:val="18"/>
              </w:rPr>
              <w:t>Case ID</w:t>
            </w:r>
          </w:p>
        </w:tc>
        <w:tc>
          <w:tcPr>
            <w:tcW w:type="dxa" w:w="4320"/>
          </w:tcPr>
          <w:p>
            <w:r>
              <w:rPr>
                <w:color w:val="1F2937"/>
                <w:sz w:val="19"/>
              </w:rPr>
              <w:t>AML-20260628-001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B7280"/>
                <w:sz w:val="18"/>
              </w:rPr>
              <w:t>Customer</w:t>
            </w:r>
          </w:p>
        </w:tc>
        <w:tc>
          <w:tcPr>
            <w:tcW w:type="dxa" w:w="4320"/>
          </w:tcPr>
          <w:p>
            <w:r>
              <w:rPr>
                <w:color w:val="1F2937"/>
                <w:sz w:val="19"/>
              </w:rPr>
              <w:t>Sonny Sanputra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B7280"/>
                <w:sz w:val="18"/>
              </w:rPr>
              <w:t>Alert type</w:t>
            </w:r>
          </w:p>
        </w:tc>
        <w:tc>
          <w:tcPr>
            <w:tcW w:type="dxa" w:w="4320"/>
          </w:tcPr>
          <w:p>
            <w:r>
              <w:rPr>
                <w:color w:val="1F2937"/>
                <w:sz w:val="19"/>
              </w:rPr>
              <w:t>Structuring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B7280"/>
                <w:sz w:val="18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color w:val="1F2937"/>
                <w:sz w:val="19"/>
              </w:rPr>
              <w:t>Awaiting analyst review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B7280"/>
                <w:sz w:val="18"/>
              </w:rPr>
              <w:t>Risk</w:t>
            </w:r>
          </w:p>
        </w:tc>
        <w:tc>
          <w:tcPr>
            <w:tcW w:type="dxa" w:w="4320"/>
          </w:tcPr>
          <w:p>
            <w:r>
              <w:rPr>
                <w:color w:val="1F2937"/>
                <w:sz w:val="19"/>
              </w:rPr>
              <w:t>HIGH (82/100)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B7280"/>
                <w:sz w:val="18"/>
              </w:rPr>
              <w:t>Prepared by</w:t>
            </w:r>
          </w:p>
        </w:tc>
        <w:tc>
          <w:tcPr>
            <w:tcW w:type="dxa" w:w="4320"/>
          </w:tcPr>
          <w:p>
            <w:r>
              <w:rPr>
                <w:color w:val="1F2937"/>
                <w:sz w:val="19"/>
              </w:rPr>
              <w:t>ComplianceGuard AI</w:t>
            </w:r>
          </w:p>
        </w:tc>
      </w:tr>
    </w:tbl>
    <w:p/>
    <w:p>
      <w:pPr>
        <w:pStyle w:val="Heading1"/>
      </w:pPr>
      <w:r>
        <w:rPr>
          <w:color w:val="F97316"/>
        </w:rPr>
        <w:t>1. Subject</w:t>
      </w:r>
    </w:p>
    <w:p>
      <w:pPr>
        <w:pStyle w:val="ListBullet"/>
      </w:pPr>
      <w:r>
        <w:rPr>
          <w:b/>
          <w:color w:val="1F2937"/>
          <w:sz w:val="19"/>
        </w:rPr>
        <w:t xml:space="preserve">Name: </w:t>
      </w:r>
      <w:r>
        <w:rPr>
          <w:color w:val="1F2937"/>
          <w:sz w:val="19"/>
        </w:rPr>
        <w:t>Sonny Sanputra</w:t>
      </w:r>
    </w:p>
    <w:p>
      <w:pPr>
        <w:pStyle w:val="ListBullet"/>
      </w:pPr>
      <w:r>
        <w:rPr>
          <w:b/>
          <w:color w:val="1F2937"/>
          <w:sz w:val="19"/>
        </w:rPr>
        <w:t xml:space="preserve">Customer ID: </w:t>
      </w:r>
      <w:r>
        <w:rPr>
          <w:color w:val="1F2937"/>
          <w:sz w:val="19"/>
        </w:rPr>
        <w:t>CUST-TEST-01</w:t>
      </w:r>
    </w:p>
    <w:p>
      <w:pPr>
        <w:pStyle w:val="ListBullet"/>
      </w:pPr>
      <w:r>
        <w:rPr>
          <w:b/>
          <w:color w:val="1F2937"/>
          <w:sz w:val="19"/>
        </w:rPr>
        <w:t xml:space="preserve">Occupation: </w:t>
      </w:r>
      <w:r>
        <w:rPr>
          <w:color w:val="1F2937"/>
          <w:sz w:val="19"/>
        </w:rPr>
        <w:t>Junior Clerk with a declared monthly income of RM4,000, which is materially inconsistent with the transfer volume observed during the review period.</w:t>
      </w:r>
    </w:p>
    <w:p>
      <w:pPr>
        <w:pStyle w:val="ListBullet"/>
      </w:pPr>
      <w:r>
        <w:rPr>
          <w:b/>
          <w:color w:val="1F2937"/>
          <w:sz w:val="19"/>
        </w:rPr>
        <w:t xml:space="preserve">Account age: </w:t>
      </w:r>
      <w:r>
        <w:rPr>
          <w:color w:val="1F2937"/>
          <w:sz w:val="19"/>
        </w:rPr>
        <w:t>14 months</w:t>
      </w:r>
    </w:p>
    <w:p>
      <w:pPr>
        <w:pStyle w:val="Heading1"/>
      </w:pPr>
      <w:r>
        <w:rPr>
          <w:color w:val="F97316"/>
        </w:rPr>
        <w:t>2. Suspicious Activity</w:t>
      </w:r>
    </w:p>
    <w:p>
      <w:pPr>
        <w:pStyle w:val="ListBullet"/>
      </w:pPr>
      <w:r>
        <w:rPr>
          <w:b/>
          <w:color w:val="1F2937"/>
          <w:sz w:val="19"/>
        </w:rPr>
        <w:t xml:space="preserve">Typology: </w:t>
      </w:r>
      <w:r>
        <w:rPr>
          <w:color w:val="1F2937"/>
          <w:sz w:val="19"/>
        </w:rPr>
        <w:t>Structuring (smurfing)</w:t>
      </w:r>
    </w:p>
    <w:p>
      <w:pPr>
        <w:pStyle w:val="ListBullet"/>
      </w:pPr>
      <w:r>
        <w:rPr>
          <w:color w:val="1F2937"/>
          <w:sz w:val="19"/>
        </w:rPr>
        <w:t>The customer executed three transfers of RM9,800 each to Global Trade Ltd within a single day, each deliberately just below the RM10,000 cash transaction reporting threshold.</w:t>
      </w:r>
    </w:p>
    <w:p/>
    <w:p>
      <w:r>
        <w:rPr>
          <w:i/>
          <w:color w:val="6B7280"/>
          <w:sz w:val="17"/>
        </w:rPr>
        <w:t>AI-generated DRAFT investigation package. Requires human analyst review and sign-off before any STR is lodged with FIED.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ComplianceGuard AI  ·  Confidential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