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entury Gothic" w:cs="Century Gothic" w:eastAsia="Century Gothic" w:hAnsi="Century Gothic"/>
          <w:b/>
          <w:bCs/>
          <w:color w:val="6B4226"/>
          <w:sz w:val="36"/>
          <w:szCs w:val="36"/>
        </w:rPr>
        <w:t xml:space="preserve">SONNY STEELE</w:t>
      </w:r>
    </w:p>
    <w:p>
      <w:pPr>
        <w:spacing w:after="80"/>
        <w:jc w:val="center"/>
      </w:pPr>
      <w:r>
        <w:rPr>
          <w:rFonts w:ascii="Century Gothic" w:cs="Century Gothic" w:eastAsia="Century Gothic" w:hAnsi="Century Gothic"/>
          <w:i/>
          <w:iCs/>
          <w:color w:val="555555"/>
          <w:sz w:val="21"/>
          <w:szCs w:val="21"/>
        </w:rPr>
        <w:t xml:space="preserve">Director of UX | Principal AI/ML Product Designer</w:t>
      </w:r>
    </w:p>
    <w:p>
      <w:pPr>
        <w:spacing w:after="200"/>
        <w:jc w:val="center"/>
      </w:pPr>
      <w:r>
        <w:rPr>
          <w:rFonts w:ascii="Century Gothic" w:cs="Century Gothic" w:eastAsia="Century Gothic" w:hAnsi="Century Gothic"/>
          <w:color w:val="555555"/>
          <w:sz w:val="18"/>
          <w:szCs w:val="18"/>
        </w:rPr>
        <w:t xml:space="preserve">413.570.6737 | sonny@sonny-steele.com | Olympia, WA | </w:t>
      </w:r>
      <w:hyperlink w:history="1" r:id="rId8pznq9ykiyiko4rmpvca2">
        <w:r>
          <w:rPr>
            <w:rStyle w:val="Hyperlink"/>
            <w:rFonts w:ascii="Century Gothic" w:cs="Century Gothic" w:eastAsia="Century Gothic" w:hAnsi="Century Gothic"/>
            <w:sz w:val="18"/>
            <w:szCs w:val="18"/>
          </w:rPr>
          <w:t xml:space="preserve">Portfolio</w:t>
        </w:r>
      </w:hyperlink>
      <w:r>
        <w:rPr>
          <w:rFonts w:ascii="Century Gothic" w:cs="Century Gothic" w:eastAsia="Century Gothic" w:hAnsi="Century Gothic"/>
          <w:color w:val="555555"/>
          <w:sz w:val="18"/>
          <w:szCs w:val="18"/>
        </w:rPr>
        <w:t xml:space="preserve"> | </w:t>
      </w:r>
      <w:hyperlink w:history="1" r:id="rIdxq4zydm2amkybymj467zi">
        <w:r>
          <w:rPr>
            <w:rStyle w:val="Hyperlink"/>
            <w:rFonts w:ascii="Century Gothic" w:cs="Century Gothic" w:eastAsia="Century Gothic" w:hAnsi="Century Gothic"/>
            <w:sz w:val="18"/>
            <w:szCs w:val="18"/>
          </w:rPr>
          <w:t xml:space="preserve">linkedin.com/in/sonnysteele</w:t>
        </w:r>
      </w:hyperlink>
    </w:p>
    <w:p>
      <w:pPr>
        <w:pBdr>
          <w:bottom w:val="single" w:color="6B4226" w:sz="1" w:space="4"/>
        </w:pBdr>
        <w:spacing w:after="120" w:before="280"/>
      </w:pPr>
      <w:r>
        <w:rPr>
          <w:rFonts w:ascii="Century Gothic" w:cs="Century Gothic" w:eastAsia="Century Gothic" w:hAnsi="Century Gothic"/>
          <w:b/>
          <w:bCs/>
          <w:caps/>
          <w:color w:val="6B4226"/>
          <w:sz w:val="22"/>
          <w:szCs w:val="22"/>
        </w:rPr>
        <w:t xml:space="preserve">PROFESSIONAL SUMMARY</w:t>
      </w:r>
    </w:p>
    <w:p>
      <w:pPr>
        <w:spacing w:after="120" w:before="6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UX executive with 20+ years designing and leading AI/ML product experiences that drive measurable business outcomes. Specialized in transforming complex machine learning systems into intuitive, user-centered interfaces for enterprise users — from conversational AI platforms processing 50M+ monthly interactions to ML model-training tools that cut setup time from 3 weeks to 2 days. Track record of $60M+ combined revenue impact, 35% platform adoption gains, and 92% system failure prevention across AI, healthcare, and e-commerce. Expert at 0-to-1 product design, scaling high-performing design teams, establishing design systems, and navigating HIPAA/FDA/WCAG regulatory requirements.</w:t>
      </w:r>
    </w:p>
    <w:p>
      <w:pPr>
        <w:pBdr>
          <w:bottom w:val="single" w:color="6B4226" w:sz="1" w:space="4"/>
        </w:pBdr>
        <w:spacing w:after="120" w:before="280"/>
      </w:pPr>
      <w:r>
        <w:rPr>
          <w:rFonts w:ascii="Century Gothic" w:cs="Century Gothic" w:eastAsia="Century Gothic" w:hAnsi="Century Gothic"/>
          <w:b/>
          <w:bCs/>
          <w:caps/>
          <w:color w:val="6B4226"/>
          <w:sz w:val="22"/>
          <w:szCs w:val="22"/>
        </w:rPr>
        <w:t xml:space="preserve">IMPACT AT A GLANCE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$60M+ combined revenue impact and cost savings across AI, healthcare, e-commerce, and enterprise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50M+ monthly users served across AI/ML products — conversational AI for Fortune 500 financial institutions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35% platform adoption increase (Kasisto) · 5% conversion lift = $6M revenue (FCP Euro) · 40% decision speed gain (HealthCare.com)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92% system failure prevention rate through anomaly detection UI design at Ottermon AI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FDA 510(k)-compliant medical device interfaces and HIPAA-compliant enterprise healthcare platforms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UX functions from zero at multiple organizations; led 20+ cross-functional teams across the full design lifecycle</w:t>
      </w:r>
    </w:p>
    <w:p>
      <w:pPr>
        <w:pBdr>
          <w:bottom w:val="single" w:color="6B4226" w:sz="1" w:space="4"/>
        </w:pBdr>
        <w:spacing w:after="120" w:before="280"/>
      </w:pPr>
      <w:r>
        <w:rPr>
          <w:rFonts w:ascii="Century Gothic" w:cs="Century Gothic" w:eastAsia="Century Gothic" w:hAnsi="Century Gothic"/>
          <w:b/>
          <w:bCs/>
          <w:caps/>
          <w:color w:val="6B4226"/>
          <w:sz w:val="22"/>
          <w:szCs w:val="22"/>
        </w:rPr>
        <w:t xml:space="preserve">CORE COMPETENCIES</w:t>
      </w:r>
    </w:p>
    <w:p>
      <w:pPr>
        <w:spacing w:after="40" w:before="6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AI/ML UX Design: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Conversational AI interfaces, ML training UIs, anomaly detection systems, AI-powered analytics dashboards, prompt/response UX</w:t>
      </w:r>
    </w:p>
    <w:p>
      <w:pPr>
        <w:spacing w:after="40" w:before="4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Leadership &amp; Strategy: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0-to-1 product design, team building &amp; scaling, design org strategy, roadmap ownership, OKR-aligned execution, DesignOps, stakeholder management</w:t>
      </w:r>
    </w:p>
    <w:p>
      <w:pPr>
        <w:spacing w:after="40" w:before="4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Design Execution: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Figma (advanced: tokens, variants, auto-layout, prototyping), design systems, wireframing, information architecture, user-centered design, WCAG/ADA</w:t>
      </w:r>
    </w:p>
    <w:p>
      <w:pPr>
        <w:spacing w:after="40" w:before="4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Research &amp; Validation: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User research, usability testing (UserTesting, Maze), design thinking, large dataset visualization, analytics dashboard design</w:t>
      </w:r>
    </w:p>
    <w:p>
      <w:pPr>
        <w:spacing w:after="40" w:before="4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Regulatory: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HIPAA, FDA 510(k) UX compliance, WCAG/ADA enterprise standards, financial services regulatory UX</w:t>
      </w:r>
    </w:p>
    <w:p>
      <w:pPr>
        <w:spacing w:after="80" w:before="40"/>
      </w:pPr>
      <w:r>
        <w:rPr>
          <w:rFonts w:ascii="Century Gothic" w:cs="Century Gothic" w:eastAsia="Century Gothic" w:hAnsi="Century Gothic"/>
          <w:b/>
          <w:bCs/>
          <w:color w:val="333333"/>
          <w:sz w:val="19"/>
          <w:szCs w:val="19"/>
        </w:rPr>
        <w:t xml:space="preserve">AI Tools: </w:t>
      </w: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ChatGPT/GPT-4, Claude, Midjourney, Adobe Firefly, Notion AI, Perplexity AI</w:t>
      </w:r>
    </w:p>
    <w:p>
      <w:pPr>
        <w:pBdr>
          <w:bottom w:val="single" w:color="6B4226" w:sz="1" w:space="4"/>
        </w:pBdr>
        <w:spacing w:after="120" w:before="280"/>
      </w:pPr>
      <w:r>
        <w:rPr>
          <w:rFonts w:ascii="Century Gothic" w:cs="Century Gothic" w:eastAsia="Century Gothic" w:hAnsi="Century Gothic"/>
          <w:b/>
          <w:bCs/>
          <w:caps/>
          <w:color w:val="6B4226"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Self-Employed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UX Design Director &amp; Principal AI/ML Consultant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2024 – Present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Director-level UX engagements for enterprise AI companies requiring specialized leadership for ML-powered platforms. Defined UX strategy, owned design roadmaps, and drove OKR-aligned outcomes across client organizations.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Humanyze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Principal AI Designer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Aug 2025 – Jan 2026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social media competitive intelligence platform serving marketing directors and C-suite at Fortune 500 brands.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Redesigned core analytics interface and data visualization strategy, transforming millions of social data points into executive-ready competitive insights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Created sentiment analysis dashboards that reduced executive decision-making time by streamlining competitive analysis workflows; findings presented directly to C-suite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comprehensive component library and design system, establishing scalable UX standards and reducing design-to-dev handoff time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Kasisto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Head of UX Design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2025 – Jul 2025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conversational AI platform powering digital assistants for Fortune 500 financial institutions handling 50M+ monthly customer interactions across 3 product lines.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Drove 35% platform adoption increase by owning end-to-end UX roadmap across 3 product lines — including stakeholder alignment, design strategy, and cross-functional execution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Reduced ML model setup time from 3 weeks to 2 days by redesigning training interfaces to empower non-technical banking professionals; presented ROI case to executive leadership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real-time analytics dashboards supporting performance optimization across 200+ use cases for Fortune 500 banking clients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Defined UX team processes and mentored junior designers in AI/ML UX principles, increasing team velocity and output quality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Ottermon AI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Lead UX Designer, AI Monitoring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Jan 2024 – Jan 2025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Enterprise AI monitoring platform for infrastructure and DevOps teams. Designed UX for anomaly detection and predictive failure systems across 15+ infrastructure modules.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Designed anomaly detection UI that prevented 92% of system failures pre-impact, delivering measurable uptime improvements for enterprise clients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analytics dashboards that reduced mean time to resolution (MTTR) by 50% through actionable data visualization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Owned design system strategy supporting 15+ infrastructure modules, establishing unified UX patterns and scalable component governance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Partnered with ML engineers to design model training interfaces for custom anomaly detection algorithms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Conducted user research with DevOps professionals to map workflow pain points and reduce context switching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HealthCare.com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Senior UX Manager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2022 – 2024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AI-powered healthcare platform matching users with health and supplemental insurance using ML-driven personalization and real-time health scoring.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Improved decision speed by 40% and lowered user costs by 25% by leading design of an AI-driven healthcare recommendation platform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Designed ML-powered health scoring and analytics dashboards that transformed raw health data into preventive, strategic insights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Increased user engagement with preventive care by 35% through predictive health scoring interfaces identifying risks and recommending interventions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Designed HIPAA-compliant UX across cost tracking, benefit optimization, and AI health scoring — enabling enterprise adoption while maintaining regulatory integrity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FCP Euro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Senior UX Director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2020 – 2022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Premier e-commerce platform serving European car enthusiasts with 350,000+ genuine and performance parts. Built the UX function from the ground up.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Generated $6M in additional annual revenue through a 5% conversion rate increase achieved in 3 months — result of a ground-up redesign of the parts-finding experience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Reduced support call volume by 45% through strategic UI improvements informed by call center analytics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and scaled the UX team from zero, establishing data-driven design processes, tooling, and standards across the organization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Wayfair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Senior UX Design Manager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2018 – 2020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Led UX strategy for CastleGate, Wayfair’s $2B+ logistics platform managing ocean freight, drayage, and last-mile delivery for furniture and home goods.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Saved $16M in operational costs by leading system design that reduced supplier time-on-task by 8 hours daily across thousands of active suppliers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Reduced customer success manager time-on-task by 18 hours weekly through information architecture optimization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Managed a cross-functional team of 5 designers, content writers, and PMs; mentored 2 employees off performance improvement plans</w:t>
      </w:r>
    </w:p>
    <w:p>
      <w:pPr>
        <w:tabs>
          <w:tab w:val="right" w:pos="9026"/>
        </w:tabs>
        <w:spacing w:after="40" w:before="200"/>
      </w:pPr>
      <w:r>
        <w:rPr>
          <w:rFonts w:ascii="Century Gothic" w:cs="Century Gothic" w:eastAsia="Century Gothic" w:hAnsi="Century Gothic"/>
          <w:b/>
          <w:bCs/>
          <w:color w:val="333333"/>
          <w:sz w:val="20"/>
          <w:szCs w:val="20"/>
        </w:rPr>
        <w:t xml:space="preserve">Hexaware Technologies</w:t>
      </w:r>
      <w:r>
        <w:rPr>
          <w:rFonts w:ascii="Century Gothic" w:cs="Century Gothic" w:eastAsia="Century Gothic" w:hAnsi="Century Gothic"/>
          <w:color w:val="555555"/>
          <w:sz w:val="20"/>
          <w:szCs w:val="20"/>
        </w:rPr>
        <w:t xml:space="preserve"> — </w:t>
      </w:r>
      <w:r>
        <w:rPr>
          <w:rFonts w:ascii="Century Gothic" w:cs="Century Gothic" w:eastAsia="Century Gothic" w:hAnsi="Century Gothic"/>
          <w:b/>
          <w:bCs/>
          <w:color w:val="6B4226"/>
          <w:sz w:val="20"/>
          <w:szCs w:val="20"/>
        </w:rPr>
        <w:t xml:space="preserve">Principal UX Designer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	</w:t>
      </w:r>
      <w:r>
        <w:rPr>
          <w:rFonts w:ascii="Century Gothic" w:cs="Century Gothic" w:eastAsia="Century Gothic" w:hAnsi="Century Gothic"/>
          <w:i/>
          <w:iCs/>
          <w:color w:val="555555"/>
          <w:sz w:val="19"/>
          <w:szCs w:val="19"/>
        </w:rPr>
        <w:t xml:space="preserve">2011 – 2018</w:t>
      </w:r>
    </w:p>
    <w:p>
      <w:pPr>
        <w:spacing w:after="60" w:before="20"/>
      </w:pPr>
      <w:r>
        <w:rPr>
          <w:rFonts w:ascii="Century Gothic" w:cs="Century Gothic" w:eastAsia="Century Gothic" w:hAnsi="Century Gothic"/>
          <w:i/>
          <w:iCs/>
          <w:color w:val="555555"/>
          <w:sz w:val="18"/>
          <w:szCs w:val="18"/>
        </w:rPr>
        <w:t xml:space="preserve">UX design lead for Fortune 500 enterprise clients across healthcare, retail, fitness, and media.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Increased Panera Bread mobile orders by 40% by designing a menu navigation and customization experience optimized for mobile-first ordering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Designed UPMC healthcare platform improving patient care workflows and medical data integration for clinical staff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Created Weight Watchers wellness platform supporting millions of users with personalized nutrition tracking and community engagement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Built platforms for Wawa, Comcast Tech Nucleus, Reebok ONE, and Weather Channel — spanning retail POS, enterprise tech, fitness wearables, and media</w:t>
      </w:r>
    </w:p>
    <w:p>
      <w:pPr>
        <w:pBdr>
          <w:bottom w:val="single" w:color="6B4226" w:sz="1" w:space="4"/>
        </w:pBdr>
        <w:spacing w:after="120" w:before="280"/>
      </w:pPr>
      <w:r>
        <w:rPr>
          <w:rFonts w:ascii="Century Gothic" w:cs="Century Gothic" w:eastAsia="Century Gothic" w:hAnsi="Century Gothic"/>
          <w:b/>
          <w:bCs/>
          <w:caps/>
          <w:color w:val="6B4226"/>
          <w:sz w:val="22"/>
          <w:szCs w:val="22"/>
        </w:rPr>
        <w:t xml:space="preserve">TOOLS &amp; PLATFORMS</w:t>
      </w:r>
    </w:p>
    <w:p>
      <w:pPr>
        <w:spacing w:after="120" w:before="60"/>
      </w:pPr>
      <w:r>
        <w:rPr>
          <w:rFonts w:ascii="Century Gothic" w:cs="Century Gothic" w:eastAsia="Century Gothic" w:hAnsi="Century Gothic"/>
          <w:color w:val="333333"/>
          <w:sz w:val="19"/>
          <w:szCs w:val="19"/>
        </w:rPr>
        <w:t xml:space="preserve">Figma (advanced) • UserTesting • Maze • JIRA • Trello • Adobe Creative Suite • ChatGPT/GPT-4 • Claude • Midjourney • Adobe Firefly • Notion AI • Perplexity AI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pznq9ykiyiko4rmpvca2" Type="http://schemas.openxmlformats.org/officeDocument/2006/relationships/hyperlink" Target="https://www.figma.com/deck/EFC6yVLOGA2i9ypDImiFr3" TargetMode="External"/><Relationship Id="rIdxq4zydm2amkybymj467zi" Type="http://schemas.openxmlformats.org/officeDocument/2006/relationships/hyperlink" Target="https://linkedin.com/in/sonnysteele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2026-03-21T00:06:42.073Z</dcterms:created>
  <dcterms:modified xsi:type="dcterms:W3CDTF">2026-03-21T00:06:42.074Z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