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entury Gothic" w:cs="Century Gothic" w:eastAsia="Century Gothic" w:hAnsi="Century Gothic"/>
          <w:b/>
          <w:bCs/>
          <w:color w:val="6B3F2A"/>
          <w:spacing w:val="80"/>
          <w:sz w:val="52"/>
          <w:szCs w:val="52"/>
        </w:rPr>
        <w:t xml:space="preserve">SONNY STEELE</w:t>
      </w:r>
    </w:p>
    <w:p>
      <w:pPr>
        <w:spacing w:after="20" w:before="0"/>
        <w:jc w:val="center"/>
      </w:pPr>
      <w:r>
        <w:rPr>
          <w:rFonts w:ascii="Century Gothic" w:cs="Century Gothic" w:eastAsia="Century Gothic" w:hAnsi="Century Gothic"/>
          <w:i/>
          <w:iCs/>
          <w:color w:val="8B5E3C"/>
          <w:sz w:val="22"/>
          <w:szCs w:val="22"/>
        </w:rPr>
        <w:t xml:space="preserve">Director of UX  |  Principal AI/ML Product Designer</w:t>
      </w:r>
    </w:p>
    <w:p>
      <w:pPr>
        <w:spacing w:after="40" w:before="0"/>
        <w:jc w:val="center"/>
      </w:pPr>
      <w:r>
        <w:rPr>
          <w:rFonts w:ascii="Century Gothic" w:cs="Century Gothic" w:eastAsia="Century Gothic" w:hAnsi="Century Gothic"/>
          <w:color w:val="555555"/>
          <w:sz w:val="18"/>
          <w:szCs w:val="18"/>
        </w:rPr>
        <w:t xml:space="preserve">413.570.6737  |  sonny@sonny-steele.com  |  Olympia, WA  |  </w:t>
      </w:r>
      <w:hyperlink w:history="1" r:id="rIdm50p-qlrcvzkyyvgmmly6">
        <w:r>
          <w:rPr>
            <w:rFonts w:ascii="Century Gothic" w:cs="Century Gothic" w:eastAsia="Century Gothic" w:hAnsi="Century Gothic"/>
            <w:color w:val="6B3F2A"/>
            <w:sz w:val="18"/>
            <w:szCs w:val="18"/>
            <w:u w:val="single"/>
          </w:rPr>
          <w:t xml:space="preserve">Portfolio</w:t>
        </w:r>
      </w:hyperlink>
      <w:r>
        <w:rPr>
          <w:rFonts w:ascii="Century Gothic" w:cs="Century Gothic" w:eastAsia="Century Gothic" w:hAnsi="Century Gothic"/>
          <w:color w:val="555555"/>
          <w:sz w:val="18"/>
          <w:szCs w:val="18"/>
        </w:rPr>
        <w:t xml:space="preserve">  |  </w:t>
      </w:r>
      <w:hyperlink w:history="1" r:id="rIdpycq8alhv2tusncs5tetf">
        <w:r>
          <w:rPr>
            <w:rFonts w:ascii="Century Gothic" w:cs="Century Gothic" w:eastAsia="Century Gothic" w:hAnsi="Century Gothic"/>
            <w:color w:val="6B3F2A"/>
            <w:sz w:val="18"/>
            <w:szCs w:val="18"/>
            <w:u w:val="single"/>
          </w:rPr>
          <w:t xml:space="preserve">linkedin.com/in/sonnysteele</w:t>
        </w:r>
      </w:hyperlink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PROFESSIONAL SUMMARY</w:t>
      </w:r>
    </w:p>
    <w:p>
      <w:pPr>
        <w:spacing w:after="60" w:before="8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UX design leader with 20+ years designing and leading AI/ML product experiences that drive measurable business outcomes. Specialized in transforming complex machine learning systems into intuitive, user-centered interfaces for enterprise users — from conversational AI platforms processing 50M+ monthly interactions to ML model-training tools that cut setup time from 3 weeks to 2 days. Track record of $60M+ combined revenue impact, 35% platform adoption gains, and 92% system failure prevention across AI, healthcare, and e-commerce. Expert at 0-to-1 product design, scaling high-performing design teams, establishing design systems, and navigating HIPAA/FDA/WCAG regulatory requirements.</w:t>
      </w:r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IMPACT AT A GLANCE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$60M+ combined revenue impact and cost savings across AI, healthcare, e-commerce, and enterprise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50M+ monthly users served across AI/ML products — conversational AI for Fortune 500 financial institutions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35% platform adoption increase (Kasisto) · 5% conversion lift = $6M revenue (FCP Euro) · 40% decision speed gain (HealthCare.com)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92% system failure prevention rate through anomaly detection UI design at Ottermon AI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FDA 510(k)-compliant medical device interfaces and HIPAA-compliant enterprise healthcare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UX functions from zero at multiple organizations; led 20+ cross-functional teams across the full design lifecycle</w:t>
      </w:r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CORE COMPETENCIES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AI/ML UX Design: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Conversational AI interfaces, ML training UIs, anomaly detection systems, AI-powered analytics dashboards, prompt/response UX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Leadership &amp; Strategy: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0-to-1 product design, product strategy, team building &amp; scaling, design org strategy, roadmap ownership, OKR-aligned execution, DesignOps, stakeholder management, Agile/Scrum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Design Execution: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Figma (advanced: tokens, variants, auto-layout, prototyping), design systems, wireframing, interaction design, information architecture, user-centered design, accessibility, WCAG/ADA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Research &amp; Validation: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User research, usability testing (UserTesting, Maze), design thinking, large dataset visualization, analytics dashboard design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Regulatory: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HIPAA, FDA 510(k) UX compliance, WCAG/ADA enterprise standards, financial services regulatory UX</w:t>
      </w:r>
    </w:p>
    <w:p>
      <w:pPr>
        <w:spacing w:after="30" w:before="30"/>
      </w:pPr>
      <w:r>
        <w:rPr>
          <w:rFonts w:ascii="Century Gothic" w:cs="Century Gothic" w:eastAsia="Century Gothic" w:hAnsi="Century Gothic"/>
          <w:b/>
          <w:bCs/>
          <w:color w:val="6B3F2A"/>
          <w:sz w:val="19"/>
          <w:szCs w:val="19"/>
        </w:rPr>
        <w:t xml:space="preserve">AI Tools: </w:t>
      </w: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ChatGPT/GPT-4, Claude, Midjourney, Adobe Firefly, Notion AI, Perplexity AI</w:t>
      </w:r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entury Gothic" w:cs="Century Gothic" w:eastAsia="Century Gothic" w:hAnsi="Century Gothic"/>
          <w:color w:val="2C2C2C"/>
          <w:sz w:val="18"/>
          <w:szCs w:val="18"/>
        </w:rPr>
        <w:t xml:space="preserve">Advanced Figma: Component Libraries, Auto-Layout, Variants, Design Tokens, Prototyping &amp; Interactive User Flows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entury Gothic" w:cs="Century Gothic" w:eastAsia="Century Gothic" w:hAnsi="Century Gothic"/>
          <w:color w:val="2C2C2C"/>
          <w:sz w:val="18"/>
          <w:szCs w:val="18"/>
        </w:rPr>
        <w:t xml:space="preserve">Design Systems Strategy, Implementation &amp; Governance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entury Gothic" w:cs="Century Gothic" w:eastAsia="Century Gothic" w:hAnsi="Century Gothic"/>
          <w:color w:val="2C2C2C"/>
          <w:sz w:val="18"/>
          <w:szCs w:val="18"/>
        </w:rPr>
        <w:t xml:space="preserve">Interaction Design &amp; Information Architecture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entury Gothic" w:cs="Century Gothic" w:eastAsia="Century Gothic" w:hAnsi="Century Gothic"/>
          <w:color w:val="2C2C2C"/>
          <w:sz w:val="18"/>
          <w:szCs w:val="18"/>
        </w:rPr>
        <w:t xml:space="preserve">Mobile Design &amp; Responsive/Adaptive Interfaces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entury Gothic" w:cs="Century Gothic" w:eastAsia="Century Gothic" w:hAnsi="Century Gothic"/>
          <w:color w:val="2C2C2C"/>
          <w:sz w:val="18"/>
          <w:szCs w:val="18"/>
        </w:rPr>
        <w:t xml:space="preserve">Accessibility Auditing &amp; Inclusive Design (WCAG 2.1 AA)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entury Gothic" w:cs="Century Gothic" w:eastAsia="Century Gothic" w:hAnsi="Century Gothic"/>
          <w:color w:val="2C2C2C"/>
          <w:sz w:val="18"/>
          <w:szCs w:val="18"/>
        </w:rPr>
        <w:t xml:space="preserve">Data Visualization &amp; Dashboard Design for Large-Scale Datasets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entury Gothic" w:cs="Century Gothic" w:eastAsia="Century Gothic" w:hAnsi="Century Gothic"/>
          <w:color w:val="2C2C2C"/>
          <w:sz w:val="18"/>
          <w:szCs w:val="18"/>
        </w:rPr>
        <w:t xml:space="preserve">User Research, Usability Testing &amp; Design Thinking Facilitation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entury Gothic" w:cs="Century Gothic" w:eastAsia="Century Gothic" w:hAnsi="Century Gothic"/>
          <w:color w:val="2C2C2C"/>
          <w:sz w:val="18"/>
          <w:szCs w:val="18"/>
        </w:rPr>
        <w:t xml:space="preserve">Cross-Functional Collaboration (Engineering, Product, Data Science)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entury Gothic" w:cs="Century Gothic" w:eastAsia="Century Gothic" w:hAnsi="Century Gothic"/>
          <w:color w:val="2C2C2C"/>
          <w:sz w:val="18"/>
          <w:szCs w:val="18"/>
        </w:rPr>
        <w:t xml:space="preserve">Agile/Scrum Workflows, Sprint Planning &amp; JIRA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entury Gothic" w:cs="Century Gothic" w:eastAsia="Century Gothic" w:hAnsi="Century Gothic"/>
          <w:color w:val="2C2C2C"/>
          <w:sz w:val="18"/>
          <w:szCs w:val="18"/>
        </w:rPr>
        <w:t xml:space="preserve">Product Strategy, Roadmap Development &amp; OKR Alignment</w:t>
      </w:r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 w:before="180"/>
      </w:pPr>
      <w:r>
        <w:rPr>
          <w:rFonts w:ascii="Century Gothic" w:cs="Century Gothic" w:eastAsia="Century Gothic" w:hAnsi="Century Gothic"/>
          <w:b/>
          <w:bCs/>
          <w:color w:val="6B3F2A"/>
          <w:sz w:val="21"/>
          <w:szCs w:val="21"/>
        </w:rPr>
        <w:t xml:space="preserve">Self-Employed</w:t>
      </w:r>
      <w:r>
        <w:rPr>
          <w:rFonts w:ascii="Century Gothic" w:cs="Century Gothic" w:eastAsia="Century Gothic" w:hAnsi="Century Gothic"/>
          <w:color w:val="555555"/>
          <w:sz w:val="21"/>
          <w:szCs w:val="21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2C2C2C"/>
          <w:sz w:val="21"/>
          <w:szCs w:val="21"/>
        </w:rPr>
        <w:t xml:space="preserve">UX Design Director &amp; Principal AI/ML Consultant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2024 – Present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Director-level UX engagements for enterprise AI companies requiring specialized leadership for ML-powered platforms. Defined UX strategy, owned design roadmaps, and drove OKR-aligned outcomes across client organizations.</w:t>
      </w:r>
    </w:p>
    <w:p>
      <w:pPr>
        <w:tabs>
          <w:tab w:val="right" w:pos="9360"/>
        </w:tabs>
        <w:spacing w:after="20" w:before="140"/>
      </w:pPr>
      <w:r>
        <w:rPr>
          <w:rFonts w:ascii="Century Gothic" w:cs="Century Gothic" w:eastAsia="Century Gothic" w:hAnsi="Century Gothic"/>
          <w:b/>
          <w:bCs/>
          <w:color w:val="8B5E3C"/>
          <w:sz w:val="20"/>
          <w:szCs w:val="20"/>
        </w:rPr>
        <w:t xml:space="preserve">Humanyze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Principal AI Designer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Aug 2025 – Jan 2026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social media competitive intelligence platform serving marketing directors and C-suite at Fortune 500 brands.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Redesigned core analytics interface and data visualization strategy, transforming millions of social data points into executive-ready competitive insights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Created sentiment analysis dashboards that reduced executive decision-making time by streamlining competitive analysis workflows; findings presented directly to C-suite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comprehensive component library and design system, establishing scalable UX standards and reducing design-to-dev handoff time</w:t>
      </w:r>
    </w:p>
    <w:p>
      <w:pPr>
        <w:tabs>
          <w:tab w:val="right" w:pos="9360"/>
        </w:tabs>
        <w:spacing w:after="20" w:before="140"/>
      </w:pPr>
      <w:r>
        <w:rPr>
          <w:rFonts w:ascii="Century Gothic" w:cs="Century Gothic" w:eastAsia="Century Gothic" w:hAnsi="Century Gothic"/>
          <w:b/>
          <w:bCs/>
          <w:color w:val="8B5E3C"/>
          <w:sz w:val="20"/>
          <w:szCs w:val="20"/>
        </w:rPr>
        <w:t xml:space="preserve">Kasisto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Head of UX Design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2025 – Jul 2025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conversational AI platform powering digital assistants for Fortune 500 financial institutions handling 50M+ monthly customer interactions across 3 product lines.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Drove 35% platform adoption increase by owning end-to-end UX roadmap across 3 product lines — including stakeholder alignment, design strategy, and cross-functional execution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Reduced ML model setup time from 3 weeks to 2 days by redesigning training interfaces to empower non-technical banking professionals; presented ROI case to executive leadership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real-time analytics dashboards supporting performance optimization across 200+ use cases for Fortune 500 banking clients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Defined UX team processes and mentored junior designers in AI/ML UX principles, increasing team velocity and output quality</w:t>
      </w:r>
    </w:p>
    <w:p>
      <w:pPr>
        <w:tabs>
          <w:tab w:val="right" w:pos="9360"/>
        </w:tabs>
        <w:spacing w:after="20" w:before="140"/>
      </w:pPr>
      <w:r>
        <w:rPr>
          <w:rFonts w:ascii="Century Gothic" w:cs="Century Gothic" w:eastAsia="Century Gothic" w:hAnsi="Century Gothic"/>
          <w:b/>
          <w:bCs/>
          <w:color w:val="8B5E3C"/>
          <w:sz w:val="20"/>
          <w:szCs w:val="20"/>
        </w:rPr>
        <w:t xml:space="preserve">Ottermon AI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2C2C2C"/>
          <w:sz w:val="20"/>
          <w:szCs w:val="20"/>
        </w:rPr>
        <w:t xml:space="preserve">Lead UX Designer, AI Monitoring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2024 – Jan 2025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AI monitoring platform for infrastructure and DevOps teams. Designed UX for anomaly detection and predictive failure systems across 15+ infrastructure modules.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Designed anomaly detection UI that prevented 92% of system failures pre-impact, delivering measurable uptime improvements for enterprise clients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analytics dashboards that reduced mean time to resolution (MTTR) by 50% through actionable data visualization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Owned design system strategy supporting 15+ infrastructure modules, establishing unified UX patterns and scalable component governance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Partnered with ML engineers to design model training interfaces for custom anomaly detection algorithms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Conducted user research with DevOps professionals to map workflow pain points and reduce context switching</w:t>
      </w:r>
    </w:p>
    <w:p>
      <w:pPr>
        <w:tabs>
          <w:tab w:val="right" w:pos="9360"/>
        </w:tabs>
        <w:spacing w:after="20" w:before="180"/>
      </w:pPr>
      <w:r>
        <w:rPr>
          <w:rFonts w:ascii="Century Gothic" w:cs="Century Gothic" w:eastAsia="Century Gothic" w:hAnsi="Century Gothic"/>
          <w:b/>
          <w:bCs/>
          <w:color w:val="6B3F2A"/>
          <w:sz w:val="21"/>
          <w:szCs w:val="21"/>
        </w:rPr>
        <w:t xml:space="preserve">HealthCare.com</w:t>
      </w:r>
      <w:r>
        <w:rPr>
          <w:rFonts w:ascii="Century Gothic" w:cs="Century Gothic" w:eastAsia="Century Gothic" w:hAnsi="Century Gothic"/>
          <w:color w:val="555555"/>
          <w:sz w:val="21"/>
          <w:szCs w:val="21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2C2C2C"/>
          <w:sz w:val="21"/>
          <w:szCs w:val="21"/>
        </w:rPr>
        <w:t xml:space="preserve">Senior UX Manager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2022 – 2024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AI-powered healthcare platform matching users with health and supplemental insurance using ML-driven personalization and real-time health scoring.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Improved decision speed by 40% and lowered user costs by 25% by leading design of an AI-driven healthcare recommendation platform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Designed ML-powered health scoring and analytics dashboards that transformed raw health data into preventive, strategic insights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Increased user engagement with preventive care by 35% through predictive health scoring interfaces identifying risks and recommending interventions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Designed HIPAA-compliant UX across cost tracking, benefit optimization, and AI health scoring — enabling enterprise adoption while maintaining regulatory integrity</w:t>
      </w:r>
    </w:p>
    <w:p>
      <w:pPr>
        <w:tabs>
          <w:tab w:val="right" w:pos="9360"/>
        </w:tabs>
        <w:spacing w:after="20" w:before="180"/>
      </w:pPr>
      <w:r>
        <w:rPr>
          <w:rFonts w:ascii="Century Gothic" w:cs="Century Gothic" w:eastAsia="Century Gothic" w:hAnsi="Century Gothic"/>
          <w:b/>
          <w:bCs/>
          <w:color w:val="6B3F2A"/>
          <w:sz w:val="21"/>
          <w:szCs w:val="21"/>
        </w:rPr>
        <w:t xml:space="preserve">FCP Euro</w:t>
      </w:r>
      <w:r>
        <w:rPr>
          <w:rFonts w:ascii="Century Gothic" w:cs="Century Gothic" w:eastAsia="Century Gothic" w:hAnsi="Century Gothic"/>
          <w:color w:val="555555"/>
          <w:sz w:val="21"/>
          <w:szCs w:val="21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2C2C2C"/>
          <w:sz w:val="21"/>
          <w:szCs w:val="21"/>
        </w:rPr>
        <w:t xml:space="preserve">Senior UX Director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2020 – 2022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Premier e-commerce platform serving European car enthusiasts with 350,000+ genuine and performance parts. Built the UX function from the ground up.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Generated $6M in additional annual revenue through a 5% conversion rate increase achieved in 3 months — result of a ground-up redesign of the parts-finding experience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Reduced support call volume by 45% through strategic UI improvements informed by call center analytics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and scaled the UX team from zero, establishing data-driven design processes, tooling, and standards across the organization</w:t>
      </w:r>
    </w:p>
    <w:p>
      <w:pPr>
        <w:tabs>
          <w:tab w:val="right" w:pos="9360"/>
        </w:tabs>
        <w:spacing w:after="20" w:before="180"/>
      </w:pPr>
      <w:r>
        <w:rPr>
          <w:rFonts w:ascii="Century Gothic" w:cs="Century Gothic" w:eastAsia="Century Gothic" w:hAnsi="Century Gothic"/>
          <w:b/>
          <w:bCs/>
          <w:color w:val="6B3F2A"/>
          <w:sz w:val="21"/>
          <w:szCs w:val="21"/>
        </w:rPr>
        <w:t xml:space="preserve">Wayfair</w:t>
      </w:r>
      <w:r>
        <w:rPr>
          <w:rFonts w:ascii="Century Gothic" w:cs="Century Gothic" w:eastAsia="Century Gothic" w:hAnsi="Century Gothic"/>
          <w:color w:val="555555"/>
          <w:sz w:val="21"/>
          <w:szCs w:val="21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2C2C2C"/>
          <w:sz w:val="21"/>
          <w:szCs w:val="21"/>
        </w:rPr>
        <w:t xml:space="preserve">Senior UX Design Manager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2018 – 2020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Led UX strategy for CastleGate, Wayfair's $2B+ logistics platform managing ocean freight, drayage, and last-mile delivery for furniture and home goods.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Saved $16M in operational costs by leading system design that reduced supplier time-on-task by 8 hours daily across thousands of active suppliers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Reduced customer success manager time-on-task by 18 hours weekly through information architecture optimization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Managed 5 cross-functional work stream pods — each comprising 3 designers, 1 content writer, and 1 PM; mentored 2 employees off performance improvement plans</w:t>
      </w:r>
    </w:p>
    <w:p>
      <w:pPr>
        <w:tabs>
          <w:tab w:val="right" w:pos="9360"/>
        </w:tabs>
        <w:spacing w:after="20" w:before="180"/>
      </w:pPr>
      <w:r>
        <w:rPr>
          <w:rFonts w:ascii="Century Gothic" w:cs="Century Gothic" w:eastAsia="Century Gothic" w:hAnsi="Century Gothic"/>
          <w:b/>
          <w:bCs/>
          <w:color w:val="6B3F2A"/>
          <w:sz w:val="21"/>
          <w:szCs w:val="21"/>
        </w:rPr>
        <w:t xml:space="preserve">Hexaware Technologies</w:t>
      </w:r>
      <w:r>
        <w:rPr>
          <w:rFonts w:ascii="Century Gothic" w:cs="Century Gothic" w:eastAsia="Century Gothic" w:hAnsi="Century Gothic"/>
          <w:color w:val="555555"/>
          <w:sz w:val="21"/>
          <w:szCs w:val="21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2C2C2C"/>
          <w:sz w:val="21"/>
          <w:szCs w:val="21"/>
        </w:rPr>
        <w:t xml:space="preserve">Principal UX Designer</w:t>
      </w:r>
      <w:r>
        <w:rPr>
          <w:rFonts w:ascii="Century Gothic" w:cs="Century Gothic" w:eastAsia="Century Gothic" w:hAnsi="Century Gothic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2011 – 2018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UX design lead for Fortune 500 enterprise clients across healthcare, retail, fitness, and media.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Increased Panera Bread mobile orders by 40% by designing a menu navigation and customization experience optimized for mobile-first ordering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Designed UPMC healthcare platform improving patient care workflows and medical data integration for clinical staff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Created Weight Watchers wellness platform supporting millions of users with personalized nutrition tracking and community engagement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Built platforms for Wawa, Comcast Tech Nucleus, Reebok ONE, and Weather Channel — spanning retail POS, enterprise tech, fitness wearables, and media</w:t>
      </w:r>
    </w:p>
    <w:p>
      <w:pPr>
        <w:spacing w:after="0" w:before="60"/>
      </w:pPr>
      <w:r>
        <w:t xml:space="preserve"/>
      </w:r>
    </w:p>
    <w:p>
      <w:pPr>
        <w:pBdr>
          <w:bottom w:val="single" w:color="6B3F2A" w:sz="6" w:space="4"/>
        </w:pBdr>
        <w:spacing w:after="60" w:before="200"/>
      </w:pPr>
      <w:r>
        <w:rPr>
          <w:rFonts w:ascii="Century Gothic" w:cs="Century Gothic" w:eastAsia="Century Gothic" w:hAnsi="Century Gothic"/>
          <w:b/>
          <w:bCs/>
          <w:color w:val="6B3F2A"/>
          <w:spacing w:val="60"/>
          <w:sz w:val="22"/>
          <w:szCs w:val="22"/>
        </w:rPr>
        <w:t xml:space="preserve">TOOLS &amp; PLATFORMS</w:t>
      </w:r>
    </w:p>
    <w:p>
      <w:pPr>
        <w:spacing w:after="0" w:before="40"/>
      </w:pPr>
      <w:r>
        <w:t xml:space="preserve"/>
      </w:r>
    </w:p>
    <w:p>
      <w:pPr>
        <w:spacing w:after="0" w:before="0"/>
      </w:pPr>
      <w:r>
        <w:rPr>
          <w:rFonts w:ascii="Century Gothic" w:cs="Century Gothic" w:eastAsia="Century Gothic" w:hAnsi="Century Gothic"/>
          <w:color w:val="2C2C2C"/>
          <w:sz w:val="19"/>
          <w:szCs w:val="19"/>
        </w:rPr>
        <w:t xml:space="preserve">Figma (advanced)  •  UserTesting  •  Maze  •  JIRA  •  Trello  •  Adobe Creative Suite  •  ChatGPT/GPT-4  •  Claude  •  Midjourney  •  Adobe Firefly  •  Notion AI  •  Perplexity AI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50p-qlrcvzkyyvgmmly6" Type="http://schemas.openxmlformats.org/officeDocument/2006/relationships/hyperlink" Target="https://www.figma.com/deck/EFC6yVLOGA2i9ypDImiFr3/Sonny-Steele---Portfolio-2025?node-id=2-2" TargetMode="External"/><Relationship Id="rIdpycq8alhv2tusncs5tetf" Type="http://schemas.openxmlformats.org/officeDocument/2006/relationships/hyperlink" Target="https://linkedin.com/in/sonnysteel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2026-03-22T22:23:55.241Z</dcterms:created>
  <dcterms:modified xsi:type="dcterms:W3CDTF">2026-03-22T22:23:55.242Z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