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/>
      </w:pPr>
      <w:r>
        <w:rPr>
          <w:rFonts w:ascii="Century Gothic" w:cs="Century Gothic" w:eastAsia="Century Gothic" w:hAnsi="Century Gothic"/>
          <w:b/>
          <w:bCs/>
          <w:caps/>
          <w:color w:val="4B3A2E"/>
          <w:spacing w:val="21"/>
          <w:sz w:val="36"/>
          <w:szCs w:val="36"/>
        </w:rPr>
        <w:t xml:space="preserve">SONNY STEELE</w:t>
      </w:r>
    </w:p>
    <w:p>
      <w:pPr>
        <w:spacing w:before="0" w:after="80"/>
      </w:pP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Director of UX  |  Principal AI/ML Product Designer</w:t>
      </w:r>
    </w:p>
    <w:p>
      <w:pPr>
        <w:spacing w:before="0" w:after="920"/>
      </w:pPr>
      <w:r>
        <w:rPr>
          <w:rFonts w:ascii="Century Gothic" w:cs="Century Gothic" w:eastAsia="Century Gothic" w:hAnsi="Century Gothic"/>
          <w:color w:val="7B6A5E"/>
          <w:sz w:val="20"/>
          <w:szCs w:val="20"/>
        </w:rPr>
        <w:t xml:space="preserve">413.570.6737  |  sonny@sonny-steele.com  |  Olympia, WA  |  sonny-steele.com  |  linkedin.com/in/sonnysteele</w:t>
      </w:r>
    </w:p>
    <w:p>
      <w:pPr>
        <w:pBdr>
          <w:bottom w:val="single" w:color="4B3A2E" w:sz="8" w:space="4"/>
        </w:pBdr>
        <w:spacing w:before="320" w:after="200"/>
      </w:pPr>
      <w:r>
        <w:rPr>
          <w:rFonts w:ascii="Century Gothic" w:cs="Century Gothic" w:eastAsia="Century Gothic" w:hAnsi="Century Gothic"/>
          <w:b/>
          <w:bCs/>
          <w:color w:val="4B3A2E"/>
          <w:spacing w:val="21"/>
          <w:sz w:val="26"/>
          <w:szCs w:val="26"/>
        </w:rPr>
        <w:t xml:space="preserve">Professional Summary</w:t>
      </w:r>
    </w:p>
    <w:p>
      <w:pPr>
        <w:spacing w:before="80" w:after="18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UX executive with 20+ years designing and leading AI/ML product experiences that generate measurable business outcomes. Specialized in transforming complex machine learning systems into intuitive interfaces for enterprise users — from conversational AI platforms processing 50M+ monthly interactions to ML model-training tools that cut setup time from 3 weeks to 2 days. Track record of $60M+ combined revenue impact, 35% platform adoption gains, and 92% system failure prevention across AI, healthcare, and e-commerce. Expert at scaling high-performing design teams, establishing design systems, and navigating HIPAA/FDA/WCAG regulatory requirements.</w:t>
      </w:r>
    </w:p>
    <w:p>
      <w:pPr>
        <w:pBdr>
          <w:bottom w:val="single" w:color="4B3A2E" w:sz="8" w:space="4"/>
        </w:pBdr>
        <w:spacing w:before="320" w:after="200"/>
      </w:pPr>
      <w:r>
        <w:rPr>
          <w:rFonts w:ascii="Century Gothic" w:cs="Century Gothic" w:eastAsia="Century Gothic" w:hAnsi="Century Gothic"/>
          <w:b/>
          <w:bCs/>
          <w:color w:val="4B3A2E"/>
          <w:spacing w:val="21"/>
          <w:sz w:val="26"/>
          <w:szCs w:val="26"/>
        </w:rPr>
        <w:t xml:space="preserve">Core Competencies</w:t>
      </w:r>
    </w:p>
    <w:p>
      <w:pPr>
        <w:spacing w:before="6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b/>
          <w:bCs/>
          <w:color w:val="4B3A2E"/>
          <w:sz w:val="20"/>
          <w:szCs w:val="20"/>
        </w:rPr>
        <w:t xml:space="preserve">AI/ML UX Design: </w:t>
      </w: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Conversational AI interfaces, ML training UIs, anomaly detection systems, AI-powered analytics dashboards, prompt/response UX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b/>
          <w:bCs/>
          <w:color w:val="4B3A2E"/>
          <w:sz w:val="20"/>
          <w:szCs w:val="20"/>
        </w:rPr>
        <w:t xml:space="preserve">Leadership: </w:t>
      </w: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Team building &amp; scaling, design org strategy, roadmap ownership, OKR-aligned execution, stakeholder management, Agile/JIRA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b/>
          <w:bCs/>
          <w:color w:val="4B3A2E"/>
          <w:sz w:val="20"/>
          <w:szCs w:val="20"/>
        </w:rPr>
        <w:t xml:space="preserve">Design Execution: </w:t>
      </w: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Figma (advanced: tokens, variants, auto-layout, prototyping), design systems, information architecture, WCAG/ADA accessibility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b/>
          <w:bCs/>
          <w:color w:val="4B3A2E"/>
          <w:sz w:val="20"/>
          <w:szCs w:val="20"/>
        </w:rPr>
        <w:t xml:space="preserve">Research &amp; Data: </w:t>
      </w: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User research, usability testing (UserTesting, Maze), large dataset visualization, analytics dashboard design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b/>
          <w:bCs/>
          <w:color w:val="4B3A2E"/>
          <w:sz w:val="20"/>
          <w:szCs w:val="20"/>
        </w:rPr>
        <w:t xml:space="preserve">Regulatory: </w:t>
      </w: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HIPAA, FDA 510(k) UX compliance, WCAG/ADA enterprise standards, financial services regulatory UX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b/>
          <w:bCs/>
          <w:color w:val="4B3A2E"/>
          <w:sz w:val="20"/>
          <w:szCs w:val="20"/>
        </w:rPr>
        <w:t xml:space="preserve">AI Tools: </w:t>
      </w: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ChatGPT/GPT-4, Claude, Midjourney, Adobe Firefly, Notion AI, Perplexity AI</w:t>
      </w:r>
    </w:p>
    <w:p>
      <w:pPr>
        <w:pBdr>
          <w:bottom w:val="single" w:color="4B3A2E" w:sz="8" w:space="4"/>
        </w:pBdr>
        <w:spacing w:before="320" w:after="200"/>
      </w:pPr>
      <w:r>
        <w:rPr>
          <w:rFonts w:ascii="Century Gothic" w:cs="Century Gothic" w:eastAsia="Century Gothic" w:hAnsi="Century Gothic"/>
          <w:b/>
          <w:bCs/>
          <w:color w:val="4B3A2E"/>
          <w:spacing w:val="21"/>
          <w:sz w:val="26"/>
          <w:szCs w:val="26"/>
        </w:rPr>
        <w:t xml:space="preserve">Professional Experience</w:t>
      </w:r>
    </w:p>
    <w:p>
      <w:pPr>
        <w:spacing w:before="220" w:after="30"/>
      </w:pPr>
      <w:r>
        <w:rPr>
          <w:rFonts w:ascii="Century Gothic" w:cs="Century Gothic" w:eastAsia="Century Gothic" w:hAnsi="Century Gothic"/>
          <w:b/>
          <w:bCs/>
          <w:i/>
          <w:iCs/>
          <w:color w:val="4B3A2E"/>
          <w:spacing w:val="21"/>
          <w:sz w:val="26"/>
          <w:szCs w:val="26"/>
        </w:rPr>
        <w:t xml:space="preserve">Self-Employed</w:t>
      </w:r>
      <w:r>
        <w:rPr>
          <w:rFonts w:ascii="Century Gothic" w:cs="Century Gothic" w:eastAsia="Century Gothic" w:hAnsi="Century Gothic"/>
          <w:b w:val="false"/>
          <w:bCs w:val="false"/>
          <w:i w:val="false"/>
          <w:iCs w:val="false"/>
          <w:color w:val="7B6A5E"/>
          <w:sz w:val="24"/>
          <w:szCs w:val="24"/>
        </w:rPr>
        <w:t xml:space="preserve">  |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4"/>
          <w:szCs w:val="24"/>
        </w:rPr>
        <w:t xml:space="preserve">UX Design Director &amp; Principal AI/ML Consultant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Consulting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Jan 2024 – Present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Director-level UX engagements for enterprise AI companies requiring specialized leadership for ML-powered platforms. Defined UX strategy, owned design roadmaps, and drove OKR-aligned outcomes across three client organizations.</w:t>
      </w:r>
    </w:p>
    <w:p>
      <w:pPr>
        <w:spacing w:before="140" w:after="20"/>
      </w:pPr>
      <w:r>
        <w:rPr>
          <w:rFonts w:ascii="Century Gothic" w:cs="Century Gothic" w:eastAsia="Century Gothic" w:hAnsi="Century Gothic"/>
          <w:b/>
          <w:bCs/>
          <w:color w:val="4B3A2E"/>
          <w:sz w:val="22"/>
          <w:szCs w:val="22"/>
        </w:rPr>
        <w:t xml:space="preserve">Humanyze</w:t>
      </w:r>
      <w:r>
        <w:rPr>
          <w:rFonts w:ascii="Century Gothic" w:cs="Century Gothic" w:eastAsia="Century Gothic" w:hAnsi="Century Gothic"/>
          <w:color w:val="9E8E82"/>
          <w:sz w:val="20"/>
          <w:szCs w:val="20"/>
        </w:rPr>
        <w:t xml:space="preserve">  —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0"/>
          <w:szCs w:val="20"/>
        </w:rPr>
        <w:t xml:space="preserve">Principal AI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  </w:t>
      </w: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Aug 2025 – Oct 2025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Created sentiment analysis dashboards that reduced executive decision-making time by streamlining competitive analysis workflows; findings presented directly to C-suite stakeholders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Built comprehensive component library and design system, establishing scalable UX standards and reducing design-to-dev handoff time</w:t>
      </w:r>
    </w:p>
    <w:p>
      <w:pPr>
        <w:spacing w:before="140" w:after="20"/>
      </w:pPr>
      <w:r>
        <w:rPr>
          <w:rFonts w:ascii="Century Gothic" w:cs="Century Gothic" w:eastAsia="Century Gothic" w:hAnsi="Century Gothic"/>
          <w:b/>
          <w:bCs/>
          <w:color w:val="4B3A2E"/>
          <w:sz w:val="22"/>
          <w:szCs w:val="22"/>
        </w:rPr>
        <w:t xml:space="preserve">Kasisto</w:t>
      </w:r>
      <w:r>
        <w:rPr>
          <w:rFonts w:ascii="Century Gothic" w:cs="Century Gothic" w:eastAsia="Century Gothic" w:hAnsi="Century Gothic"/>
          <w:color w:val="9E8E82"/>
          <w:sz w:val="20"/>
          <w:szCs w:val="20"/>
        </w:rPr>
        <w:t xml:space="preserve">  —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0"/>
          <w:szCs w:val="20"/>
        </w:rPr>
        <w:t xml:space="preserve">Head of UX Design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  </w:t>
      </w: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Jan 2025 – Jul 2025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Enterprise conversational AI platform powering digital assistants for Fortune 500 financial institutions handling 50M+ monthly customer interactions across 3 product lines.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Drove 35% platform adoption increase by owning the end-to-end UX roadmap across 3 product lines — including stakeholder alignment, design strategy, and execution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Built real-time analytics dashboards supporting performance optimization across 200+ use cases for Fortune 500 banking clients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Defined UX team processes and mentored junior designers in AI/ML UX principles, increasing team velocity and output quality</w:t>
      </w:r>
    </w:p>
    <w:p>
      <w:pPr>
        <w:spacing w:before="140" w:after="20"/>
      </w:pPr>
      <w:r>
        <w:rPr>
          <w:rFonts w:ascii="Century Gothic" w:cs="Century Gothic" w:eastAsia="Century Gothic" w:hAnsi="Century Gothic"/>
          <w:b/>
          <w:bCs/>
          <w:color w:val="4B3A2E"/>
          <w:sz w:val="22"/>
          <w:szCs w:val="22"/>
        </w:rPr>
        <w:t xml:space="preserve">Ottermon AI</w:t>
      </w:r>
      <w:r>
        <w:rPr>
          <w:rFonts w:ascii="Century Gothic" w:cs="Century Gothic" w:eastAsia="Century Gothic" w:hAnsi="Century Gothic"/>
          <w:color w:val="9E8E82"/>
          <w:sz w:val="20"/>
          <w:szCs w:val="20"/>
        </w:rPr>
        <w:t xml:space="preserve">  —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0"/>
          <w:szCs w:val="20"/>
        </w:rPr>
        <w:t xml:space="preserve">Lead UX Designer, AI Monitoring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  </w:t>
      </w: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Jan 2024 – Jan 2025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Partnered with ML engineers to design model training interfaces for custom anomaly detection algorithms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Conducted user research with DevOps professionals to map workflow pain points and reduce context switching</w:t>
      </w:r>
    </w:p>
    <w:p>
      <w:pPr>
        <w:spacing w:before="220" w:after="30"/>
      </w:pPr>
      <w:r>
        <w:rPr>
          <w:rFonts w:ascii="Century Gothic" w:cs="Century Gothic" w:eastAsia="Century Gothic" w:hAnsi="Century Gothic"/>
          <w:b/>
          <w:bCs/>
          <w:i/>
          <w:iCs/>
          <w:color w:val="4B3A2E"/>
          <w:spacing w:val="21"/>
          <w:sz w:val="26"/>
          <w:szCs w:val="26"/>
        </w:rPr>
        <w:t xml:space="preserve">HealthCare.com</w:t>
      </w:r>
      <w:r>
        <w:rPr>
          <w:rFonts w:ascii="Century Gothic" w:cs="Century Gothic" w:eastAsia="Century Gothic" w:hAnsi="Century Gothic"/>
          <w:b w:val="false"/>
          <w:bCs w:val="false"/>
          <w:i w:val="false"/>
          <w:iCs w:val="false"/>
          <w:color w:val="7B6A5E"/>
          <w:sz w:val="24"/>
          <w:szCs w:val="24"/>
        </w:rPr>
        <w:t xml:space="preserve">  |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4"/>
          <w:szCs w:val="24"/>
        </w:rPr>
        <w:t xml:space="preserve">Senior UX Manager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Full-Time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Jan 2022 – Feb 2024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spacing w:before="220" w:after="30"/>
      </w:pPr>
      <w:r>
        <w:rPr>
          <w:rFonts w:ascii="Century Gothic" w:cs="Century Gothic" w:eastAsia="Century Gothic" w:hAnsi="Century Gothic"/>
          <w:b/>
          <w:bCs/>
          <w:i/>
          <w:iCs/>
          <w:color w:val="4B3A2E"/>
          <w:spacing w:val="21"/>
          <w:sz w:val="26"/>
          <w:szCs w:val="26"/>
        </w:rPr>
        <w:t xml:space="preserve">FCP Euro</w:t>
      </w:r>
      <w:r>
        <w:rPr>
          <w:rFonts w:ascii="Century Gothic" w:cs="Century Gothic" w:eastAsia="Century Gothic" w:hAnsi="Century Gothic"/>
          <w:b w:val="false"/>
          <w:bCs w:val="false"/>
          <w:i w:val="false"/>
          <w:iCs w:val="false"/>
          <w:color w:val="7B6A5E"/>
          <w:sz w:val="24"/>
          <w:szCs w:val="24"/>
        </w:rPr>
        <w:t xml:space="preserve">  |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4"/>
          <w:szCs w:val="24"/>
        </w:rPr>
        <w:t xml:space="preserve">Senior UX Director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Full-Time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Jun 2020 – Jan 2022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Built and scaled the UX team from zero, establishing data-driven design process, tooling, and standards across the org</w:t>
      </w:r>
    </w:p>
    <w:p>
      <w:pPr>
        <w:spacing w:before="220" w:after="30"/>
      </w:pPr>
      <w:r>
        <w:rPr>
          <w:rFonts w:ascii="Century Gothic" w:cs="Century Gothic" w:eastAsia="Century Gothic" w:hAnsi="Century Gothic"/>
          <w:b/>
          <w:bCs/>
          <w:i/>
          <w:iCs/>
          <w:color w:val="4B3A2E"/>
          <w:spacing w:val="21"/>
          <w:sz w:val="26"/>
          <w:szCs w:val="26"/>
        </w:rPr>
        <w:t xml:space="preserve">Wayfair</w:t>
      </w:r>
      <w:r>
        <w:rPr>
          <w:rFonts w:ascii="Century Gothic" w:cs="Century Gothic" w:eastAsia="Century Gothic" w:hAnsi="Century Gothic"/>
          <w:b w:val="false"/>
          <w:bCs w:val="false"/>
          <w:i w:val="false"/>
          <w:iCs w:val="false"/>
          <w:color w:val="7B6A5E"/>
          <w:sz w:val="24"/>
          <w:szCs w:val="24"/>
        </w:rPr>
        <w:t xml:space="preserve">  |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4"/>
          <w:szCs w:val="24"/>
        </w:rPr>
        <w:t xml:space="preserve">Senior UX Design Manager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Full-Time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Jun 2018 – Jun 2020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Led UX strategy for CastleGate, Wayfair's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Managed 5 cross-functional work stream pods — each comprising 3 designers, 1 content writer, and 1 PM — including successfully mentoring 2 employees off performance improvement plans</w:t>
      </w:r>
    </w:p>
    <w:p>
      <w:pPr>
        <w:spacing w:before="220" w:after="30"/>
      </w:pPr>
      <w:r>
        <w:rPr>
          <w:rFonts w:ascii="Century Gothic" w:cs="Century Gothic" w:eastAsia="Century Gothic" w:hAnsi="Century Gothic"/>
          <w:b/>
          <w:bCs/>
          <w:i/>
          <w:iCs/>
          <w:color w:val="4B3A2E"/>
          <w:spacing w:val="21"/>
          <w:sz w:val="26"/>
          <w:szCs w:val="26"/>
        </w:rPr>
        <w:t xml:space="preserve">Hexaware Technologies</w:t>
      </w:r>
      <w:r>
        <w:rPr>
          <w:rFonts w:ascii="Century Gothic" w:cs="Century Gothic" w:eastAsia="Century Gothic" w:hAnsi="Century Gothic"/>
          <w:b w:val="false"/>
          <w:bCs w:val="false"/>
          <w:i w:val="false"/>
          <w:iCs w:val="false"/>
          <w:color w:val="7B6A5E"/>
          <w:sz w:val="24"/>
          <w:szCs w:val="24"/>
        </w:rPr>
        <w:t xml:space="preserve">  |  </w:t>
      </w:r>
      <w:r>
        <w:rPr>
          <w:rFonts w:ascii="Century Gothic" w:cs="Century Gothic" w:eastAsia="Century Gothic" w:hAnsi="Century Gothic"/>
          <w:b/>
          <w:bCs/>
          <w:i/>
          <w:iCs/>
          <w:color w:val="4B3A2E"/>
          <w:sz w:val="24"/>
          <w:szCs w:val="24"/>
        </w:rPr>
        <w:t xml:space="preserve">Principal UX Designer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Full-Time</w:t>
      </w:r>
      <w:r>
        <w:rPr>
          <w:rFonts w:ascii="Century Gothic" w:cs="Century Gothic" w:eastAsia="Century Gothic" w:hAnsi="Century Gothic"/>
          <w:color w:val="9E8E82"/>
          <w:sz w:val="22"/>
          <w:szCs w:val="22"/>
        </w:rPr>
        <w:t xml:space="preserve">  |  </w:t>
      </w:r>
      <w:r>
        <w:rPr>
          <w:rFonts w:ascii="Century Gothic" w:cs="Century Gothic" w:eastAsia="Century Gothic" w:hAnsi="Century Gothic"/>
          <w:i/>
          <w:iCs/>
          <w:color w:val="7B6A5E"/>
          <w:sz w:val="22"/>
          <w:szCs w:val="22"/>
        </w:rPr>
        <w:t xml:space="preserve">Jan 2011 – Jun 2018</w:t>
      </w:r>
    </w:p>
    <w:p>
      <w:pPr>
        <w:spacing w:before="30" w:after="60"/>
      </w:pPr>
      <w:r>
        <w:rPr>
          <w:rFonts w:ascii="Century Gothic" w:cs="Century Gothic" w:eastAsia="Century Gothic" w:hAnsi="Century Gothic"/>
          <w:i/>
          <w:iCs/>
          <w:color w:val="7B6A5E"/>
          <w:sz w:val="20"/>
          <w:szCs w:val="20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Built platforms for Wawa, Comcast Tech Nucleus, Reebok ONE, and Weather Channel — spanning retail POS, enterprise tech, fitness wearables, and media</w:t>
      </w:r>
    </w:p>
    <w:p>
      <w:pPr>
        <w:pBdr>
          <w:bottom w:val="single" w:color="4B3A2E" w:sz="8" w:space="4"/>
        </w:pBdr>
        <w:spacing w:before="320" w:after="200"/>
      </w:pPr>
      <w:r>
        <w:rPr>
          <w:rFonts w:ascii="Century Gothic" w:cs="Century Gothic" w:eastAsia="Century Gothic" w:hAnsi="Century Gothic"/>
          <w:b/>
          <w:bCs/>
          <w:color w:val="4B3A2E"/>
          <w:spacing w:val="21"/>
          <w:sz w:val="26"/>
          <w:szCs w:val="26"/>
        </w:rPr>
        <w:t xml:space="preserve">Career Impact Highlights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$60M+ combined revenue impact and cost savings across AI, healthcare, e-commerce, and enterprise platforms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50M+ monthly users served across AI products — including conversational AI platforms for Fortune 500 financial institutions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35% platform adoption increase at Kasisto; 5% conversion lift ($6M revenue) at FCP Euro; 40% decision speed improvement at HealthCare.com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Led 20+ cross-functional teams; built UX functions from the ground up at multiple organizations</w:t>
      </w:r>
    </w:p>
    <w:p>
      <w:pPr>
        <w:pBdr>
          <w:bottom w:val="single" w:color="4B3A2E" w:sz="8" w:space="4"/>
        </w:pBdr>
        <w:spacing w:before="320" w:after="200"/>
      </w:pPr>
      <w:r>
        <w:rPr>
          <w:rFonts w:ascii="Century Gothic" w:cs="Century Gothic" w:eastAsia="Century Gothic" w:hAnsi="Century Gothic"/>
          <w:b/>
          <w:bCs/>
          <w:color w:val="4B3A2E"/>
          <w:spacing w:val="21"/>
          <w:sz w:val="26"/>
          <w:szCs w:val="26"/>
        </w:rPr>
        <w:t xml:space="preserve">Tools &amp; Platforms</w:t>
      </w:r>
    </w:p>
    <w:p>
      <w:pPr>
        <w:spacing w:before="80" w:after="60"/>
      </w:pPr>
      <w:r>
        <w:rPr>
          <w:rFonts w:ascii="Century Gothic" w:cs="Century Gothic" w:eastAsia="Century Gothic" w:hAnsi="Century Gothic"/>
          <w:color w:val="4B3A2E"/>
          <w:sz w:val="20"/>
          <w:szCs w:val="20"/>
        </w:rPr>
        <w:t xml:space="preserve">Figma (advanced)  •  UserTesting  •  Maze  •  JIRA  •  Trello  •  Adobe Creative Suite  •  ChatGPT/GPT-4  •  Claude  •  Midjourney  •  Adobe Firefly  •  Notion AI  •  Perplexity AI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540" w:hanging="260"/>
      </w:pPr>
      <w:rPr>
        <w:rFonts w:ascii="Century Gothic" w:cs="Century Gothic" w:eastAsia="Century Gothic" w:hAnsi="Century Gothic"/>
        <w:color w:val="4B3A2E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4B3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2026-02-27T04:27:09.588Z</dcterms:created>
  <dcterms:modified xsi:type="dcterms:W3CDTF">2026-02-27T04:27:09.589Z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