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2A1A0F"/>
          <w:sz w:val="96"/>
          <w:szCs w:val="96"/>
        </w:rPr>
        <w:t xml:space="preserve">BudiSuite</w:t>
      </w:r>
    </w:p>
    <w:p>
      <w:pPr>
        <w:spacing w:after="1600"/>
        <w:jc w:val="center"/>
      </w:pPr>
      <w:r>
        <w:rPr>
          <w:i/>
          <w:iCs/>
          <w:color w:val="E89B5A"/>
          <w:sz w:val="28"/>
          <w:szCs w:val="28"/>
        </w:rPr>
        <w:t xml:space="preserve">Quatre modules. Un seul outil.</w:t>
      </w:r>
    </w:p>
    <w:p>
      <w:pPr>
        <w:spacing w:after="200"/>
        <w:jc w:val="center"/>
      </w:pPr>
      <w:r>
        <w:rPr>
          <w:b/>
          <w:bCs/>
          <w:color w:val="2A1A0F"/>
          <w:sz w:val="48"/>
          <w:szCs w:val="48"/>
        </w:rPr>
        <w:t xml:space="preserve">Design System</w:t>
      </w:r>
    </w:p>
    <w:p>
      <w:pPr>
        <w:spacing w:after="2400"/>
        <w:jc w:val="center"/>
      </w:pPr>
      <w:r>
        <w:rPr>
          <w:color w:val="6B4423"/>
          <w:sz w:val="22"/>
          <w:szCs w:val="22"/>
        </w:rPr>
        <w:t xml:space="preserve">Terre et Soleil — moderne, chaleureux, ancré</w:t>
      </w:r>
    </w:p>
    <w:p>
      <w:pPr>
        <w:spacing w:after="80"/>
        <w:jc w:val="center"/>
      </w:pPr>
      <w:r>
        <w:rPr>
          <w:color w:val="6B4423"/>
          <w:sz w:val="20"/>
          <w:szCs w:val="20"/>
        </w:rPr>
        <w:t xml:space="preserve">Version 3.0  •  Mai 2026</w:t>
      </w:r>
    </w:p>
    <w:p>
      <w:pPr>
        <w:jc w:val="center"/>
      </w:pPr>
      <w:r>
        <w:rPr>
          <w:i/>
          <w:iCs/>
          <w:color w:val="6B4423"/>
          <w:sz w:val="18"/>
          <w:szCs w:val="18"/>
        </w:rPr>
        <w:t xml:space="preserve">BudiSuite est un produit du groupe Africatech</w:t>
      </w:r>
    </w:p>
    <w:p>
      <w:pPr>
        <w:sectPr>
          <w:pgSz w:w="12240" w:h="15840" w:orient="portrait"/>
          <w:pgMar w:top="1440" w:right="1440" w:bottom="1440" w:left="1440" w:header="708" w:footer="708" w:gutter="0"/>
          <w:pgNumType/>
          <w:docGrid w:linePitch="360"/>
        </w:sectPr>
      </w:pPr>
    </w:p>
    <w:p>
      <w:pPr>
        <w:pStyle w:val="Heading1"/>
        <w:pageBreakBefore/>
        <w:spacing w:after="200" w:before="360"/>
      </w:pPr>
      <w:r>
        <w:rPr>
          <w:color w:val="2A1A0F"/>
        </w:rPr>
        <w:t xml:space="preserve">1. Identité de marque</w:t>
      </w:r>
    </w:p>
    <w:p>
      <w:pPr>
        <w:pStyle w:val="Heading2"/>
        <w:spacing w:after="160" w:before="280"/>
      </w:pPr>
      <w:r>
        <w:rPr>
          <w:color w:val="2A1A0F"/>
        </w:rPr>
        <w:t xml:space="preserve">1.1 Vision</w:t>
      </w:r>
    </w:p>
    <w:p>
      <w:pPr>
        <w:spacing w:after="120"/>
      </w:pPr>
      <w:r>
        <w:t xml:space="preserve">BudiSuite est la suite SaaS qui transforme les factures des PME africaines en cash. Quatre modules connectés : CRM, Facturation, Encaissements et Comptabilité. Conçue pour le Sénégal et la Côte d'Ivoire.</w:t>
      </w:r>
    </w:p>
    <w:p>
      <w:pPr>
        <w:spacing w:after="120"/>
      </w:pPr>
      <w:r>
        <w:t xml:space="preserve">L'identité visuelle Terre et Soleil incarne trois piliers :</w:t>
      </w:r>
    </w:p>
    <w:p>
      <w:pPr>
        <w:pStyle w:val="ListParagraph"/>
        <w:numPr>
          <w:ilvl w:val="0"/>
          <w:numId w:val="2"/>
        </w:numPr>
        <w:spacing w:after="80"/>
      </w:pPr>
      <w:r>
        <w:t xml:space="preserve">Moderne et épuré, dans la lignée Linear, Stripe, Pennylane.</w:t>
      </w:r>
    </w:p>
    <w:p>
      <w:pPr>
        <w:pStyle w:val="ListParagraph"/>
        <w:numPr>
          <w:ilvl w:val="0"/>
          <w:numId w:val="2"/>
        </w:numPr>
        <w:spacing w:after="80"/>
      </w:pPr>
      <w:r>
        <w:t xml:space="preserve">Chaleureux et ancré, inspiré de l'architecture sahélienne et de la lumière de fin d'après-midi à Dakar.</w:t>
      </w:r>
    </w:p>
    <w:p>
      <w:pPr>
        <w:pStyle w:val="ListParagraph"/>
        <w:numPr>
          <w:ilvl w:val="0"/>
          <w:numId w:val="2"/>
        </w:numPr>
        <w:spacing w:after="80"/>
      </w:pPr>
      <w:r>
        <w:t xml:space="preserve">Modulaire et évolutif, le logo en quatre pétales incarne la suite intégrée.</w:t>
      </w:r>
    </w:p>
    <w:p>
      <w:pPr>
        <w:pStyle w:val="Heading2"/>
        <w:spacing w:after="160" w:before="280"/>
      </w:pPr>
      <w:r>
        <w:rPr>
          <w:color w:val="2A1A0F"/>
        </w:rPr>
        <w:t xml:space="preserve">1.2 Inspiration</w:t>
      </w:r>
    </w:p>
    <w:p>
      <w:pPr>
        <w:spacing w:after="120"/>
      </w:pPr>
      <w:r>
        <w:t xml:space="preserve">Terre et Soleil puise son inspiration dans l'esthétique sahélienne moderne, pas dans la fintech occidentale standard :</w:t>
      </w:r>
    </w:p>
    <w:p>
      <w:pPr>
        <w:pStyle w:val="ListParagraph"/>
        <w:numPr>
          <w:ilvl w:val="0"/>
          <w:numId w:val="2"/>
        </w:numPr>
        <w:spacing w:after="80"/>
      </w:pPr>
      <w:r>
        <w:t xml:space="preserve">Les couleurs chaudes de la terre crue, du sable au coucher du soleil, de l'argile cuite.</w:t>
      </w:r>
    </w:p>
    <w:p>
      <w:pPr>
        <w:pStyle w:val="ListParagraph"/>
        <w:numPr>
          <w:ilvl w:val="0"/>
          <w:numId w:val="2"/>
        </w:numPr>
        <w:spacing w:after="80"/>
      </w:pPr>
      <w:r>
        <w:t xml:space="preserve">Les formes organiques de l'architecture soudano-sahélienne (Djenné, Agadez, Tombouctou).</w:t>
      </w:r>
    </w:p>
    <w:p>
      <w:pPr>
        <w:pStyle w:val="ListParagraph"/>
        <w:numPr>
          <w:ilvl w:val="0"/>
          <w:numId w:val="2"/>
        </w:numPr>
        <w:spacing w:after="80"/>
      </w:pPr>
      <w:r>
        <w:t xml:space="preserve">La typographie Fraunces qui apporte courbes et caractère vivant.</w:t>
      </w:r>
    </w:p>
    <w:p>
      <w:pPr>
        <w:pStyle w:val="ListParagraph"/>
        <w:numPr>
          <w:ilvl w:val="0"/>
          <w:numId w:val="2"/>
        </w:numPr>
        <w:spacing w:after="80"/>
      </w:pPr>
      <w:r>
        <w:t xml:space="preserve">L'espace généreux qui respire, comme les patios traditionnels.</w:t>
      </w:r>
    </w:p>
    <w:p>
      <w:pPr>
        <w:pStyle w:val="Heading2"/>
        <w:spacing w:after="160" w:before="280"/>
      </w:pPr>
      <w:r>
        <w:rPr>
          <w:color w:val="2A1A0F"/>
        </w:rPr>
        <w:t xml:space="preserve">1.3 Personnalité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BudiSuite EST</w:t>
            </w:r>
          </w:p>
        </w:tc>
        <w:tc>
          <w:tcPr>
            <w:tcW w:type="dxa" w:w="468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BudiSuite N'EST PAS</w:t>
            </w:r>
          </w:p>
        </w:tc>
      </w:tr>
      <w:tr>
        <w:tc>
          <w:tcPr>
            <w:tcW w:type="dxa" w:w="468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Chaleureux et accueillant</w:t>
            </w:r>
          </w:p>
        </w:tc>
        <w:tc>
          <w:tcPr>
            <w:tcW w:type="dxa" w:w="468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Froid ou aseptisé</w:t>
            </w:r>
          </w:p>
        </w:tc>
      </w:tr>
      <w:tr>
        <w:tc>
          <w:tcPr>
            <w:tcW w:type="dxa" w:w="468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Ancré culturellement</w:t>
            </w:r>
          </w:p>
        </w:tc>
        <w:tc>
          <w:tcPr>
            <w:tcW w:type="dxa" w:w="468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Folklorique ou cliché</w:t>
            </w:r>
          </w:p>
        </w:tc>
      </w:tr>
      <w:tr>
        <w:tc>
          <w:tcPr>
            <w:tcW w:type="dxa" w:w="468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Moderne et épuré</w:t>
            </w:r>
          </w:p>
        </w:tc>
        <w:tc>
          <w:tcPr>
            <w:tcW w:type="dxa" w:w="468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Décoratif ou chargé</w:t>
            </w:r>
          </w:p>
        </w:tc>
      </w:tr>
      <w:tr>
        <w:tc>
          <w:tcPr>
            <w:tcW w:type="dxa" w:w="468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Direct et précis</w:t>
            </w:r>
          </w:p>
        </w:tc>
        <w:tc>
          <w:tcPr>
            <w:tcW w:type="dxa" w:w="468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Bavard ou jargonneux</w:t>
            </w:r>
          </w:p>
        </w:tc>
      </w:tr>
      <w:tr>
        <w:tc>
          <w:tcPr>
            <w:tcW w:type="dxa" w:w="468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Confiant sans arrogance</w:t>
            </w:r>
          </w:p>
        </w:tc>
        <w:tc>
          <w:tcPr>
            <w:tcW w:type="dxa" w:w="468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Hype ou tape-à-l'œil</w:t>
            </w:r>
          </w:p>
        </w:tc>
      </w:tr>
      <w:tr>
        <w:tc>
          <w:tcPr>
            <w:tcW w:type="dxa" w:w="468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Éditorial avec âme</w:t>
            </w:r>
          </w:p>
        </w:tc>
        <w:tc>
          <w:tcPr>
            <w:tcW w:type="dxa" w:w="468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Corporate sans personnalité</w:t>
            </w:r>
          </w:p>
        </w:tc>
      </w:tr>
    </w:tbl>
    <w:p>
      <w:pPr>
        <w:pStyle w:val="Heading2"/>
        <w:spacing w:after="160" w:before="280"/>
      </w:pPr>
      <w:r>
        <w:rPr>
          <w:color w:val="2A1A0F"/>
        </w:rPr>
        <w:t xml:space="preserve">1.4 Ton de voix</w:t>
      </w:r>
    </w:p>
    <w:p>
      <w:pPr>
        <w:spacing w:after="120"/>
      </w:pPr>
      <w:r>
        <w:t xml:space="preserve">Phrases courtes. Affirmations claires. Verbes d'action. Pas de superlatifs creux.</w:t>
      </w:r>
    </w:p>
    <w:p>
      <w:pPr>
        <w:pStyle w:val="Heading3"/>
        <w:spacing w:after="120" w:before="200"/>
      </w:pPr>
      <w:r>
        <w:rPr>
          <w:color w:val="2A1A0F"/>
        </w:rPr>
        <w:t xml:space="preserve">Vocabulaire à utiliser</w:t>
      </w:r>
    </w:p>
    <w:p>
      <w:pPr>
        <w:spacing w:after="120"/>
      </w:pPr>
      <w:r>
        <w:t xml:space="preserve">Encaisser, livrer, construire, accélérer, transformer, suivre, simple, direct, conçu pour, ancré, méthode, quatre modules, un seul outil.</w:t>
      </w:r>
    </w:p>
    <w:p>
      <w:pPr>
        <w:pStyle w:val="Heading3"/>
        <w:spacing w:after="120" w:before="200"/>
      </w:pPr>
      <w:r>
        <w:rPr>
          <w:color w:val="2A1A0F"/>
        </w:rPr>
        <w:t xml:space="preserve">Vocabulaire à éviter</w:t>
      </w:r>
    </w:p>
    <w:p>
      <w:pPr>
        <w:spacing w:after="120"/>
      </w:pPr>
      <w:r>
        <w:t xml:space="preserve">Solutions, synergies, disruption, révolutionnaire, innovant, game-changer, best-in-class, cutting-edge, holistique, écosystème, transformation digitale, leveraging.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9B5A" w:sz="24"/>
              <w:bottom w:val="none" w:color="FFFFFF" w:sz="0"/>
              <w:right w:val="none" w:color="FFFFFF" w:sz="0"/>
            </w:tcBorders>
            <w:shd w:fill="FDF1DD" w:val="clear"/>
            <w:tcMar>
              <w:top w:type="dxa" w:w="160"/>
              <w:left w:type="dxa" w:w="240"/>
              <w:bottom w:type="dxa" w:w="160"/>
              <w:right w:type="dxa" w:w="240"/>
            </w:tcMar>
          </w:tcPr>
          <w:p>
            <w:pPr>
              <w:spacing w:after="80"/>
            </w:pPr>
            <w:r>
              <w:rPr>
                <w:b/>
                <w:bCs/>
                <w:color w:val="2A1A0F"/>
              </w:rPr>
              <w:t xml:space="preserve">Règle absolue : sentence case</w:t>
            </w:r>
          </w:p>
          <w:p>
            <w:r>
              <w:rPr>
                <w:color w:val="2A1A0F"/>
              </w:rPr>
              <w:t xml:space="preserve">Pas d'ALL CAPS, pas de Title Case sur les phrases. Première lettre en majuscule uniquement. Les noms propres restent capitalisés (BudiSuite, Wave, Orange Money, SYSCOHADA).</w:t>
            </w:r>
          </w:p>
        </w:tc>
      </w:tr>
    </w:tbl>
    <w:p>
      <w:pPr>
        <w:pStyle w:val="Heading1"/>
        <w:pageBreakBefore/>
        <w:spacing w:after="200" w:before="360"/>
      </w:pPr>
      <w:r>
        <w:rPr>
          <w:color w:val="2A1A0F"/>
        </w:rPr>
        <w:t xml:space="preserve">2. Logo</w:t>
      </w:r>
    </w:p>
    <w:p>
      <w:pPr>
        <w:pStyle w:val="Heading2"/>
        <w:spacing w:after="160" w:before="280"/>
      </w:pPr>
      <w:r>
        <w:rPr>
          <w:color w:val="2A1A0F"/>
        </w:rPr>
        <w:t xml:space="preserve">2.1 Concept</w:t>
      </w:r>
    </w:p>
    <w:p>
      <w:pPr>
        <w:spacing w:after="120"/>
      </w:pPr>
      <w:r>
        <w:t xml:space="preserve">Le symbole BudiSuite est composé de quatre pétales modulaires qui s'assemblent pour former un carré aux coins arrondis. Trois pétales en terre profonde (les modules consolidés) et un pétale en soleil cuivre (le module actif, l'aboutissement, le cash qui rentre).</w:t>
      </w:r>
    </w:p>
    <w:p>
      <w:pPr>
        <w:spacing w:after="120"/>
      </w:pPr>
      <w:r>
        <w:t xml:space="preserve">Cette forme raconte simultanément :</w:t>
      </w:r>
    </w:p>
    <w:p>
      <w:pPr>
        <w:pStyle w:val="ListParagraph"/>
        <w:numPr>
          <w:ilvl w:val="0"/>
          <w:numId w:val="2"/>
        </w:numPr>
        <w:spacing w:after="80"/>
      </w:pPr>
      <w:r>
        <w:t xml:space="preserve">La suite intégrée — quatre modules qui forment un tout cohérent.</w:t>
      </w:r>
    </w:p>
    <w:p>
      <w:pPr>
        <w:pStyle w:val="ListParagraph"/>
        <w:numPr>
          <w:ilvl w:val="0"/>
          <w:numId w:val="2"/>
        </w:numPr>
        <w:spacing w:after="80"/>
      </w:pPr>
      <w:r>
        <w:t xml:space="preserve">La modularité — chaque pétale peut s'activer indépendamment.</w:t>
      </w:r>
    </w:p>
    <w:p>
      <w:pPr>
        <w:pStyle w:val="ListParagraph"/>
        <w:numPr>
          <w:ilvl w:val="0"/>
          <w:numId w:val="2"/>
        </w:numPr>
        <w:spacing w:after="80"/>
      </w:pPr>
      <w:r>
        <w:t xml:space="preserve">L'aboutissement — le pétale soleil marque la transaction réussie.</w:t>
      </w:r>
    </w:p>
    <w:p>
      <w:pPr>
        <w:pStyle w:val="ListParagraph"/>
        <w:numPr>
          <w:ilvl w:val="0"/>
          <w:numId w:val="2"/>
        </w:numPr>
        <w:spacing w:after="80"/>
      </w:pPr>
      <w:r>
        <w:t xml:space="preserve">L'ancrage culturel — la forme évoque les rosaces des architectures soudano-sahéliennes et les pétales d'hibiscus.</w:t>
      </w:r>
    </w:p>
    <w:p>
      <w:pPr>
        <w:pStyle w:val="Heading2"/>
        <w:spacing w:after="160" w:before="280"/>
      </w:pPr>
      <w:r>
        <w:rPr>
          <w:color w:val="2A1A0F"/>
        </w:rPr>
        <w:t xml:space="preserve">2.2 Wordmark</w:t>
      </w:r>
    </w:p>
    <w:p>
      <w:pPr>
        <w:spacing w:after="120"/>
      </w:pPr>
      <w:r>
        <w:t xml:space="preserve">« BudiSuite » composé en Fraunces 500, lettres B et S capitalisées. Letter-spacing -0.8px. Le wordmark s'utilise toujours associé au symbole sauf cas exceptionnel.</w:t>
      </w:r>
    </w:p>
    <w:p>
      <w:pPr>
        <w:pStyle w:val="Heading2"/>
        <w:spacing w:after="160" w:before="280"/>
      </w:pPr>
      <w:r>
        <w:rPr>
          <w:color w:val="2A1A0F"/>
        </w:rPr>
        <w:t xml:space="preserve">2.3 Variantes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Variante</w:t>
            </w:r>
          </w:p>
        </w:tc>
        <w:tc>
          <w:tcPr>
            <w:tcW w:type="dxa" w:w="32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Usage</w:t>
            </w:r>
          </w:p>
        </w:tc>
        <w:tc>
          <w:tcPr>
            <w:tcW w:type="dxa" w:w="296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Fichier</w:t>
            </w:r>
          </w:p>
        </w:tc>
      </w:tr>
      <w:tr>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Logo principal</w:t>
            </w:r>
          </w:p>
        </w:tc>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Marketing, web, fond clair</w:t>
            </w:r>
          </w:p>
        </w:tc>
        <w:tc>
          <w:tcPr>
            <w:tcW w:type="dxa" w:w="29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budisuite-logo.svg</w:t>
            </w:r>
          </w:p>
        </w:tc>
      </w:tr>
      <w:tr>
        <w:tc>
          <w:tcPr>
            <w:tcW w:type="dxa" w:w="3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b/>
                <w:bCs/>
                <w:color w:val="2A1A0F"/>
                <w:sz w:val="20"/>
                <w:szCs w:val="20"/>
              </w:rPr>
              <w:t xml:space="preserve">Logo fond sombre</w:t>
            </w:r>
          </w:p>
        </w:tc>
        <w:tc>
          <w:tcPr>
            <w:tcW w:type="dxa" w:w="3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Headers sombres, dark mode</w:t>
            </w:r>
          </w:p>
        </w:tc>
        <w:tc>
          <w:tcPr>
            <w:tcW w:type="dxa" w:w="29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budisuite-logo-dark.svg</w:t>
            </w:r>
          </w:p>
        </w:tc>
      </w:tr>
      <w:tr>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Logo mono</w:t>
            </w:r>
          </w:p>
        </w:tc>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Impression noir et blanc</w:t>
            </w:r>
          </w:p>
        </w:tc>
        <w:tc>
          <w:tcPr>
            <w:tcW w:type="dxa" w:w="29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budisuite-logo-mono.svg</w:t>
            </w:r>
          </w:p>
        </w:tc>
      </w:tr>
      <w:tr>
        <w:tc>
          <w:tcPr>
            <w:tcW w:type="dxa" w:w="3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b/>
                <w:bCs/>
                <w:color w:val="2A1A0F"/>
                <w:sz w:val="20"/>
                <w:szCs w:val="20"/>
              </w:rPr>
              <w:t xml:space="preserve">Symbole seul</w:t>
            </w:r>
          </w:p>
        </w:tc>
        <w:tc>
          <w:tcPr>
            <w:tcW w:type="dxa" w:w="3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Badge, favicon, signature</w:t>
            </w:r>
          </w:p>
        </w:tc>
        <w:tc>
          <w:tcPr>
            <w:tcW w:type="dxa" w:w="29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budisuite-symbol.svg</w:t>
            </w:r>
          </w:p>
        </w:tc>
      </w:tr>
      <w:tr>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App icon 1024</w:t>
            </w:r>
          </w:p>
        </w:tc>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iOS, Android stores</w:t>
            </w:r>
          </w:p>
        </w:tc>
        <w:tc>
          <w:tcPr>
            <w:tcW w:type="dxa" w:w="29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budisuite-app-icon-1024.svg</w:t>
            </w:r>
          </w:p>
        </w:tc>
      </w:tr>
      <w:tr>
        <w:tc>
          <w:tcPr>
            <w:tcW w:type="dxa" w:w="3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b/>
                <w:bCs/>
                <w:color w:val="2A1A0F"/>
                <w:sz w:val="20"/>
                <w:szCs w:val="20"/>
              </w:rPr>
              <w:t xml:space="preserve">Favicon 32px</w:t>
            </w:r>
          </w:p>
        </w:tc>
        <w:tc>
          <w:tcPr>
            <w:tcW w:type="dxa" w:w="3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Onglet navigateur</w:t>
            </w:r>
          </w:p>
        </w:tc>
        <w:tc>
          <w:tcPr>
            <w:tcW w:type="dxa" w:w="29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budisuite-favicon-32.svg</w:t>
            </w:r>
          </w:p>
        </w:tc>
      </w:tr>
      <w:tr>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Favicon 16px</w:t>
            </w:r>
          </w:p>
        </w:tc>
        <w:tc>
          <w:tcPr>
            <w:tcW w:type="dxa" w:w="3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Petite taille extrême</w:t>
            </w:r>
          </w:p>
        </w:tc>
        <w:tc>
          <w:tcPr>
            <w:tcW w:type="dxa" w:w="29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budisuite-favicon-16.svg</w:t>
            </w:r>
          </w:p>
        </w:tc>
      </w:tr>
    </w:tbl>
    <w:p>
      <w:pPr>
        <w:pStyle w:val="Heading2"/>
        <w:spacing w:after="160" w:before="280"/>
      </w:pPr>
      <w:r>
        <w:rPr>
          <w:color w:val="2A1A0F"/>
        </w:rPr>
        <w:t xml:space="preserve">2.4 Évolution du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9B5A" w:sz="24"/>
              <w:bottom w:val="none" w:color="FFFFFF" w:sz="0"/>
              <w:right w:val="none" w:color="FFFFFF" w:sz="0"/>
            </w:tcBorders>
            <w:shd w:fill="FDF1DD" w:val="clear"/>
            <w:tcMar>
              <w:top w:type="dxa" w:w="160"/>
              <w:left w:type="dxa" w:w="240"/>
              <w:bottom w:type="dxa" w:w="160"/>
              <w:right w:type="dxa" w:w="240"/>
            </w:tcMar>
          </w:tcPr>
          <w:p>
            <w:pPr>
              <w:spacing w:after="80"/>
            </w:pPr>
            <w:r>
              <w:rPr>
                <w:b/>
                <w:bCs/>
                <w:color w:val="2A1A0F"/>
              </w:rPr>
              <w:t xml:space="preserve">Pétales évolutifs</w:t>
            </w:r>
          </w:p>
          <w:p>
            <w:r>
              <w:rPr>
                <w:color w:val="2A1A0F"/>
              </w:rPr>
              <w:t xml:space="preserve">Le pétale accent peut changer de couleur selon le module concerné : Cuivre Soleil pour Encaissements, Vert Palmeraie pour Comptabilité, Brun Terre pour CRM, Mil Doré pour Facturation. Cette possibilité reste pour usage interne ou éditorial avancé. Par défaut, toujours Cuivre Soleil.</w:t>
            </w:r>
          </w:p>
        </w:tc>
      </w:tr>
    </w:tbl>
    <w:p>
      <w:pPr>
        <w:pStyle w:val="Heading2"/>
        <w:spacing w:after="160" w:before="280"/>
      </w:pPr>
      <w:r>
        <w:rPr>
          <w:color w:val="2A1A0F"/>
        </w:rPr>
        <w:t xml:space="preserve">2.5 Règles d'usage</w:t>
      </w:r>
    </w:p>
    <w:p>
      <w:pPr>
        <w:pStyle w:val="Heading3"/>
        <w:spacing w:after="120" w:before="200"/>
      </w:pPr>
      <w:r>
        <w:rPr>
          <w:color w:val="2A1A0F"/>
        </w:rPr>
        <w:t xml:space="preserve">À faire</w:t>
      </w:r>
    </w:p>
    <w:p>
      <w:pPr>
        <w:pStyle w:val="ListParagraph"/>
        <w:numPr>
          <w:ilvl w:val="0"/>
          <w:numId w:val="2"/>
        </w:numPr>
        <w:spacing w:after="80"/>
      </w:pPr>
      <w:r>
        <w:t xml:space="preserve">Respecter la zone de protection (1x la hauteur du symbole).</w:t>
      </w:r>
    </w:p>
    <w:p>
      <w:pPr>
        <w:pStyle w:val="ListParagraph"/>
        <w:numPr>
          <w:ilvl w:val="0"/>
          <w:numId w:val="2"/>
        </w:numPr>
        <w:spacing w:after="80"/>
      </w:pPr>
      <w:r>
        <w:t xml:space="preserve">Utiliser le logo principal sur fonds Terre 25 ou clair.</w:t>
      </w:r>
    </w:p>
    <w:p>
      <w:pPr>
        <w:pStyle w:val="ListParagraph"/>
        <w:numPr>
          <w:ilvl w:val="0"/>
          <w:numId w:val="2"/>
        </w:numPr>
        <w:spacing w:after="80"/>
      </w:pPr>
      <w:r>
        <w:t xml:space="preserve">Utiliser le logo fond sombre sur Terre 800 ou Terre 900.</w:t>
      </w:r>
    </w:p>
    <w:p>
      <w:pPr>
        <w:pStyle w:val="ListParagraph"/>
        <w:numPr>
          <w:ilvl w:val="0"/>
          <w:numId w:val="2"/>
        </w:numPr>
        <w:spacing w:after="80"/>
      </w:pPr>
      <w:r>
        <w:t xml:space="preserve">Conserver l'orientation : pétale accent toujours en bas à droite par défaut.</w:t>
      </w:r>
    </w:p>
    <w:p>
      <w:pPr>
        <w:pStyle w:val="Heading3"/>
        <w:spacing w:after="120" w:before="200"/>
      </w:pPr>
      <w:r>
        <w:rPr>
          <w:color w:val="2A1A0F"/>
        </w:rPr>
        <w:t xml:space="preserve">À ne pas faire</w:t>
      </w:r>
    </w:p>
    <w:p>
      <w:pPr>
        <w:pStyle w:val="ListParagraph"/>
        <w:numPr>
          <w:ilvl w:val="0"/>
          <w:numId w:val="2"/>
        </w:numPr>
        <w:spacing w:after="80"/>
      </w:pPr>
      <w:r>
        <w:t xml:space="preserve">Modifier les couleurs en dehors des variantes prévues.</w:t>
      </w:r>
    </w:p>
    <w:p>
      <w:pPr>
        <w:pStyle w:val="ListParagraph"/>
        <w:numPr>
          <w:ilvl w:val="0"/>
          <w:numId w:val="2"/>
        </w:numPr>
        <w:spacing w:after="80"/>
      </w:pPr>
      <w:r>
        <w:t xml:space="preserve">Étirer, déformer, faire pivoter ou incliner.</w:t>
      </w:r>
    </w:p>
    <w:p>
      <w:pPr>
        <w:pStyle w:val="ListParagraph"/>
        <w:numPr>
          <w:ilvl w:val="0"/>
          <w:numId w:val="2"/>
        </w:numPr>
        <w:spacing w:after="80"/>
      </w:pPr>
      <w:r>
        <w:t xml:space="preserve">Ajouter ombre portée, dégradé, contour, glow.</w:t>
      </w:r>
    </w:p>
    <w:p>
      <w:pPr>
        <w:pStyle w:val="ListParagraph"/>
        <w:numPr>
          <w:ilvl w:val="0"/>
          <w:numId w:val="2"/>
        </w:numPr>
        <w:spacing w:after="80"/>
      </w:pPr>
      <w:r>
        <w:t xml:space="preserve">Inverser les pétales accent et standard sauf usage éditorial intentionnel.</w:t>
      </w:r>
    </w:p>
    <w:p>
      <w:pPr>
        <w:pStyle w:val="Heading1"/>
        <w:pageBreakBefore/>
        <w:spacing w:after="200" w:before="360"/>
      </w:pPr>
      <w:r>
        <w:rPr>
          <w:color w:val="2A1A0F"/>
        </w:rPr>
        <w:t xml:space="preserve">3. Palette de couleurs</w:t>
      </w:r>
    </w:p>
    <w:p>
      <w:pPr>
        <w:pStyle w:val="Heading2"/>
        <w:spacing w:after="160" w:before="280"/>
      </w:pPr>
      <w:r>
        <w:rPr>
          <w:color w:val="2A1A0F"/>
        </w:rPr>
        <w:t xml:space="preserve">3.1 Soleil — Couleur signature</w:t>
      </w:r>
    </w:p>
    <w:p>
      <w:pPr>
        <w:spacing w:after="120"/>
      </w:pPr>
      <w:r>
        <w:t xml:space="preserve">Le cuivre soleil est la signature de BudiSuite. Couleur du sable doré au coucher du soleil, de la terre cuite chaude, du grain de mil mûr. Elle évoque la valeur, l'énergie solaire, la transaction qui aboutit.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9B5A" w:sz="24"/>
              <w:bottom w:val="none" w:color="FFFFFF" w:sz="0"/>
              <w:right w:val="none" w:color="FFFFFF" w:sz="0"/>
            </w:tcBorders>
            <w:shd w:fill="FDF1DD" w:val="clear"/>
            <w:tcMar>
              <w:top w:type="dxa" w:w="160"/>
              <w:left w:type="dxa" w:w="240"/>
              <w:bottom w:type="dxa" w:w="160"/>
              <w:right w:type="dxa" w:w="240"/>
            </w:tcMar>
          </w:tcPr>
          <w:p>
            <w:pPr>
              <w:spacing w:after="80"/>
            </w:pPr>
            <w:r>
              <w:rPr>
                <w:b/>
                <w:bCs/>
                <w:color w:val="2A1A0F"/>
              </w:rPr>
              <w:t xml:space="preserve">Règle critique : 15% maximum</w:t>
            </w:r>
          </w:p>
          <w:p>
            <w:r>
              <w:rPr>
                <w:color w:val="2A1A0F"/>
              </w:rPr>
              <w:t xml:space="preserve">Le soleil ne doit jamais représenter plus de 15% de la surface d'un design. Sa force vient de sa rareté. Utilisé pour les moments clés : pétale accent du logo, chiffres encaissés, badges paiement, italic éditorial. Jamais en couleur de fond dominante.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center"/>
            </w:pPr>
            <w:r>
              <w:rPr>
                <w:b/>
                <w:bCs/>
                <w:color w:val="FFFFFF"/>
                <w:sz w:val="20"/>
                <w:szCs w:val="20"/>
              </w:rPr>
              <w:t xml:space="preserve">Couleur</w:t>
            </w:r>
          </w:p>
        </w:tc>
        <w:tc>
          <w:tcPr>
            <w:tcW w:type="dxa" w:w="28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Nom</w:t>
            </w:r>
          </w:p>
        </w:tc>
        <w:tc>
          <w:tcPr>
            <w:tcW w:type="dxa" w:w="22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Hex</w:t>
            </w:r>
          </w:p>
        </w:tc>
        <w:tc>
          <w:tcPr>
            <w:tcW w:type="dxa" w:w="286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Usage</w:t>
            </w:r>
          </w:p>
        </w:tc>
      </w:tr>
      <w:tr>
        <w:tc>
          <w:tcPr>
            <w:tcW w:type="dxa" w:w="1500"/>
            <w:tcBorders>
              <w:top w:val="single" w:color="E5D2B5" w:sz="4"/>
              <w:left w:val="single" w:color="E5D2B5" w:sz="4"/>
              <w:bottom w:val="single" w:color="E5D2B5" w:sz="4"/>
              <w:right w:val="single" w:color="E5D2B5" w:sz="4"/>
            </w:tcBorders>
            <w:shd w:fill="FDF1DD"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Soleil 50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#FDF1DD</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Fond hover, badge clair</w:t>
            </w:r>
          </w:p>
        </w:tc>
      </w:tr>
      <w:tr>
        <w:tc>
          <w:tcPr>
            <w:tcW w:type="dxa" w:w="1500"/>
            <w:tcBorders>
              <w:top w:val="single" w:color="E5D2B5" w:sz="4"/>
              <w:left w:val="single" w:color="E5D2B5" w:sz="4"/>
              <w:bottom w:val="single" w:color="E5D2B5" w:sz="4"/>
              <w:right w:val="single" w:color="E5D2B5" w:sz="4"/>
            </w:tcBorders>
            <w:shd w:fill="FBE2BA"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Soleil 100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#FBE2BA</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Surface douce</w:t>
            </w:r>
          </w:p>
        </w:tc>
      </w:tr>
      <w:tr>
        <w:tc>
          <w:tcPr>
            <w:tcW w:type="dxa" w:w="1500"/>
            <w:tcBorders>
              <w:top w:val="single" w:color="E5D2B5" w:sz="4"/>
              <w:left w:val="single" w:color="E5D2B5" w:sz="4"/>
              <w:bottom w:val="single" w:color="E5D2B5" w:sz="4"/>
              <w:right w:val="single" w:color="E5D2B5" w:sz="4"/>
            </w:tcBorders>
            <w:shd w:fill="F5C994"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Soleil 200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#F5C994</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Bordure décorative</w:t>
            </w:r>
          </w:p>
        </w:tc>
      </w:tr>
      <w:tr>
        <w:tc>
          <w:tcPr>
            <w:tcW w:type="dxa" w:w="1500"/>
            <w:tcBorders>
              <w:top w:val="single" w:color="E5D2B5" w:sz="4"/>
              <w:left w:val="single" w:color="E5D2B5" w:sz="4"/>
              <w:bottom w:val="single" w:color="E5D2B5" w:sz="4"/>
              <w:right w:val="single" w:color="E5D2B5" w:sz="4"/>
            </w:tcBorders>
            <w:shd w:fill="E89B5A"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Soleil 400 ★</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#E89B5A</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SIGNATURE — accent principal</w:t>
            </w:r>
          </w:p>
        </w:tc>
      </w:tr>
      <w:tr>
        <w:tc>
          <w:tcPr>
            <w:tcW w:type="dxa" w:w="1500"/>
            <w:tcBorders>
              <w:top w:val="single" w:color="E5D2B5" w:sz="4"/>
              <w:left w:val="single" w:color="E5D2B5" w:sz="4"/>
              <w:bottom w:val="single" w:color="E5D2B5" w:sz="4"/>
              <w:right w:val="single" w:color="E5D2B5" w:sz="4"/>
            </w:tcBorders>
            <w:shd w:fill="B86A28"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Soleil 600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#B86A28</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Texte sur fond soleil clair</w:t>
            </w:r>
          </w:p>
        </w:tc>
      </w:tr>
      <w:tr>
        <w:tc>
          <w:tcPr>
            <w:tcW w:type="dxa" w:w="1500"/>
            <w:tcBorders>
              <w:top w:val="single" w:color="E5D2B5" w:sz="4"/>
              <w:left w:val="single" w:color="E5D2B5" w:sz="4"/>
              <w:bottom w:val="single" w:color="E5D2B5" w:sz="4"/>
              <w:right w:val="single" w:color="E5D2B5" w:sz="4"/>
            </w:tcBorders>
            <w:shd w:fill="6B3A12"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Soleil 800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#6B3A12</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Texte fort accent</w:t>
            </w:r>
          </w:p>
        </w:tc>
      </w:tr>
    </w:tbl>
    <w:p>
      <w:pPr>
        <w:pStyle w:val="Heading2"/>
        <w:spacing w:after="160" w:before="280"/>
      </w:pPr>
      <w:r>
        <w:rPr>
          <w:color w:val="2A1A0F"/>
        </w:rPr>
        <w:t xml:space="preserve">3.2 Terre — Couleur principale</w:t>
      </w:r>
    </w:p>
    <w:p>
      <w:pPr>
        <w:spacing w:after="120"/>
      </w:pPr>
      <w:r>
        <w:t xml:space="preserve">L'encre terre profonde (#2A1A0F) est la couleur dominante pour les textes, les CTA principaux et le symbole. Elle remplace le noir pur par une teinte chaude qui dialogue avec le 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center"/>
            </w:pPr>
            <w:r>
              <w:rPr>
                <w:b/>
                <w:bCs/>
                <w:color w:val="FFFFFF"/>
                <w:sz w:val="20"/>
                <w:szCs w:val="20"/>
              </w:rPr>
              <w:t xml:space="preserve">Couleur</w:t>
            </w:r>
          </w:p>
        </w:tc>
        <w:tc>
          <w:tcPr>
            <w:tcW w:type="dxa" w:w="28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Nom</w:t>
            </w:r>
          </w:p>
        </w:tc>
        <w:tc>
          <w:tcPr>
            <w:tcW w:type="dxa" w:w="22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Hex</w:t>
            </w:r>
          </w:p>
        </w:tc>
        <w:tc>
          <w:tcPr>
            <w:tcW w:type="dxa" w:w="286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Usage</w:t>
            </w:r>
          </w:p>
        </w:tc>
      </w:tr>
      <w:tr>
        <w:tc>
          <w:tcPr>
            <w:tcW w:type="dxa" w:w="1500"/>
            <w:tcBorders>
              <w:top w:val="single" w:color="E5D2B5" w:sz="4"/>
              <w:left w:val="single" w:color="E5D2B5" w:sz="4"/>
              <w:bottom w:val="single" w:color="E5D2B5" w:sz="4"/>
              <w:right w:val="single" w:color="E5D2B5" w:sz="4"/>
            </w:tcBorders>
            <w:shd w:fill="FCF7EE"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Terre 25 ★</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#FCF7EE</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Fond de page principal</w:t>
            </w:r>
          </w:p>
        </w:tc>
      </w:tr>
      <w:tr>
        <w:tc>
          <w:tcPr>
            <w:tcW w:type="dxa" w:w="1500"/>
            <w:tcBorders>
              <w:top w:val="single" w:color="E5D2B5" w:sz="4"/>
              <w:left w:val="single" w:color="E5D2B5" w:sz="4"/>
              <w:bottom w:val="single" w:color="E5D2B5" w:sz="4"/>
              <w:right w:val="single" w:color="E5D2B5" w:sz="4"/>
            </w:tcBorders>
            <w:shd w:fill="F4E4CC"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Terre 100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#F4E4CC</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Fond hero, cards chaudes</w:t>
            </w:r>
          </w:p>
        </w:tc>
      </w:tr>
      <w:tr>
        <w:tc>
          <w:tcPr>
            <w:tcW w:type="dxa" w:w="1500"/>
            <w:tcBorders>
              <w:top w:val="single" w:color="E5D2B5" w:sz="4"/>
              <w:left w:val="single" w:color="E5D2B5" w:sz="4"/>
              <w:bottom w:val="single" w:color="E5D2B5" w:sz="4"/>
              <w:right w:val="single" w:color="E5D2B5" w:sz="4"/>
            </w:tcBorders>
            <w:shd w:fill="E5D2B5"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Terre 200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#E5D2B5</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Bordures décoratives</w:t>
            </w:r>
          </w:p>
        </w:tc>
      </w:tr>
      <w:tr>
        <w:tc>
          <w:tcPr>
            <w:tcW w:type="dxa" w:w="1500"/>
            <w:tcBorders>
              <w:top w:val="single" w:color="E5D2B5" w:sz="4"/>
              <w:left w:val="single" w:color="E5D2B5" w:sz="4"/>
              <w:bottom w:val="single" w:color="E5D2B5" w:sz="4"/>
              <w:right w:val="single" w:color="E5D2B5" w:sz="4"/>
            </w:tcBorders>
            <w:shd w:fill="BFA378"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Terre 300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#BFA378</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Texte décoratif</w:t>
            </w:r>
          </w:p>
        </w:tc>
      </w:tr>
      <w:tr>
        <w:tc>
          <w:tcPr>
            <w:tcW w:type="dxa" w:w="1500"/>
            <w:tcBorders>
              <w:top w:val="single" w:color="E5D2B5" w:sz="4"/>
              <w:left w:val="single" w:color="E5D2B5" w:sz="4"/>
              <w:bottom w:val="single" w:color="E5D2B5" w:sz="4"/>
              <w:right w:val="single" w:color="E5D2B5" w:sz="4"/>
            </w:tcBorders>
            <w:shd w:fill="8C6F4F"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Terre 500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#8C6F4F</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Texte tertiaire</w:t>
            </w:r>
          </w:p>
        </w:tc>
      </w:tr>
      <w:tr>
        <w:tc>
          <w:tcPr>
            <w:tcW w:type="dxa" w:w="1500"/>
            <w:tcBorders>
              <w:top w:val="single" w:color="E5D2B5" w:sz="4"/>
              <w:left w:val="single" w:color="E5D2B5" w:sz="4"/>
              <w:bottom w:val="single" w:color="E5D2B5" w:sz="4"/>
              <w:right w:val="single" w:color="E5D2B5" w:sz="4"/>
            </w:tcBorders>
            <w:shd w:fill="6B4423"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Terre 600</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#6B4423</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Texte secondaire</w:t>
            </w:r>
          </w:p>
        </w:tc>
      </w:tr>
      <w:tr>
        <w:tc>
          <w:tcPr>
            <w:tcW w:type="dxa" w:w="1500"/>
            <w:tcBorders>
              <w:top w:val="single" w:color="E5D2B5" w:sz="4"/>
              <w:left w:val="single" w:color="E5D2B5" w:sz="4"/>
              <w:bottom w:val="single" w:color="E5D2B5" w:sz="4"/>
              <w:right w:val="single" w:color="E5D2B5" w:sz="4"/>
            </w:tcBorders>
            <w:shd w:fill="2A1A0F" w:val="clear"/>
            <w:tcMar>
              <w:top w:type="dxa" w:w="200"/>
              <w:left w:type="dxa" w:w="140"/>
              <w:bottom w:type="dxa" w:w="200"/>
              <w:right w:type="dxa" w:w="140"/>
            </w:tcMar>
          </w:tcPr>
          <w:p>
            <w:r>
              <w:t xml:space="preserve"> </w:t>
            </w:r>
          </w:p>
        </w:tc>
        <w:tc>
          <w:tcPr>
            <w:tcW w:type="dxa" w:w="2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Terre 900 ★</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#2A1A0F</w:t>
            </w:r>
          </w:p>
        </w:tc>
        <w:tc>
          <w:tcPr>
            <w:tcW w:type="dxa" w:w="2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6B4423"/>
                <w:sz w:val="20"/>
                <w:szCs w:val="20"/>
              </w:rPr>
              <w:t xml:space="preserve">Texte principal, CTA, symbole</w:t>
            </w:r>
          </w:p>
        </w:tc>
      </w:tr>
    </w:tbl>
    <w:p>
      <w:pPr>
        <w:pStyle w:val="Heading2"/>
        <w:spacing w:after="160" w:before="280"/>
      </w:pPr>
      <w:r>
        <w:rPr>
          <w:color w:val="2A1A0F"/>
        </w:rPr>
        <w:t xml:space="preserve">3.3 Couleurs sémantiques</w:t>
      </w:r>
    </w:p>
    <w:p>
      <w:pPr>
        <w:pStyle w:val="Heading3"/>
        <w:spacing w:after="120" w:before="200"/>
      </w:pPr>
      <w:r>
        <w:rPr>
          <w:color w:val="2A1A0F"/>
        </w:rPr>
        <w:t xml:space="preserve">Palmeraie — Succès</w:t>
      </w:r>
    </w:p>
    <w:p>
      <w:pPr>
        <w:spacing w:after="120"/>
      </w:pPr>
      <w:r>
        <w:t xml:space="preserve">Vert profond des palmeraies oasis. Confirmation de paiement, statuts positifs.</w:t>
      </w:r>
    </w:p>
    <w:p>
      <w:pPr>
        <w:pStyle w:val="ListParagraph"/>
        <w:numPr>
          <w:ilvl w:val="0"/>
          <w:numId w:val="2"/>
        </w:numPr>
        <w:spacing w:after="80"/>
      </w:pPr>
      <w:r>
        <w:rPr>
          <w:rFonts w:ascii="Consolas" w:cs="Consolas" w:eastAsia="Consolas" w:hAnsi="Consolas"/>
          <w:b/>
          <w:bCs/>
        </w:rPr>
        <w:t xml:space="preserve">Palmeraie 50  </w:t>
      </w:r>
      <w:r>
        <w:t xml:space="preserve">#E8F0DC — Background success</w:t>
      </w:r>
    </w:p>
    <w:p>
      <w:pPr>
        <w:pStyle w:val="ListParagraph"/>
        <w:numPr>
          <w:ilvl w:val="0"/>
          <w:numId w:val="2"/>
        </w:numPr>
        <w:spacing w:after="80"/>
      </w:pPr>
      <w:r>
        <w:rPr>
          <w:rFonts w:ascii="Consolas" w:cs="Consolas" w:eastAsia="Consolas" w:hAnsi="Consolas"/>
          <w:b/>
          <w:bCs/>
        </w:rPr>
        <w:t xml:space="preserve">Palmeraie 600 </w:t>
      </w:r>
      <w:r>
        <w:t xml:space="preserve">#4A7C36 — Accent / point</w:t>
      </w:r>
    </w:p>
    <w:p>
      <w:pPr>
        <w:pStyle w:val="ListParagraph"/>
        <w:numPr>
          <w:ilvl w:val="0"/>
          <w:numId w:val="2"/>
        </w:numPr>
        <w:spacing w:after="80"/>
      </w:pPr>
      <w:r>
        <w:rPr>
          <w:rFonts w:ascii="Consolas" w:cs="Consolas" w:eastAsia="Consolas" w:hAnsi="Consolas"/>
          <w:b/>
          <w:bCs/>
        </w:rPr>
        <w:t xml:space="preserve">Palmeraie 800 </w:t>
      </w:r>
      <w:r>
        <w:t xml:space="preserve">#2C4F1F — Texte success</w:t>
      </w:r>
    </w:p>
    <w:p>
      <w:pPr>
        <w:pStyle w:val="Heading3"/>
        <w:spacing w:after="120" w:before="200"/>
      </w:pPr>
      <w:r>
        <w:rPr>
          <w:color w:val="2A1A0F"/>
        </w:rPr>
        <w:t xml:space="preserve">Brique — Danger</w:t>
      </w:r>
    </w:p>
    <w:p>
      <w:pPr>
        <w:spacing w:after="120"/>
      </w:pPr>
      <w:r>
        <w:t xml:space="preserve">Rouge profond de la brique cuite. Factures impayées, alertes critiques.</w:t>
      </w:r>
    </w:p>
    <w:p>
      <w:pPr>
        <w:pStyle w:val="ListParagraph"/>
        <w:numPr>
          <w:ilvl w:val="0"/>
          <w:numId w:val="2"/>
        </w:numPr>
        <w:spacing w:after="80"/>
      </w:pPr>
      <w:r>
        <w:rPr>
          <w:rFonts w:ascii="Consolas" w:cs="Consolas" w:eastAsia="Consolas" w:hAnsi="Consolas"/>
          <w:b/>
          <w:bCs/>
        </w:rPr>
        <w:t xml:space="preserve">Brique 50  </w:t>
      </w:r>
      <w:r>
        <w:t xml:space="preserve">#FAE8E0 — Background danger</w:t>
      </w:r>
    </w:p>
    <w:p>
      <w:pPr>
        <w:pStyle w:val="ListParagraph"/>
        <w:numPr>
          <w:ilvl w:val="0"/>
          <w:numId w:val="2"/>
        </w:numPr>
        <w:spacing w:after="80"/>
      </w:pPr>
      <w:r>
        <w:rPr>
          <w:rFonts w:ascii="Consolas" w:cs="Consolas" w:eastAsia="Consolas" w:hAnsi="Consolas"/>
          <w:b/>
          <w:bCs/>
        </w:rPr>
        <w:t xml:space="preserve">Brique 600 </w:t>
      </w:r>
      <w:r>
        <w:t xml:space="preserve">#B8421A — Accent</w:t>
      </w:r>
    </w:p>
    <w:p>
      <w:pPr>
        <w:pStyle w:val="ListParagraph"/>
        <w:numPr>
          <w:ilvl w:val="0"/>
          <w:numId w:val="2"/>
        </w:numPr>
        <w:spacing w:after="80"/>
      </w:pPr>
      <w:r>
        <w:rPr>
          <w:rFonts w:ascii="Consolas" w:cs="Consolas" w:eastAsia="Consolas" w:hAnsi="Consolas"/>
          <w:b/>
          <w:bCs/>
        </w:rPr>
        <w:t xml:space="preserve">Brique 800 </w:t>
      </w:r>
      <w:r>
        <w:t xml:space="preserve">#7A2A0E — Texte danger</w:t>
      </w:r>
    </w:p>
    <w:p>
      <w:pPr>
        <w:pStyle w:val="Heading3"/>
        <w:spacing w:after="120" w:before="200"/>
      </w:pPr>
      <w:r>
        <w:rPr>
          <w:color w:val="2A1A0F"/>
        </w:rPr>
        <w:t xml:space="preserve">Mil — Attention</w:t>
      </w:r>
    </w:p>
    <w:p>
      <w:pPr>
        <w:spacing w:after="120"/>
      </w:pPr>
      <w:r>
        <w:t xml:space="preserve">Jaune doré du mil mûr. Brouillons, attente, non critique.</w:t>
      </w:r>
    </w:p>
    <w:p>
      <w:pPr>
        <w:pStyle w:val="ListParagraph"/>
        <w:numPr>
          <w:ilvl w:val="0"/>
          <w:numId w:val="2"/>
        </w:numPr>
        <w:spacing w:after="80"/>
      </w:pPr>
      <w:r>
        <w:rPr>
          <w:rFonts w:ascii="Consolas" w:cs="Consolas" w:eastAsia="Consolas" w:hAnsi="Consolas"/>
          <w:b/>
          <w:bCs/>
        </w:rPr>
        <w:t xml:space="preserve">Mil 50  </w:t>
      </w:r>
      <w:r>
        <w:t xml:space="preserve">#FFF5D9</w:t>
      </w:r>
    </w:p>
    <w:p>
      <w:pPr>
        <w:pStyle w:val="ListParagraph"/>
        <w:numPr>
          <w:ilvl w:val="0"/>
          <w:numId w:val="2"/>
        </w:numPr>
        <w:spacing w:after="80"/>
      </w:pPr>
      <w:r>
        <w:rPr>
          <w:rFonts w:ascii="Consolas" w:cs="Consolas" w:eastAsia="Consolas" w:hAnsi="Consolas"/>
          <w:b/>
          <w:bCs/>
        </w:rPr>
        <w:t xml:space="preserve">Mil 400 </w:t>
      </w:r>
      <w:r>
        <w:t xml:space="preserve">#EFC548</w:t>
      </w:r>
    </w:p>
    <w:p>
      <w:pPr>
        <w:pStyle w:val="ListParagraph"/>
        <w:numPr>
          <w:ilvl w:val="0"/>
          <w:numId w:val="2"/>
        </w:numPr>
        <w:spacing w:after="80"/>
      </w:pPr>
      <w:r>
        <w:rPr>
          <w:rFonts w:ascii="Consolas" w:cs="Consolas" w:eastAsia="Consolas" w:hAnsi="Consolas"/>
          <w:b/>
          <w:bCs/>
        </w:rPr>
        <w:t xml:space="preserve">Mil 600 </w:t>
      </w:r>
      <w:r>
        <w:t xml:space="preserve">#BD9420</w:t>
      </w:r>
    </w:p>
    <w:p>
      <w:pPr>
        <w:pStyle w:val="Heading1"/>
        <w:pageBreakBefore/>
        <w:spacing w:after="200" w:before="360"/>
      </w:pPr>
      <w:r>
        <w:rPr>
          <w:color w:val="2A1A0F"/>
        </w:rPr>
        <w:t xml:space="preserve">4. Typographie</w:t>
      </w:r>
    </w:p>
    <w:p>
      <w:pPr>
        <w:pStyle w:val="Heading2"/>
        <w:spacing w:after="160" w:before="280"/>
      </w:pPr>
      <w:r>
        <w:rPr>
          <w:color w:val="2A1A0F"/>
        </w:rPr>
        <w:t xml:space="preserve">4.1 Fraunces — Display et titres</w:t>
      </w:r>
    </w:p>
    <w:p>
      <w:pPr>
        <w:spacing w:after="120"/>
      </w:pPr>
      <w:r>
        <w:t xml:space="preserve">Fraunces est la typographie display de BudiSuite. Serif moderne aux courbes vivantes et au caractère éditorial. Elle apporte immédiatement l'âme premium et chaleureuse.</w:t>
      </w:r>
    </w:p>
    <w:p>
      <w:pPr>
        <w:pStyle w:val="Heading3"/>
        <w:spacing w:after="120" w:before="200"/>
      </w:pPr>
      <w:r>
        <w:rPr>
          <w:color w:val="2A1A0F"/>
        </w:rPr>
        <w:t xml:space="preserve">Hiérarchie des poids</w:t>
      </w:r>
    </w:p>
    <w:p>
      <w:pPr>
        <w:pStyle w:val="ListParagraph"/>
        <w:numPr>
          <w:ilvl w:val="0"/>
          <w:numId w:val="2"/>
        </w:numPr>
        <w:spacing w:after="80"/>
      </w:pPr>
      <w:r>
        <w:t xml:space="preserve">Poids 300 (Light) — Hero et titres display 40px+ uniquement. Donne élégance et raffinement.</w:t>
      </w:r>
    </w:p>
    <w:p>
      <w:pPr>
        <w:pStyle w:val="ListParagraph"/>
        <w:numPr>
          <w:ilvl w:val="0"/>
          <w:numId w:val="2"/>
        </w:numPr>
        <w:spacing w:after="80"/>
      </w:pPr>
      <w:r>
        <w:t xml:space="preserve">Poids 400 (Regular) — Titres H2 et H3 (24px à 32px). Standard pour la plupart des titres.</w:t>
      </w:r>
    </w:p>
    <w:p>
      <w:pPr>
        <w:pStyle w:val="ListParagraph"/>
        <w:numPr>
          <w:ilvl w:val="0"/>
          <w:numId w:val="2"/>
        </w:numPr>
        <w:spacing w:after="80"/>
      </w:pPr>
      <w:r>
        <w:t xml:space="preserve">Poids 500 (Medium) — Wordmark logo, titres courts, chiffres importants.</w:t>
      </w:r>
    </w:p>
    <w:p>
      <w:pPr>
        <w:pStyle w:val="ListParagraph"/>
        <w:numPr>
          <w:ilvl w:val="0"/>
          <w:numId w:val="2"/>
        </w:numPr>
        <w:spacing w:after="80"/>
      </w:pPr>
      <w:r>
        <w:t xml:space="preserve">Italic 400 — Moments éditoriaux uniquement, en couleur soleil.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9B5A" w:sz="24"/>
              <w:bottom w:val="none" w:color="FFFFFF" w:sz="0"/>
              <w:right w:val="none" w:color="FFFFFF" w:sz="0"/>
            </w:tcBorders>
            <w:shd w:fill="FDF1DD" w:val="clear"/>
            <w:tcMar>
              <w:top w:type="dxa" w:w="160"/>
              <w:left w:type="dxa" w:w="240"/>
              <w:bottom w:type="dxa" w:w="160"/>
              <w:right w:type="dxa" w:w="240"/>
            </w:tcMar>
          </w:tcPr>
          <w:p>
            <w:pPr>
              <w:spacing w:after="80"/>
            </w:pPr>
            <w:r>
              <w:rPr>
                <w:b/>
                <w:bCs/>
                <w:color w:val="2A1A0F"/>
              </w:rPr>
              <w:t xml:space="preserve">Italic Fraunces — usage rare et précieux</w:t>
            </w:r>
          </w:p>
          <w:p>
            <w:r>
              <w:rPr>
                <w:color w:val="2A1A0F"/>
              </w:rPr>
              <w:t xml:space="preserve">L'italic est un moment éditorial. Réservé aux signatures verbales fortes : « Le cash qui rentre vraiment. », « Quatre modules, un seul outil. ». Maximum 1 à 2 italics par page. Toujours en cuivre soleil pour marquer le moment.</w:t>
            </w:r>
          </w:p>
        </w:tc>
      </w:tr>
    </w:tbl>
    <w:p>
      <w:pPr>
        <w:pStyle w:val="Heading2"/>
        <w:spacing w:after="160" w:before="280"/>
      </w:pPr>
      <w:r>
        <w:rPr>
          <w:color w:val="2A1A0F"/>
        </w:rPr>
        <w:t xml:space="preserve">4.2 Inter — Texte courant et UI</w:t>
      </w:r>
    </w:p>
    <w:p>
      <w:pPr>
        <w:spacing w:after="120"/>
      </w:pPr>
      <w:r>
        <w:t xml:space="preserve">Inter est la typographie sans-serif principale pour le texte courant, les formulaires et l'interface. Lisibilité optimale en toutes tailles, parfaite pour smartphones bas de gamme. Poids 400 et 500 uniquement.</w:t>
      </w:r>
    </w:p>
    <w:p>
      <w:pPr>
        <w:pStyle w:val="Heading2"/>
        <w:spacing w:after="160" w:before="280"/>
      </w:pPr>
      <w:r>
        <w:rPr>
          <w:color w:val="2A1A0F"/>
        </w:rPr>
        <w:t xml:space="preserve">4.3 JetBrains Mono — Technique</w:t>
      </w:r>
    </w:p>
    <w:p>
      <w:pPr>
        <w:spacing w:after="120"/>
      </w:pPr>
      <w:r>
        <w:t xml:space="preserve">Pour numéros de facture, codes, valeurs techniques précises. Apporte rigueur sans alourdir.</w:t>
      </w:r>
    </w:p>
    <w:p>
      <w:pPr>
        <w:pStyle w:val="Heading2"/>
        <w:spacing w:after="160" w:before="280"/>
      </w:pPr>
      <w:r>
        <w:rPr>
          <w:color w:val="2A1A0F"/>
        </w:rPr>
        <w:t xml:space="preserve">4.4 Échelle typographique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Token</w:t>
            </w:r>
          </w:p>
        </w:tc>
        <w:tc>
          <w:tcPr>
            <w:tcW w:type="dxa" w:w="15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Taille</w:t>
            </w:r>
          </w:p>
        </w:tc>
        <w:tc>
          <w:tcPr>
            <w:tcW w:type="dxa" w:w="15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Line height</w:t>
            </w:r>
          </w:p>
        </w:tc>
        <w:tc>
          <w:tcPr>
            <w:tcW w:type="dxa" w:w="486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Usage</w:t>
            </w:r>
          </w:p>
        </w:tc>
      </w:tr>
      <w:tr>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text-xs</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11px</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1.5</w:t>
            </w:r>
          </w:p>
        </w:tc>
        <w:tc>
          <w:tcPr>
            <w:tcW w:type="dxa" w:w="4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Labels uppercase, métadonnées</w:t>
            </w:r>
          </w:p>
        </w:tc>
      </w:tr>
      <w:tr>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text-sm</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13px</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1.5</w:t>
            </w:r>
          </w:p>
        </w:tc>
        <w:tc>
          <w:tcPr>
            <w:tcW w:type="dxa" w:w="48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Texte secondaire, helper</w:t>
            </w:r>
          </w:p>
        </w:tc>
      </w:tr>
      <w:tr>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text-base</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14px</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1.55</w:t>
            </w:r>
          </w:p>
        </w:tc>
        <w:tc>
          <w:tcPr>
            <w:tcW w:type="dxa" w:w="4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Texte UI, formulaires</w:t>
            </w:r>
          </w:p>
        </w:tc>
      </w:tr>
      <w:tr>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text-lg</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17px</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1.6</w:t>
            </w:r>
          </w:p>
        </w:tc>
        <w:tc>
          <w:tcPr>
            <w:tcW w:type="dxa" w:w="48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Body marketing, descriptions</w:t>
            </w:r>
          </w:p>
        </w:tc>
      </w:tr>
      <w:tr>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text-2xl</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24px</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1.2</w:t>
            </w:r>
          </w:p>
        </w:tc>
        <w:tc>
          <w:tcPr>
            <w:tcW w:type="dxa" w:w="4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H3 (Fraunces 400-500)</w:t>
            </w:r>
          </w:p>
        </w:tc>
      </w:tr>
      <w:tr>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text-3xl</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32px</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1.15</w:t>
            </w:r>
          </w:p>
        </w:tc>
        <w:tc>
          <w:tcPr>
            <w:tcW w:type="dxa" w:w="48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H2, chiffres clés</w:t>
            </w:r>
          </w:p>
        </w:tc>
      </w:tr>
      <w:tr>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text-4xl</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40px</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1.05</w:t>
            </w:r>
          </w:p>
        </w:tc>
        <w:tc>
          <w:tcPr>
            <w:tcW w:type="dxa" w:w="4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Hero secondaire (Fraunces 300)</w:t>
            </w:r>
          </w:p>
        </w:tc>
      </w:tr>
      <w:tr>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text-5xl</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56px</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1.0</w:t>
            </w:r>
          </w:p>
        </w:tc>
        <w:tc>
          <w:tcPr>
            <w:tcW w:type="dxa" w:w="48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Hero principal (Fraunces 300)</w:t>
            </w:r>
          </w:p>
        </w:tc>
      </w:tr>
      <w:tr>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text-6xl</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72px</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1.0</w:t>
            </w:r>
          </w:p>
        </w:tc>
        <w:tc>
          <w:tcPr>
            <w:tcW w:type="dxa" w:w="4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Méga chiffres dashboard</w:t>
            </w:r>
          </w:p>
        </w:tc>
      </w:tr>
    </w:tbl>
    <w:p>
      <w:pPr>
        <w:pStyle w:val="Heading1"/>
        <w:pageBreakBefore/>
        <w:spacing w:after="200" w:before="360"/>
      </w:pPr>
      <w:r>
        <w:rPr>
          <w:color w:val="2A1A0F"/>
        </w:rPr>
        <w:t xml:space="preserve">5. Composants UI</w:t>
      </w:r>
    </w:p>
    <w:p>
      <w:pPr>
        <w:pStyle w:val="Heading2"/>
        <w:spacing w:after="160" w:before="280"/>
      </w:pPr>
      <w:r>
        <w:rPr>
          <w:color w:val="2A1A0F"/>
        </w:rPr>
        <w:t xml:space="preserve">5.1 Boutons</w:t>
      </w:r>
    </w:p>
    <w:p>
      <w:pPr>
        <w:spacing w:after="120"/>
      </w:pPr>
      <w:r>
        <w:t xml:space="preserve">Les boutons BudiSuite ont des coins arrondis en pill (border-radius 100px) pour évoquer les calebasses et formes africaines organiques. Trois variantes principales :</w:t>
      </w:r>
    </w:p>
    <w:p>
      <w:pPr>
        <w:pStyle w:val="ListParagraph"/>
        <w:numPr>
          <w:ilvl w:val="0"/>
          <w:numId w:val="2"/>
        </w:numPr>
        <w:spacing w:after="80"/>
      </w:pPr>
      <w:r>
        <w:rPr>
          <w:b/>
          <w:bCs/>
        </w:rPr>
        <w:t xml:space="preserve">Principal  </w:t>
      </w:r>
      <w:r>
        <w:t xml:space="preserve">Background Terre 900 (#2A1A0F), texte Terre 100. Action principale unique. Pill 100px.</w:t>
      </w:r>
    </w:p>
    <w:p>
      <w:pPr>
        <w:pStyle w:val="ListParagraph"/>
        <w:numPr>
          <w:ilvl w:val="0"/>
          <w:numId w:val="2"/>
        </w:numPr>
        <w:spacing w:after="80"/>
      </w:pPr>
      <w:r>
        <w:rPr>
          <w:b/>
          <w:bCs/>
        </w:rPr>
        <w:t xml:space="preserve">Accent  </w:t>
      </w:r>
      <w:r>
        <w:t xml:space="preserve">Background Soleil 400 (#E89B5A), texte Terre 900. Action d'aboutissement (Encaisser maintenant).</w:t>
      </w:r>
    </w:p>
    <w:p>
      <w:pPr>
        <w:pStyle w:val="ListParagraph"/>
        <w:numPr>
          <w:ilvl w:val="0"/>
          <w:numId w:val="2"/>
        </w:numPr>
        <w:spacing w:after="80"/>
      </w:pPr>
      <w:r>
        <w:rPr>
          <w:b/>
          <w:bCs/>
        </w:rPr>
        <w:t xml:space="preserve">Texte  </w:t>
      </w:r>
      <w:r>
        <w:t xml:space="preserve">Pas de fond, texte Terre 900 + flèche →. Pour navigation discrète.</w:t>
      </w:r>
    </w:p>
    <w:p>
      <w:pPr>
        <w:pStyle w:val="Heading3"/>
        <w:spacing w:after="120" w:before="200"/>
      </w:pPr>
      <w:r>
        <w:rPr>
          <w:color w:val="2A1A0F"/>
        </w:rPr>
        <w:t xml:space="preserve">Spécifications</w:t>
      </w:r>
    </w:p>
    <w:p>
      <w:pPr>
        <w:pStyle w:val="ListParagraph"/>
        <w:numPr>
          <w:ilvl w:val="0"/>
          <w:numId w:val="2"/>
        </w:numPr>
        <w:spacing w:after="80"/>
      </w:pPr>
      <w:r>
        <w:t xml:space="preserve">Hauteur : 44px standard, 52px hero, 36px compact.</w:t>
      </w:r>
    </w:p>
    <w:p>
      <w:pPr>
        <w:pStyle w:val="ListParagraph"/>
        <w:numPr>
          <w:ilvl w:val="0"/>
          <w:numId w:val="2"/>
        </w:numPr>
        <w:spacing w:after="80"/>
      </w:pPr>
      <w:r>
        <w:t xml:space="preserve">Padding : 14px 26px standard, 16px 32px hero, 10px 18px compact.</w:t>
      </w:r>
    </w:p>
    <w:p>
      <w:pPr>
        <w:pStyle w:val="ListParagraph"/>
        <w:numPr>
          <w:ilvl w:val="0"/>
          <w:numId w:val="2"/>
        </w:numPr>
        <w:spacing w:after="80"/>
      </w:pPr>
      <w:r>
        <w:t xml:space="preserve">Border radius : 100px (pill complet).</w:t>
      </w:r>
    </w:p>
    <w:p>
      <w:pPr>
        <w:pStyle w:val="ListParagraph"/>
        <w:numPr>
          <w:ilvl w:val="0"/>
          <w:numId w:val="2"/>
        </w:numPr>
        <w:spacing w:after="80"/>
      </w:pPr>
      <w:r>
        <w:t xml:space="preserve">Font weight : 500 (medium).</w:t>
      </w:r>
    </w:p>
    <w:p>
      <w:pPr>
        <w:pStyle w:val="ListParagraph"/>
        <w:numPr>
          <w:ilvl w:val="0"/>
          <w:numId w:val="2"/>
        </w:numPr>
        <w:spacing w:after="80"/>
      </w:pPr>
      <w:r>
        <w:t xml:space="preserve">Transition hover : 120ms, légère obscurcissement -5%.</w:t>
      </w:r>
    </w:p>
    <w:p>
      <w:pPr>
        <w:pStyle w:val="Heading2"/>
        <w:spacing w:after="160" w:before="280"/>
      </w:pPr>
      <w:r>
        <w:rPr>
          <w:color w:val="2A1A0F"/>
        </w:rPr>
        <w:t xml:space="preserve">5.2 Cards</w:t>
      </w:r>
    </w:p>
    <w:p>
      <w:pPr>
        <w:pStyle w:val="ListParagraph"/>
        <w:numPr>
          <w:ilvl w:val="0"/>
          <w:numId w:val="2"/>
        </w:numPr>
        <w:spacing w:after="80"/>
      </w:pPr>
      <w:r>
        <w:t xml:space="preserve">Background : blanc ou Terre 100 selon contexte.</w:t>
      </w:r>
    </w:p>
    <w:p>
      <w:pPr>
        <w:pStyle w:val="ListParagraph"/>
        <w:numPr>
          <w:ilvl w:val="0"/>
          <w:numId w:val="2"/>
        </w:numPr>
        <w:spacing w:after="80"/>
      </w:pPr>
      <w:r>
        <w:t xml:space="preserve">Bordure : 0.5px rgba(42, 26, 15, 0.06) — très subtile.</w:t>
      </w:r>
    </w:p>
    <w:p>
      <w:pPr>
        <w:pStyle w:val="ListParagraph"/>
        <w:numPr>
          <w:ilvl w:val="0"/>
          <w:numId w:val="2"/>
        </w:numPr>
        <w:spacing w:after="80"/>
      </w:pPr>
      <w:r>
        <w:t xml:space="preserve">Border radius : 16px à 20px (organique, généreux).</w:t>
      </w:r>
    </w:p>
    <w:p>
      <w:pPr>
        <w:pStyle w:val="ListParagraph"/>
        <w:numPr>
          <w:ilvl w:val="0"/>
          <w:numId w:val="2"/>
        </w:numPr>
        <w:spacing w:after="80"/>
      </w:pPr>
      <w:r>
        <w:t xml:space="preserve">Padding : 18px à 28px selon densité.</w:t>
      </w:r>
    </w:p>
    <w:p>
      <w:pPr>
        <w:pStyle w:val="ListParagraph"/>
        <w:numPr>
          <w:ilvl w:val="0"/>
          <w:numId w:val="2"/>
        </w:numPr>
        <w:spacing w:after="80"/>
      </w:pPr>
      <w:r>
        <w:t xml:space="preserve">Ombre : shadow-sm très subtil ou rien du tout.</w:t>
      </w:r>
    </w:p>
    <w:p>
      <w:pPr>
        <w:pStyle w:val="Heading2"/>
        <w:spacing w:after="160" w:before="280"/>
      </w:pPr>
      <w:r>
        <w:rPr>
          <w:color w:val="2A1A0F"/>
        </w:rPr>
        <w:t xml:space="preserve">5.3 Badges et statuts</w:t>
      </w:r>
    </w:p>
    <w:p>
      <w:pPr>
        <w:spacing w:after="120"/>
      </w:pPr>
      <w:r>
        <w:t xml:space="preserve">Les badges utilisent toujours fond clair + texte foncé même teinte pour une lecture chaleureuse.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Statut</w:t>
            </w:r>
          </w:p>
        </w:tc>
        <w:tc>
          <w:tcPr>
            <w:tcW w:type="dxa" w:w="24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Usage</w:t>
            </w:r>
          </w:p>
        </w:tc>
        <w:tc>
          <w:tcPr>
            <w:tcW w:type="dxa" w:w="22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Background</w:t>
            </w:r>
          </w:p>
        </w:tc>
        <w:tc>
          <w:tcPr>
            <w:tcW w:type="dxa" w:w="236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Texte</w:t>
            </w:r>
          </w:p>
        </w:tc>
      </w:tr>
      <w:tr>
        <w:tc>
          <w:tcPr>
            <w:tcW w:type="dxa" w:w="24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Payée</w:t>
            </w:r>
          </w:p>
        </w:tc>
        <w:tc>
          <w:tcPr>
            <w:tcW w:type="dxa" w:w="24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Facture encaissée</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Palmeraie 50</w:t>
            </w:r>
          </w:p>
        </w:tc>
        <w:tc>
          <w:tcPr>
            <w:tcW w:type="dxa" w:w="23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Palmeraie 800</w:t>
            </w:r>
          </w:p>
        </w:tc>
      </w:tr>
      <w:tr>
        <w:tc>
          <w:tcPr>
            <w:tcW w:type="dxa" w:w="24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b/>
                <w:bCs/>
                <w:color w:val="2A1A0F"/>
                <w:sz w:val="20"/>
                <w:szCs w:val="20"/>
              </w:rPr>
              <w:t xml:space="preserve">En attente</w:t>
            </w:r>
          </w:p>
        </w:tc>
        <w:tc>
          <w:tcPr>
            <w:tcW w:type="dxa" w:w="24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Envoyée non payée</w:t>
            </w:r>
          </w:p>
        </w:tc>
        <w:tc>
          <w:tcPr>
            <w:tcW w:type="dxa" w:w="2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Soleil 50</w:t>
            </w:r>
          </w:p>
        </w:tc>
        <w:tc>
          <w:tcPr>
            <w:tcW w:type="dxa" w:w="23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Soleil 800</w:t>
            </w:r>
          </w:p>
        </w:tc>
      </w:tr>
      <w:tr>
        <w:tc>
          <w:tcPr>
            <w:tcW w:type="dxa" w:w="24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En retard</w:t>
            </w:r>
          </w:p>
        </w:tc>
        <w:tc>
          <w:tcPr>
            <w:tcW w:type="dxa" w:w="24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Échéance dépassée</w:t>
            </w:r>
          </w:p>
        </w:tc>
        <w:tc>
          <w:tcPr>
            <w:tcW w:type="dxa" w:w="2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Brique 50</w:t>
            </w:r>
          </w:p>
        </w:tc>
        <w:tc>
          <w:tcPr>
            <w:tcW w:type="dxa" w:w="23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Brique 800</w:t>
            </w:r>
          </w:p>
        </w:tc>
      </w:tr>
      <w:tr>
        <w:tc>
          <w:tcPr>
            <w:tcW w:type="dxa" w:w="24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b/>
                <w:bCs/>
                <w:color w:val="2A1A0F"/>
                <w:sz w:val="20"/>
                <w:szCs w:val="20"/>
              </w:rPr>
              <w:t xml:space="preserve">Brouillon</w:t>
            </w:r>
          </w:p>
        </w:tc>
        <w:tc>
          <w:tcPr>
            <w:tcW w:type="dxa" w:w="24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Pas envoyée</w:t>
            </w:r>
          </w:p>
        </w:tc>
        <w:tc>
          <w:tcPr>
            <w:tcW w:type="dxa" w:w="2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Terre 100</w:t>
            </w:r>
          </w:p>
        </w:tc>
        <w:tc>
          <w:tcPr>
            <w:tcW w:type="dxa" w:w="23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rFonts w:ascii="Consolas" w:cs="Consolas" w:eastAsia="Consolas" w:hAnsi="Consolas"/>
                <w:color w:val="2A1A0F"/>
                <w:sz w:val="20"/>
                <w:szCs w:val="20"/>
              </w:rPr>
              <w:t xml:space="preserve">Terre 600</w:t>
            </w:r>
          </w:p>
        </w:tc>
      </w:tr>
    </w:tbl>
    <w:p>
      <w:pPr>
        <w:spacing w:after="120"/>
      </w:pPr>
      <w:r>
        <w:t xml:space="preserve">Spec badges : padding 4px 12px, border-radius 12px (pas pill complet), font-size 11px, font-weight 500.</w:t>
      </w:r>
    </w:p>
    <w:p>
      <w:pPr>
        <w:pStyle w:val="Heading2"/>
        <w:spacing w:after="160" w:before="280"/>
      </w:pPr>
      <w:r>
        <w:rPr>
          <w:color w:val="2A1A0F"/>
        </w:rPr>
        <w:t xml:space="preserve">5.4 Inputs et formulaires</w:t>
      </w:r>
    </w:p>
    <w:p>
      <w:pPr>
        <w:pStyle w:val="ListParagraph"/>
        <w:numPr>
          <w:ilvl w:val="0"/>
          <w:numId w:val="2"/>
        </w:numPr>
        <w:spacing w:after="80"/>
      </w:pPr>
      <w:r>
        <w:t xml:space="preserve">Hauteur : 44px desktop et mobile (touch-friendly).</w:t>
      </w:r>
    </w:p>
    <w:p>
      <w:pPr>
        <w:pStyle w:val="ListParagraph"/>
        <w:numPr>
          <w:ilvl w:val="0"/>
          <w:numId w:val="2"/>
        </w:numPr>
        <w:spacing w:after="80"/>
      </w:pPr>
      <w:r>
        <w:t xml:space="preserve">Bordure : 0.5px Terre 200 au repos, Soleil 300 au focus.</w:t>
      </w:r>
    </w:p>
    <w:p>
      <w:pPr>
        <w:pStyle w:val="ListParagraph"/>
        <w:numPr>
          <w:ilvl w:val="0"/>
          <w:numId w:val="2"/>
        </w:numPr>
        <w:spacing w:after="80"/>
      </w:pPr>
      <w:r>
        <w:t xml:space="preserve">Padding : 12px 16px.</w:t>
      </w:r>
    </w:p>
    <w:p>
      <w:pPr>
        <w:pStyle w:val="ListParagraph"/>
        <w:numPr>
          <w:ilvl w:val="0"/>
          <w:numId w:val="2"/>
        </w:numPr>
        <w:spacing w:after="80"/>
      </w:pPr>
      <w:r>
        <w:t xml:space="preserve">Border radius : 12px (radius-md, plus généreux que tech standard).</w:t>
      </w:r>
    </w:p>
    <w:p>
      <w:pPr>
        <w:pStyle w:val="ListParagraph"/>
        <w:numPr>
          <w:ilvl w:val="0"/>
          <w:numId w:val="2"/>
        </w:numPr>
        <w:spacing w:after="80"/>
      </w:pPr>
      <w:r>
        <w:t xml:space="preserve">Focus ring : shadow-focus (3px rgba(232,155,90,0.25)).</w:t>
      </w:r>
    </w:p>
    <w:p>
      <w:pPr>
        <w:pStyle w:val="ListParagraph"/>
        <w:numPr>
          <w:ilvl w:val="0"/>
          <w:numId w:val="2"/>
        </w:numPr>
        <w:spacing w:after="80"/>
      </w:pPr>
      <w:r>
        <w:t xml:space="preserve">Label : Terre 700, text-sm, font-weight 500, au-dessus.</w:t>
      </w:r>
    </w:p>
    <w:p>
      <w:pPr>
        <w:pStyle w:val="ListParagraph"/>
        <w:numPr>
          <w:ilvl w:val="0"/>
          <w:numId w:val="2"/>
        </w:numPr>
        <w:spacing w:after="80"/>
      </w:pPr>
      <w:r>
        <w:t xml:space="preserve">Helper : Terre 500, text-xs, en dessous.</w:t>
      </w:r>
    </w:p>
    <w:p>
      <w:pPr>
        <w:pStyle w:val="ListParagraph"/>
        <w:numPr>
          <w:ilvl w:val="0"/>
          <w:numId w:val="2"/>
        </w:numPr>
        <w:spacing w:after="80"/>
      </w:pPr>
      <w:r>
        <w:t xml:space="preserve">Erreur : bordure Brique 400, helper Brique 800.</w:t>
      </w:r>
    </w:p>
    <w:p>
      <w:pPr>
        <w:pStyle w:val="Heading2"/>
        <w:spacing w:after="160" w:before="280"/>
      </w:pPr>
      <w:r>
        <w:rPr>
          <w:color w:val="2A1A0F"/>
        </w:rPr>
        <w:t xml:space="preserve">5.5 Avatars</w:t>
      </w:r>
    </w:p>
    <w:p>
      <w:pPr>
        <w:spacing w:after="120"/>
      </w:pPr>
      <w:r>
        <w:t xml:space="preserve">Cercles complets avec initiale en Fraunces 500 sur fond Soleil 100 + texte Terre 900. Taille standard 40px, large 64px.</w:t>
      </w:r>
    </w:p>
    <w:p>
      <w:pPr>
        <w:pStyle w:val="Heading2"/>
        <w:spacing w:after="160" w:before="280"/>
      </w:pPr>
      <w:r>
        <w:rPr>
          <w:color w:val="2A1A0F"/>
        </w:rPr>
        <w:t xml:space="preserve">5.6 Décoration soleil</w:t>
      </w:r>
    </w:p>
    <w:p>
      <w:pPr>
        <w:spacing w:after="120"/>
      </w:pPr>
      <w:r>
        <w:t xml:space="preserve">Hero sections peuvent inclure un soleil décoratif en arrière-plan : cercle dégradé radial Soleil 400 à 70% d'opacité, débordant en haut à droite ou bas à droite. Apporte chaleur sans dominer.</w:t>
      </w:r>
    </w:p>
    <w:p>
      <w:pPr>
        <w:pStyle w:val="Heading1"/>
        <w:pageBreakBefore/>
        <w:spacing w:after="200" w:before="360"/>
      </w:pPr>
      <w:r>
        <w:rPr>
          <w:color w:val="2A1A0F"/>
        </w:rPr>
        <w:t xml:space="preserve">6. Principes d'application</w:t>
      </w:r>
    </w:p>
    <w:p>
      <w:pPr>
        <w:pStyle w:val="Heading2"/>
        <w:spacing w:after="160" w:before="280"/>
      </w:pPr>
      <w:r>
        <w:rPr>
          <w:color w:val="2A1A0F"/>
        </w:rPr>
        <w:t xml:space="preserve">6.1 Espace négatif généreux</w:t>
      </w:r>
    </w:p>
    <w:p>
      <w:pPr>
        <w:spacing w:after="120"/>
      </w:pPr>
      <w:r>
        <w:t xml:space="preserve">BudiSuite respire. Padding 28px à 36px sur les cards majeures. Sections espacées de 56px à 80px. Les hero sections ont 36px à 48px de padding interne.</w:t>
      </w:r>
    </w:p>
    <w:p>
      <w:pPr>
        <w:pStyle w:val="Heading2"/>
        <w:spacing w:after="160" w:before="280"/>
      </w:pPr>
      <w:r>
        <w:rPr>
          <w:color w:val="2A1A0F"/>
        </w:rPr>
        <w:t xml:space="preserve">6.2 Hiérarchie typographique forte</w:t>
      </w:r>
    </w:p>
    <w:p>
      <w:pPr>
        <w:spacing w:after="120"/>
      </w:pPr>
      <w:r>
        <w:t xml:space="preserve">Une seule donnée dominante par card. Les autres informations descendent en taille et en intensité. L'œil se pose, ne court pas.</w:t>
      </w:r>
    </w:p>
    <w:p>
      <w:pPr>
        <w:spacing w:after="120"/>
      </w:pPr>
      <w:r>
        <w:t xml:space="preserve">Exemple sur le dashboard : le chiffre d'encaissement principal est en text-6xl (72px), Fraunces 300, alors que les statistiques secondaires sont en text-3xl (32px), Fraunces 400.</w:t>
      </w:r>
    </w:p>
    <w:p>
      <w:pPr>
        <w:pStyle w:val="Heading2"/>
        <w:spacing w:after="160" w:before="280"/>
      </w:pPr>
      <w:r>
        <w:rPr>
          <w:color w:val="2A1A0F"/>
        </w:rPr>
        <w:t xml:space="preserve">6.3 Discipline chromatique</w:t>
      </w:r>
    </w:p>
    <w:p>
      <w:pPr>
        <w:pStyle w:val="ListParagraph"/>
        <w:numPr>
          <w:ilvl w:val="0"/>
          <w:numId w:val="2"/>
        </w:numPr>
        <w:spacing w:after="80"/>
      </w:pPr>
      <w:r>
        <w:t xml:space="preserve">Terre 25 (#FCF7EE) = fond de page par défaut, chaud.</w:t>
      </w:r>
    </w:p>
    <w:p>
      <w:pPr>
        <w:pStyle w:val="ListParagraph"/>
        <w:numPr>
          <w:ilvl w:val="0"/>
          <w:numId w:val="2"/>
        </w:numPr>
        <w:spacing w:after="80"/>
      </w:pPr>
      <w:r>
        <w:t xml:space="preserve">Terre 100 (#F4E4CC) = fond hero, chaud plus marqué.</w:t>
      </w:r>
    </w:p>
    <w:p>
      <w:pPr>
        <w:pStyle w:val="ListParagraph"/>
        <w:numPr>
          <w:ilvl w:val="0"/>
          <w:numId w:val="2"/>
        </w:numPr>
        <w:spacing w:after="80"/>
      </w:pPr>
      <w:r>
        <w:t xml:space="preserve">Terre 900 (#2A1A0F) = textes principaux, CTA primaire, symbole du logo.</w:t>
      </w:r>
    </w:p>
    <w:p>
      <w:pPr>
        <w:pStyle w:val="ListParagraph"/>
        <w:numPr>
          <w:ilvl w:val="0"/>
          <w:numId w:val="2"/>
        </w:numPr>
        <w:spacing w:after="80"/>
      </w:pPr>
      <w:r>
        <w:t xml:space="preserve">Soleil 400 (#E89B5A) = signature, ne dépasse jamais 15% de la surface.</w:t>
      </w:r>
    </w:p>
    <w:p>
      <w:pPr>
        <w:pStyle w:val="ListParagraph"/>
        <w:numPr>
          <w:ilvl w:val="0"/>
          <w:numId w:val="2"/>
        </w:numPr>
        <w:spacing w:after="80"/>
      </w:pPr>
      <w:r>
        <w:t xml:space="preserve">Palmeraie / Brique / Mil = uniquement pour statuts sémantiques.</w:t>
      </w:r>
    </w:p>
    <w:p>
      <w:pPr>
        <w:pStyle w:val="ListParagraph"/>
        <w:numPr>
          <w:ilvl w:val="0"/>
          <w:numId w:val="2"/>
        </w:numPr>
        <w:spacing w:after="80"/>
      </w:pPr>
      <w:r>
        <w:t xml:space="preserve">Jamais de couleurs random pour décorer.</w:t>
      </w:r>
    </w:p>
    <w:p>
      <w:pPr>
        <w:pStyle w:val="Heading2"/>
        <w:spacing w:after="160" w:before="280"/>
      </w:pPr>
      <w:r>
        <w:rPr>
          <w:color w:val="2A1A0F"/>
        </w:rPr>
        <w:t xml:space="preserve">6.4 Animations subtiles</w:t>
      </w:r>
    </w:p>
    <w:p>
      <w:pPr>
        <w:pStyle w:val="ListParagraph"/>
        <w:numPr>
          <w:ilvl w:val="0"/>
          <w:numId w:val="2"/>
        </w:numPr>
        <w:spacing w:after="80"/>
      </w:pPr>
      <w:r>
        <w:t xml:space="preserve">Transitions hover : 120ms ease-out, jamais plus.</w:t>
      </w:r>
    </w:p>
    <w:p>
      <w:pPr>
        <w:pStyle w:val="ListParagraph"/>
        <w:numPr>
          <w:ilvl w:val="0"/>
          <w:numId w:val="2"/>
        </w:numPr>
        <w:spacing w:after="80"/>
      </w:pPr>
      <w:r>
        <w:t xml:space="preserve">Pas d'animations parallax ou fade-in massif au scroll.</w:t>
      </w:r>
    </w:p>
    <w:p>
      <w:pPr>
        <w:pStyle w:val="ListParagraph"/>
        <w:numPr>
          <w:ilvl w:val="0"/>
          <w:numId w:val="2"/>
        </w:numPr>
        <w:spacing w:after="80"/>
      </w:pPr>
      <w:r>
        <w:t xml:space="preserve">Le logo peut animer les pétales (rotation lente, pulse de l'accent) en splash screen uniquement.</w:t>
      </w:r>
    </w:p>
    <w:p>
      <w:pPr>
        <w:pStyle w:val="ListParagraph"/>
        <w:numPr>
          <w:ilvl w:val="0"/>
          <w:numId w:val="2"/>
        </w:numPr>
        <w:spacing w:after="80"/>
      </w:pPr>
      <w:r>
        <w:t xml:space="preserve">Loading : skeleton screens minimalistes, jamais de spinners agressifs.</w:t>
      </w:r>
    </w:p>
    <w:p>
      <w:pPr>
        <w:pStyle w:val="Heading2"/>
        <w:spacing w:after="160" w:before="280"/>
      </w:pPr>
      <w:r>
        <w:rPr>
          <w:color w:val="2A1A0F"/>
        </w:rPr>
        <w:t xml:space="preserve">6.5 Italic Fraunces — moments éditoriaux</w:t>
      </w:r>
    </w:p>
    <w:p>
      <w:pPr>
        <w:spacing w:after="120"/>
      </w:pPr>
      <w:r>
        <w:t xml:space="preserve">L'italic est rare et précieux. Maximum 1-2 italics Fraunces par page. Toujours en Soleil 400 ou Soleil 600. Toujours pour porter un message de marque fort.</w:t>
      </w:r>
    </w:p>
    <w:p>
      <w:pPr>
        <w:spacing w:after="120"/>
      </w:pPr>
      <w:r>
        <w:t xml:space="preserve">Exemples corrects :</w:t>
      </w:r>
    </w:p>
    <w:p>
      <w:pPr>
        <w:pStyle w:val="ListParagraph"/>
        <w:numPr>
          <w:ilvl w:val="0"/>
          <w:numId w:val="2"/>
        </w:numPr>
        <w:spacing w:after="80"/>
      </w:pPr>
      <w:r>
        <w:t xml:space="preserve">« Le cash qui rentre vraiment. »</w:t>
      </w:r>
    </w:p>
    <w:p>
      <w:pPr>
        <w:pStyle w:val="ListParagraph"/>
        <w:numPr>
          <w:ilvl w:val="0"/>
          <w:numId w:val="2"/>
        </w:numPr>
        <w:spacing w:after="80"/>
      </w:pPr>
      <w:r>
        <w:t xml:space="preserve">« Quatre modules. Un seul outil. »</w:t>
      </w:r>
    </w:p>
    <w:p>
      <w:pPr>
        <w:pStyle w:val="ListParagraph"/>
        <w:numPr>
          <w:ilvl w:val="0"/>
          <w:numId w:val="2"/>
        </w:numPr>
        <w:spacing w:after="80"/>
      </w:pPr>
      <w:r>
        <w:t xml:space="preserve">« Une PME, c'est du cash qui circule. »</w:t>
      </w:r>
    </w:p>
    <w:p>
      <w:pPr>
        <w:pStyle w:val="Heading2"/>
        <w:spacing w:after="160" w:before="280"/>
      </w:pPr>
      <w:r>
        <w:rPr>
          <w:color w:val="2A1A0F"/>
        </w:rPr>
        <w:t xml:space="preserve">6.6 Formes organiques</w:t>
      </w:r>
    </w:p>
    <w:p>
      <w:pPr>
        <w:spacing w:after="120"/>
      </w:pPr>
      <w:r>
        <w:t xml:space="preserve">Les rayons de bordure sont systématiquement plus généreux que dans un design tech standard :</w:t>
      </w:r>
    </w:p>
    <w:p>
      <w:pPr>
        <w:pStyle w:val="ListParagraph"/>
        <w:numPr>
          <w:ilvl w:val="0"/>
          <w:numId w:val="2"/>
        </w:numPr>
        <w:spacing w:after="80"/>
      </w:pPr>
      <w:r>
        <w:t xml:space="preserve">Boutons : pill complet (100px) — évoque calebasses et formes africaines.</w:t>
      </w:r>
    </w:p>
    <w:p>
      <w:pPr>
        <w:pStyle w:val="ListParagraph"/>
        <w:numPr>
          <w:ilvl w:val="0"/>
          <w:numId w:val="2"/>
        </w:numPr>
        <w:spacing w:after="80"/>
      </w:pPr>
      <w:r>
        <w:t xml:space="preserve">Cards : 16px à 20px — chaleureux sans être enfantin.</w:t>
      </w:r>
    </w:p>
    <w:p>
      <w:pPr>
        <w:pStyle w:val="ListParagraph"/>
        <w:numPr>
          <w:ilvl w:val="0"/>
          <w:numId w:val="2"/>
        </w:numPr>
        <w:spacing w:after="80"/>
      </w:pPr>
      <w:r>
        <w:t xml:space="preserve">Inputs : 12px — plus rond qu'un standard 8px.</w:t>
      </w:r>
    </w:p>
    <w:p>
      <w:pPr>
        <w:pStyle w:val="ListParagraph"/>
        <w:numPr>
          <w:ilvl w:val="0"/>
          <w:numId w:val="2"/>
        </w:numPr>
        <w:spacing w:after="80"/>
      </w:pPr>
      <w:r>
        <w:t xml:space="preserve">App icon et favicons : 6px à 22% du carré — suit la convention iOS tout en restant doux.</w:t>
      </w:r>
    </w:p>
    <w:p>
      <w:pPr>
        <w:pStyle w:val="Heading1"/>
        <w:pageBreakBefore/>
        <w:spacing w:after="200" w:before="360"/>
      </w:pPr>
      <w:r>
        <w:rPr>
          <w:color w:val="2A1A0F"/>
        </w:rPr>
        <w:t xml:space="preserve">7. Implémentation technique</w:t>
      </w:r>
    </w:p>
    <w:p>
      <w:pPr>
        <w:pStyle w:val="Heading2"/>
        <w:spacing w:after="160" w:before="280"/>
      </w:pPr>
      <w:r>
        <w:rPr>
          <w:color w:val="2A1A0F"/>
        </w:rPr>
        <w:t xml:space="preserve">7.1 Fichiers fournis</w:t>
      </w:r>
    </w:p>
    <w:p>
      <w:pPr>
        <w:pStyle w:val="ListParagraph"/>
        <w:numPr>
          <w:ilvl w:val="0"/>
          <w:numId w:val="2"/>
        </w:numPr>
        <w:spacing w:after="80"/>
      </w:pPr>
      <w:r>
        <w:t xml:space="preserve">budisuite-tokens.css — CSS variables et @theme block pour Tailwind v4.</w:t>
      </w:r>
    </w:p>
    <w:p>
      <w:pPr>
        <w:pStyle w:val="ListParagraph"/>
        <w:numPr>
          <w:ilvl w:val="0"/>
          <w:numId w:val="2"/>
        </w:numPr>
        <w:spacing w:after="80"/>
      </w:pPr>
      <w:r>
        <w:t xml:space="preserve">budisuite-tokens.json — Format JSON pour automatisation et Style Dictionary.</w:t>
      </w:r>
    </w:p>
    <w:p>
      <w:pPr>
        <w:pStyle w:val="ListParagraph"/>
        <w:numPr>
          <w:ilvl w:val="0"/>
          <w:numId w:val="2"/>
        </w:numPr>
        <w:spacing w:after="80"/>
      </w:pPr>
      <w:r>
        <w:t xml:space="preserve">7 fichiers SVG logo et icônes.</w:t>
      </w:r>
    </w:p>
    <w:p>
      <w:pPr>
        <w:pStyle w:val="Heading2"/>
        <w:spacing w:after="160" w:before="280"/>
      </w:pPr>
      <w:r>
        <w:rPr>
          <w:color w:val="2A1A0F"/>
        </w:rPr>
        <w:t xml:space="preserve">7.2 Intégration Tailwind v4</w:t>
      </w:r>
    </w:p>
    <w:p>
      <w:pPr>
        <w:shd w:fill="F8EFDF" w:val="clear"/>
        <w:spacing w:after="60" w:before="40"/>
        <w:ind w:left="360"/>
      </w:pPr>
      <w:r>
        <w:rPr>
          <w:rFonts w:ascii="Consolas" w:cs="Consolas" w:eastAsia="Consolas" w:hAnsi="Consolas"/>
          <w:sz w:val="18"/>
          <w:szCs w:val="18"/>
        </w:rPr>
        <w:t xml:space="preserve">// app.css</w:t>
      </w:r>
    </w:p>
    <w:p>
      <w:pPr>
        <w:shd w:fill="F8EFDF" w:val="clear"/>
        <w:spacing w:after="60" w:before="40"/>
        <w:ind w:left="360"/>
      </w:pPr>
      <w:r>
        <w:rPr>
          <w:rFonts w:ascii="Consolas" w:cs="Consolas" w:eastAsia="Consolas" w:hAnsi="Consolas"/>
          <w:sz w:val="18"/>
          <w:szCs w:val="18"/>
        </w:rPr>
        <w:t xml:space="preserve">@import "tailwindcss";</w:t>
      </w:r>
    </w:p>
    <w:p>
      <w:pPr>
        <w:shd w:fill="F8EFDF" w:val="clear"/>
        <w:spacing w:after="60" w:before="40"/>
        <w:ind w:left="360"/>
      </w:pPr>
      <w:r>
        <w:rPr>
          <w:rFonts w:ascii="Consolas" w:cs="Consolas" w:eastAsia="Consolas" w:hAnsi="Consolas"/>
          <w:sz w:val="18"/>
          <w:szCs w:val="18"/>
        </w:rPr>
        <w:t xml:space="preserve">@import "./budisuite-tokens.css";</w:t>
      </w:r>
    </w:p>
    <w:p>
      <w:pPr>
        <w:shd w:fill="F8EFDF" w:val="clear"/>
        <w:spacing w:after="60" w:before="40"/>
        <w:ind w:left="360"/>
      </w:pPr>
      <w:r>
        <w:rPr>
          <w:rFonts w:ascii="Consolas" w:cs="Consolas" w:eastAsia="Consolas" w:hAnsi="Consolas"/>
          <w:sz w:val="18"/>
          <w:szCs w:val="18"/>
        </w:rPr>
        <w:t xml:space="preserve"/>
      </w:r>
    </w:p>
    <w:p>
      <w:pPr>
        <w:shd w:fill="F8EFDF" w:val="clear"/>
        <w:spacing w:after="60" w:before="40"/>
        <w:ind w:left="360"/>
      </w:pPr>
      <w:r>
        <w:rPr>
          <w:rFonts w:ascii="Consolas" w:cs="Consolas" w:eastAsia="Consolas" w:hAnsi="Consolas"/>
          <w:sz w:val="18"/>
          <w:szCs w:val="18"/>
        </w:rPr>
        <w:t xml:space="preserve">// Usage dans les composants</w:t>
      </w:r>
    </w:p>
    <w:p>
      <w:pPr>
        <w:shd w:fill="F8EFDF" w:val="clear"/>
        <w:spacing w:after="60" w:before="40"/>
        <w:ind w:left="360"/>
      </w:pPr>
      <w:r>
        <w:rPr>
          <w:rFonts w:ascii="Consolas" w:cs="Consolas" w:eastAsia="Consolas" w:hAnsi="Consolas"/>
          <w:sz w:val="18"/>
          <w:szCs w:val="18"/>
        </w:rPr>
        <w:t xml:space="preserve">&lt;button class="bg-terre-900 text-terre-100 rounded-pill"&gt;</w:t>
      </w:r>
    </w:p>
    <w:p>
      <w:pPr>
        <w:shd w:fill="F8EFDF" w:val="clear"/>
        <w:spacing w:after="60" w:before="40"/>
        <w:ind w:left="360"/>
      </w:pPr>
      <w:r>
        <w:rPr>
          <w:rFonts w:ascii="Consolas" w:cs="Consolas" w:eastAsia="Consolas" w:hAnsi="Consolas"/>
          <w:sz w:val="18"/>
          <w:szCs w:val="18"/>
        </w:rPr>
        <w:t xml:space="preserve">  Démarrer</w:t>
      </w:r>
    </w:p>
    <w:p>
      <w:pPr>
        <w:shd w:fill="F8EFDF" w:val="clear"/>
        <w:spacing w:after="60" w:before="40"/>
        <w:ind w:left="360"/>
      </w:pPr>
      <w:r>
        <w:rPr>
          <w:rFonts w:ascii="Consolas" w:cs="Consolas" w:eastAsia="Consolas" w:hAnsi="Consolas"/>
          <w:sz w:val="18"/>
          <w:szCs w:val="18"/>
        </w:rPr>
        <w:t xml:space="preserve">&lt;/button&gt;</w:t>
      </w:r>
    </w:p>
    <w:p>
      <w:pPr>
        <w:pStyle w:val="Heading3"/>
        <w:spacing w:after="120" w:before="200"/>
      </w:pPr>
      <w:r>
        <w:rPr>
          <w:color w:val="2A1A0F"/>
        </w:rPr>
        <w:t xml:space="preserve">Charger les polices</w:t>
      </w:r>
    </w:p>
    <w:p>
      <w:pPr>
        <w:shd w:fill="F8EFDF" w:val="clear"/>
        <w:spacing w:after="60" w:before="40"/>
        <w:ind w:left="360"/>
      </w:pPr>
      <w:r>
        <w:rPr>
          <w:rFonts w:ascii="Consolas" w:cs="Consolas" w:eastAsia="Consolas" w:hAnsi="Consolas"/>
          <w:sz w:val="18"/>
          <w:szCs w:val="18"/>
        </w:rPr>
        <w:t xml:space="preserve">npm install @fontsource-variable/fraunces</w:t>
      </w:r>
    </w:p>
    <w:p>
      <w:pPr>
        <w:shd w:fill="F8EFDF" w:val="clear"/>
        <w:spacing w:after="60" w:before="40"/>
        <w:ind w:left="360"/>
      </w:pPr>
      <w:r>
        <w:rPr>
          <w:rFonts w:ascii="Consolas" w:cs="Consolas" w:eastAsia="Consolas" w:hAnsi="Consolas"/>
          <w:sz w:val="18"/>
          <w:szCs w:val="18"/>
        </w:rPr>
        <w:t xml:space="preserve">npm install @fontsource-variable/inter</w:t>
      </w:r>
    </w:p>
    <w:p>
      <w:pPr>
        <w:shd w:fill="F8EFDF" w:val="clear"/>
        <w:spacing w:after="60" w:before="40"/>
        <w:ind w:left="360"/>
      </w:pPr>
      <w:r>
        <w:rPr>
          <w:rFonts w:ascii="Consolas" w:cs="Consolas" w:eastAsia="Consolas" w:hAnsi="Consolas"/>
          <w:sz w:val="18"/>
          <w:szCs w:val="18"/>
        </w:rPr>
        <w:t xml:space="preserve">npm install @fontsource-variable/jetbrains-mono</w:t>
      </w:r>
    </w:p>
    <w:p>
      <w:pPr>
        <w:shd w:fill="F8EFDF" w:val="clear"/>
        <w:spacing w:after="60" w:before="40"/>
        <w:ind w:left="360"/>
      </w:pPr>
      <w:r>
        <w:rPr>
          <w:rFonts w:ascii="Consolas" w:cs="Consolas" w:eastAsia="Consolas" w:hAnsi="Consolas"/>
          <w:sz w:val="18"/>
          <w:szCs w:val="18"/>
        </w:rPr>
        <w:t xml:space="preserve"/>
      </w:r>
    </w:p>
    <w:p>
      <w:pPr>
        <w:shd w:fill="F8EFDF" w:val="clear"/>
        <w:spacing w:after="60" w:before="40"/>
        <w:ind w:left="360"/>
      </w:pPr>
      <w:r>
        <w:rPr>
          <w:rFonts w:ascii="Consolas" w:cs="Consolas" w:eastAsia="Consolas" w:hAnsi="Consolas"/>
          <w:sz w:val="18"/>
          <w:szCs w:val="18"/>
        </w:rPr>
        <w:t xml:space="preserve">// Dans root.tsx</w:t>
      </w:r>
    </w:p>
    <w:p>
      <w:pPr>
        <w:shd w:fill="F8EFDF" w:val="clear"/>
        <w:spacing w:after="60" w:before="40"/>
        <w:ind w:left="360"/>
      </w:pPr>
      <w:r>
        <w:rPr>
          <w:rFonts w:ascii="Consolas" w:cs="Consolas" w:eastAsia="Consolas" w:hAnsi="Consolas"/>
          <w:sz w:val="18"/>
          <w:szCs w:val="18"/>
        </w:rPr>
        <w:t xml:space="preserve">import '@fontsource-variable/fraunces'</w:t>
      </w:r>
    </w:p>
    <w:p>
      <w:pPr>
        <w:shd w:fill="F8EFDF" w:val="clear"/>
        <w:spacing w:after="60" w:before="40"/>
        <w:ind w:left="360"/>
      </w:pPr>
      <w:r>
        <w:rPr>
          <w:rFonts w:ascii="Consolas" w:cs="Consolas" w:eastAsia="Consolas" w:hAnsi="Consolas"/>
          <w:sz w:val="18"/>
          <w:szCs w:val="18"/>
        </w:rPr>
        <w:t xml:space="preserve">import '@fontsource-variable/inter'</w:t>
      </w:r>
    </w:p>
    <w:p>
      <w:pPr>
        <w:shd w:fill="F8EFDF" w:val="clear"/>
        <w:spacing w:after="60" w:before="40"/>
        <w:ind w:left="360"/>
      </w:pPr>
      <w:r>
        <w:rPr>
          <w:rFonts w:ascii="Consolas" w:cs="Consolas" w:eastAsia="Consolas" w:hAnsi="Consolas"/>
          <w:sz w:val="18"/>
          <w:szCs w:val="18"/>
        </w:rPr>
        <w:t xml:space="preserve">import '@fontsource-variable/jetbrains-mono'</w:t>
      </w:r>
    </w:p>
    <w:p>
      <w:pPr>
        <w:pStyle w:val="Heading1"/>
        <w:pageBreakBefore/>
        <w:spacing w:after="200" w:before="360"/>
      </w:pPr>
      <w:r>
        <w:rPr>
          <w:color w:val="2A1A0F"/>
        </w:rPr>
        <w:t xml:space="preserve">8. Checklist de validation</w:t>
      </w:r>
    </w:p>
    <w:p>
      <w:pPr>
        <w:spacing w:after="120"/>
      </w:pPr>
      <w:r>
        <w:t xml:space="preserve">Avant tout passage en production, vérifier :</w:t>
      </w:r>
    </w:p>
    <w:p>
      <w:pPr>
        <w:pStyle w:val="ListParagraph"/>
        <w:numPr>
          <w:ilvl w:val="0"/>
          <w:numId w:val="2"/>
        </w:numPr>
        <w:spacing w:after="80"/>
      </w:pPr>
      <w:r>
        <w:t xml:space="preserve">Le Soleil 400 représente moins de 15% de la surface visible.</w:t>
      </w:r>
    </w:p>
    <w:p>
      <w:pPr>
        <w:pStyle w:val="ListParagraph"/>
        <w:numPr>
          <w:ilvl w:val="0"/>
          <w:numId w:val="2"/>
        </w:numPr>
        <w:spacing w:after="80"/>
      </w:pPr>
      <w:r>
        <w:t xml:space="preserve">Tous les textes utilisent sentence case (pas d'ALL CAPS).</w:t>
      </w:r>
    </w:p>
    <w:p>
      <w:pPr>
        <w:pStyle w:val="ListParagraph"/>
        <w:numPr>
          <w:ilvl w:val="0"/>
          <w:numId w:val="2"/>
        </w:numPr>
        <w:spacing w:after="80"/>
      </w:pPr>
      <w:r>
        <w:t xml:space="preserve">Les contrastes WCAG AA minimum (Terre 900 sur Terre 25 = AAA).</w:t>
      </w:r>
    </w:p>
    <w:p>
      <w:pPr>
        <w:pStyle w:val="ListParagraph"/>
        <w:numPr>
          <w:ilvl w:val="0"/>
          <w:numId w:val="2"/>
        </w:numPr>
        <w:spacing w:after="80"/>
      </w:pPr>
      <w:r>
        <w:t xml:space="preserve">Les touch targets mobile sont &gt;= 44x44px.</w:t>
      </w:r>
    </w:p>
    <w:p>
      <w:pPr>
        <w:pStyle w:val="ListParagraph"/>
        <w:numPr>
          <w:ilvl w:val="0"/>
          <w:numId w:val="2"/>
        </w:numPr>
        <w:spacing w:after="80"/>
      </w:pPr>
      <w:r>
        <w:t xml:space="preserve">L'italic Fraunces apparaît au maximum 2 fois par page.</w:t>
      </w:r>
    </w:p>
    <w:p>
      <w:pPr>
        <w:pStyle w:val="ListParagraph"/>
        <w:numPr>
          <w:ilvl w:val="0"/>
          <w:numId w:val="2"/>
        </w:numPr>
        <w:spacing w:after="80"/>
      </w:pPr>
      <w:r>
        <w:t xml:space="preserve">Les CTA principaux sont en Terre 900, les actions d'aboutissement en Soleil 400.</w:t>
      </w:r>
    </w:p>
    <w:p>
      <w:pPr>
        <w:pStyle w:val="ListParagraph"/>
        <w:numPr>
          <w:ilvl w:val="0"/>
          <w:numId w:val="2"/>
        </w:numPr>
        <w:spacing w:after="80"/>
      </w:pPr>
      <w:r>
        <w:t xml:space="preserve">Les boutons utilisent border-radius pill (100px).</w:t>
      </w:r>
    </w:p>
    <w:p>
      <w:pPr>
        <w:pStyle w:val="ListParagraph"/>
        <w:numPr>
          <w:ilvl w:val="0"/>
          <w:numId w:val="2"/>
        </w:numPr>
        <w:spacing w:after="80"/>
      </w:pPr>
      <w:r>
        <w:t xml:space="preserve">Les cards utilisent border-radius 16-20px.</w:t>
      </w:r>
    </w:p>
    <w:p>
      <w:pPr>
        <w:pStyle w:val="ListParagraph"/>
        <w:numPr>
          <w:ilvl w:val="0"/>
          <w:numId w:val="2"/>
        </w:numPr>
        <w:spacing w:after="80"/>
      </w:pPr>
      <w:r>
        <w:t xml:space="preserve">Les bordures sont 0.5px en opacité 0.06 (jamais 1px noir).</w:t>
      </w:r>
    </w:p>
    <w:p>
      <w:pPr>
        <w:pStyle w:val="ListParagraph"/>
        <w:numPr>
          <w:ilvl w:val="0"/>
          <w:numId w:val="2"/>
        </w:numPr>
        <w:spacing w:after="80"/>
      </w:pPr>
      <w:r>
        <w:t xml:space="preserve">Le logo utilise la bonne variante selon le fond.</w:t>
      </w:r>
    </w:p>
    <w:p>
      <w:pPr>
        <w:pStyle w:val="ListParagraph"/>
        <w:numPr>
          <w:ilvl w:val="0"/>
          <w:numId w:val="2"/>
        </w:numPr>
        <w:spacing w:after="80"/>
      </w:pPr>
      <w:r>
        <w:t xml:space="preserve">Aucun jargon corporate (synergie, disruption, innovant, holistique).</w:t>
      </w:r>
    </w:p>
    <w:p>
      <w:pPr>
        <w:pStyle w:val="ListParagraph"/>
        <w:numPr>
          <w:ilvl w:val="0"/>
          <w:numId w:val="2"/>
        </w:numPr>
        <w:spacing w:after="80"/>
      </w:pPr>
      <w:r>
        <w:t xml:space="preserve">Le pétale soleil du logo est toujours en bas à droite par défaut.</w:t>
      </w:r>
    </w:p>
    <w:p>
      <w:pPr>
        <w:pStyle w:val="Heading1"/>
        <w:pageBreakBefore/>
        <w:spacing w:after="200" w:before="360"/>
      </w:pPr>
      <w:r>
        <w:rPr>
          <w:color w:val="2A1A0F"/>
        </w:rPr>
        <w:t xml:space="preserve">9. Historique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4860"/>
      </w:tblGrid>
      <w:tr>
        <w:trPr>
          <w:tblHeader/>
        </w:trPr>
        <w:tc>
          <w:tcPr>
            <w:tcW w:type="dxa" w:w="12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Version</w:t>
            </w:r>
          </w:p>
        </w:tc>
        <w:tc>
          <w:tcPr>
            <w:tcW w:type="dxa" w:w="15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Date</w:t>
            </w:r>
          </w:p>
        </w:tc>
        <w:tc>
          <w:tcPr>
            <w:tcW w:type="dxa" w:w="180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Auteur</w:t>
            </w:r>
          </w:p>
        </w:tc>
        <w:tc>
          <w:tcPr>
            <w:tcW w:type="dxa" w:w="4860"/>
            <w:tcBorders>
              <w:top w:val="single" w:color="E5D2B5" w:sz="4"/>
              <w:left w:val="single" w:color="E5D2B5" w:sz="4"/>
              <w:bottom w:val="single" w:color="E5D2B5" w:sz="4"/>
              <w:right w:val="single" w:color="E5D2B5" w:sz="4"/>
            </w:tcBorders>
            <w:shd w:fill="2A1A0F" w:val="clear"/>
            <w:tcMar>
              <w:top w:type="dxa" w:w="100"/>
              <w:left w:type="dxa" w:w="140"/>
              <w:bottom w:type="dxa" w:w="100"/>
              <w:right w:type="dxa" w:w="140"/>
            </w:tcMar>
            <w:vAlign w:val="center"/>
          </w:tcPr>
          <w:p>
            <w:pPr>
              <w:jc w:val="left"/>
            </w:pPr>
            <w:r>
              <w:rPr>
                <w:b/>
                <w:bCs/>
                <w:color w:val="FFFFFF"/>
                <w:sz w:val="20"/>
                <w:szCs w:val="20"/>
              </w:rPr>
              <w:t xml:space="preserve">Notes</w:t>
            </w:r>
          </w:p>
        </w:tc>
      </w:tr>
      <w:tr>
        <w:tc>
          <w:tcPr>
            <w:tcW w:type="dxa" w:w="1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1.0</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Mai 2026</w:t>
            </w:r>
          </w:p>
        </w:tc>
        <w:tc>
          <w:tcPr>
            <w:tcW w:type="dxa" w:w="1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Marius</w:t>
            </w:r>
          </w:p>
        </w:tc>
        <w:tc>
          <w:tcPr>
            <w:tcW w:type="dxa" w:w="4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Marine + Ambre (abandonné, trop générique)</w:t>
            </w:r>
          </w:p>
        </w:tc>
      </w:tr>
      <w:tr>
        <w:tc>
          <w:tcPr>
            <w:tcW w:type="dxa" w:w="12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2.0</w:t>
            </w:r>
          </w:p>
        </w:tc>
        <w:tc>
          <w:tcPr>
            <w:tcW w:type="dxa" w:w="15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Mai 2026</w:t>
            </w:r>
          </w:p>
        </w:tc>
        <w:tc>
          <w:tcPr>
            <w:tcW w:type="dxa" w:w="180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Marius</w:t>
            </w:r>
          </w:p>
        </w:tc>
        <w:tc>
          <w:tcPr>
            <w:tcW w:type="dxa" w:w="4860"/>
            <w:tcBorders>
              <w:top w:val="single" w:color="E5D2B5" w:sz="4"/>
              <w:left w:val="single" w:color="E5D2B5" w:sz="4"/>
              <w:bottom w:val="single" w:color="E5D2B5" w:sz="4"/>
              <w:right w:val="single" w:color="E5D2B5" w:sz="4"/>
            </w:tcBorders>
            <w:shd w:fill="F8EFDF" w:val="clear"/>
            <w:tcMar>
              <w:top w:type="dxa" w:w="100"/>
              <w:left w:type="dxa" w:w="140"/>
              <w:bottom w:type="dxa" w:w="100"/>
              <w:right w:type="dxa" w:w="140"/>
            </w:tcMar>
            <w:vAlign w:val="center"/>
          </w:tcPr>
          <w:p>
            <w:pPr>
              <w:jc w:val="left"/>
            </w:pPr>
            <w:r>
              <w:rPr>
                <w:color w:val="2A1A0F"/>
                <w:sz w:val="20"/>
                <w:szCs w:val="20"/>
              </w:rPr>
              <w:t xml:space="preserve">Cuivre Sahel (abandonné, trop tech sans âme)</w:t>
            </w:r>
          </w:p>
        </w:tc>
      </w:tr>
      <w:tr>
        <w:tc>
          <w:tcPr>
            <w:tcW w:type="dxa" w:w="12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b/>
                <w:bCs/>
                <w:color w:val="2A1A0F"/>
                <w:sz w:val="20"/>
                <w:szCs w:val="20"/>
              </w:rPr>
              <w:t xml:space="preserve">3.0</w:t>
            </w:r>
          </w:p>
        </w:tc>
        <w:tc>
          <w:tcPr>
            <w:tcW w:type="dxa" w:w="15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Mai 2026</w:t>
            </w:r>
          </w:p>
        </w:tc>
        <w:tc>
          <w:tcPr>
            <w:tcW w:type="dxa" w:w="180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Marius</w:t>
            </w:r>
          </w:p>
        </w:tc>
        <w:tc>
          <w:tcPr>
            <w:tcW w:type="dxa" w:w="4860"/>
            <w:tcBorders>
              <w:top w:val="single" w:color="E5D2B5" w:sz="4"/>
              <w:left w:val="single" w:color="E5D2B5" w:sz="4"/>
              <w:bottom w:val="single" w:color="E5D2B5" w:sz="4"/>
              <w:right w:val="single" w:color="E5D2B5" w:sz="4"/>
            </w:tcBorders>
            <w:tcMar>
              <w:top w:type="dxa" w:w="100"/>
              <w:left w:type="dxa" w:w="140"/>
              <w:bottom w:type="dxa" w:w="100"/>
              <w:right w:type="dxa" w:w="140"/>
            </w:tcMar>
            <w:vAlign w:val="center"/>
          </w:tcPr>
          <w:p>
            <w:pPr>
              <w:jc w:val="left"/>
            </w:pPr>
            <w:r>
              <w:rPr>
                <w:color w:val="2A1A0F"/>
                <w:sz w:val="20"/>
                <w:szCs w:val="20"/>
              </w:rPr>
              <w:t xml:space="preserve">Terre et Soleil — chaleureux, ancré, logo pétales modulaires</w:t>
            </w:r>
          </w:p>
        </w:tc>
      </w:tr>
    </w:tbl>
    <w:p>
      <w:pPr>
        <w:spacing w:before="800"/>
      </w:pPr>
      <w:r>
        <w:t xml:space="preserve"/>
      </w:r>
    </w:p>
    <w:p>
      <w:pPr>
        <w:jc w:val="center"/>
      </w:pPr>
      <w:r>
        <w:rPr>
          <w:i/>
          <w:iCs/>
          <w:color w:val="6B4423"/>
          <w:sz w:val="20"/>
          <w:szCs w:val="20"/>
        </w:rPr>
        <w:t xml:space="preserve">Fin du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4423"/>
        <w:sz w:val="18"/>
        <w:szCs w:val="18"/>
      </w:rPr>
      <w:t xml:space="preserve">Page </w:t>
    </w:r>
    <w:r>
      <w:rPr>
        <w:color w:val="6B4423"/>
        <w:sz w:val="18"/>
        <w:szCs w:val="18"/>
      </w:rPr>
      <w:fldChar w:fldCharType="begin"/>
      <w:instrText xml:space="preserve">PAGE</w:instrText>
      <w:fldChar w:fldCharType="separate"/>
      <w:fldChar w:fldCharType="end"/>
    </w:r>
    <w:r>
      <w:rPr>
        <w:color w:val="6B4423"/>
        <w:sz w:val="18"/>
        <w:szCs w:val="18"/>
      </w:rPr>
      <w:t xml:space="preserve"> sur </w:t>
    </w:r>
    <w:r>
      <w:rPr>
        <w:color w:val="6B442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D2B5" w:sz="4" w:space="6"/>
      </w:pBdr>
      <w:jc w:val="right"/>
    </w:pPr>
    <w:r>
      <w:rPr>
        <w:color w:val="6B4423"/>
        <w:sz w:val="18"/>
        <w:szCs w:val="18"/>
      </w:rPr>
      <w:t xml:space="preserve">BudiSuite — Design System v3.0 Terre et Soleil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1A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A1A0F"/>
      <w:sz w:val="44"/>
      <w:szCs w:val="44"/>
    </w:rPr>
  </w:style>
  <w:style w:type="paragraph" w:styleId="Heading2">
    <w:name w:val="Heading 2"/>
    <w:basedOn w:val="Normal"/>
    <w:next w:val="Normal"/>
    <w:qFormat/>
    <w:pPr>
      <w:spacing w:after="160" w:before="280"/>
      <w:outlineLvl w:val="1"/>
    </w:pPr>
    <w:rPr>
      <w:rFonts w:ascii="Calibri" w:cs="Calibri" w:eastAsia="Calibri" w:hAnsi="Calibri"/>
      <w:b/>
      <w:bCs/>
      <w:color w:val="2A1A0F"/>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A1A0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BudiSuite — Design System v3.0 Terre et Soleil</dc:title>
  <dc:creator>BudiSuite</dc:creator>
  <dc:description>Design System officiel BudiSuite</dc:description>
  <cp:lastModifiedBy>Un-named</cp:lastModifiedBy>
  <cp:revision>1</cp:revision>
  <dcterms:created xsi:type="dcterms:W3CDTF">2026-05-12T16:22:20.369Z</dcterms:created>
  <dcterms:modified xsi:type="dcterms:W3CDTF">2026-05-12T16:22:20.381Z</dcterms:modified>
</cp:coreProperties>
</file>

<file path=docProps/custom.xml><?xml version="1.0" encoding="utf-8"?>
<Properties xmlns="http://schemas.openxmlformats.org/officeDocument/2006/custom-properties" xmlns:vt="http://schemas.openxmlformats.org/officeDocument/2006/docPropsVTypes"/>
</file>