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26275D"/>
          <w:sz w:val="52"/>
          <w:szCs w:val="52"/>
        </w:rPr>
        <w:t xml:space="preserve">BRAND GUIDELINE MASTER</w:t>
      </w:r>
    </w:p>
    <w:p>
      <w:pPr>
        <w:spacing w:after="120"/>
        <w:jc w:val="center"/>
      </w:pPr>
      <w:r>
        <w:rPr>
          <w:b/>
          <w:bCs/>
          <w:color w:val="26275D"/>
          <w:sz w:val="30"/>
          <w:szCs w:val="30"/>
        </w:rPr>
        <w:t xml:space="preserve">HỆ THỐNG TRƯỜNG VIỆT ANH</w:t>
      </w:r>
    </w:p>
    <w:p>
      <w:pPr>
        <w:spacing w:after="80"/>
        <w:jc w:val="center"/>
      </w:pPr>
      <w:r>
        <w:rPr>
          <w:i/>
          <w:iCs/>
          <w:color w:val="26275D"/>
          <w:sz w:val="26"/>
          <w:szCs w:val="26"/>
        </w:rPr>
        <w:t xml:space="preserve">“Vui vẻ và Thực dụng”</w:t>
      </w:r>
    </w:p>
    <w:p>
      <w:pPr>
        <w:spacing w:after="600"/>
        <w:jc w:val="center"/>
      </w:pPr>
      <w:r>
        <w:rPr>
          <w:color w:val="6B7280"/>
          <w:sz w:val="18"/>
          <w:szCs w:val="18"/>
        </w:rPr>
        <w:t xml:space="preserve">Tài liệu chuẩn DUY NHẤT — dùng cho mọi ấn phẩm  ·  Phiên bản 2.0  ·  26/06/2026</w:t>
      </w:r>
    </w:p>
    <w:p>
      <w:pPr>
        <w:pBdr>
          <w:top w:val="single" w:color="26275D" w:sz="6" w:space="8"/>
        </w:pBdr>
        <w:spacing w:after="120"/>
        <w:jc w:val="center"/>
      </w:pPr>
      <w:r>
        <w:rPr>
          <w:color w:val="6B7280"/>
          <w:sz w:val="16"/>
          <w:szCs w:val="16"/>
        </w:rPr>
        <w:t xml:space="preserve">Nguồn: Brand Bible · Style guide NMD · brand-configs (landing-page-writer) · website truongvietanh.com</w:t>
      </w:r>
    </w:p>
    <w:p>
      <w:r>
        <w:br w:type="page"/>
      </w:r>
    </w:p>
    <w:p>
      <w:pPr>
        <w:pStyle w:val="Heading1"/>
      </w:pPr>
      <w:r>
        <w:t xml:space="preserve">1. Nền tảng thương hiệu</w:t>
      </w:r>
    </w:p>
    <w:p>
      <w:pPr>
        <w:pStyle w:val="Heading2"/>
      </w:pPr>
      <w:r>
        <w:t xml:space="preserve">Thần chú 4 chữ</w:t>
      </w:r>
    </w:p>
    <w:p>
      <w:pPr>
        <w:pBdr>
          <w:left w:val="single" w:color="F9DD0E" w:sz="24" w:space="12"/>
        </w:pBdr>
        <w:spacing w:after="160" w:before="80"/>
        <w:ind w:left="360"/>
      </w:pPr>
      <w:r>
        <w:rPr>
          <w:i/>
          <w:iCs/>
          <w:color w:val="26275D"/>
          <w:sz w:val="24"/>
          <w:szCs w:val="24"/>
        </w:rPr>
        <w:t xml:space="preserve">“Vui vẻ và Thực dụng”</w:t>
      </w:r>
    </w:p>
    <w:p>
      <w:pPr>
        <w:pStyle w:val="ListParagraph"/>
        <w:numPr>
          <w:ilvl w:val="0"/>
          <w:numId w:val="2"/>
        </w:numPr>
        <w:spacing w:after="60"/>
      </w:pPr>
      <w:r>
        <w:rPr>
          <w:b/>
          <w:bCs/>
        </w:rPr>
        <w:t xml:space="preserve">Vui vẻ </w:t>
      </w:r>
      <w:r>
        <w:t xml:space="preserve">= trạng thái học tập hiệu quả nhất của não bộ. Học sinh sáng tạo hơn, đắm chìm hơn, kết nối hơn. Không phải xả láng — mà là môi trường con tự nguyện muốn đến trường mỗi sáng vì được lắng nghe, được tôn trọng, được phép sai và sửa.</w:t>
      </w:r>
    </w:p>
    <w:p>
      <w:pPr>
        <w:pStyle w:val="ListParagraph"/>
        <w:numPr>
          <w:ilvl w:val="0"/>
          <w:numId w:val="2"/>
        </w:numPr>
        <w:spacing w:after="60"/>
      </w:pPr>
      <w:r>
        <w:rPr>
          <w:b/>
          <w:bCs/>
        </w:rPr>
        <w:t xml:space="preserve">Thực dụng </w:t>
      </w:r>
      <w:r>
        <w:t xml:space="preserve">= chỉ dạy/làm những thứ có giá trị sử dụng cao trong đời thực. Không chạy theo thành tích đẹp trên giấy. Câu hỏi gốc: “Điều này sẽ giúp con thành công như thế nào?”</w:t>
      </w:r>
    </w:p>
    <w:p>
      <w:pPr>
        <w:pStyle w:val="Heading2"/>
      </w:pPr>
      <w:r>
        <w:t xml:space="preserve">Big Idea</w:t>
      </w:r>
    </w:p>
    <w:p>
      <w:pPr>
        <w:pBdr>
          <w:left w:val="single" w:color="F9DD0E" w:sz="24" w:space="12"/>
        </w:pBdr>
        <w:spacing w:after="160" w:before="80"/>
        <w:ind w:left="360"/>
      </w:pPr>
      <w:r>
        <w:rPr>
          <w:i/>
          <w:iCs/>
          <w:color w:val="26275D"/>
          <w:sz w:val="24"/>
          <w:szCs w:val="24"/>
        </w:rPr>
        <w:t xml:space="preserve">“Trường Việt Anh tạo ra môi trường học tập vui vẻ và thực dụng, để học sinh sống hạnh phúc hôm nay, và đủ năng lực chọn tương lai mai sau.”</w:t>
      </w:r>
    </w:p>
    <w:p>
      <w:pPr>
        <w:pStyle w:val="Heading2"/>
      </w:pPr>
      <w:r>
        <w:t xml:space="preserve">Tầm nhìn</w:t>
      </w:r>
    </w:p>
    <w:p>
      <w:pPr>
        <w:pBdr>
          <w:left w:val="single" w:color="F9DD0E" w:sz="24" w:space="12"/>
        </w:pBdr>
        <w:spacing w:after="160" w:before="80"/>
        <w:ind w:left="360"/>
      </w:pPr>
      <w:r>
        <w:rPr>
          <w:i/>
          <w:iCs/>
          <w:color w:val="26275D"/>
          <w:sz w:val="24"/>
          <w:szCs w:val="24"/>
        </w:rPr>
        <w:t xml:space="preserve">“Tất cả học sinh hạnh phúc trong học tập, ra trường với 16 kỹ năng của thế kỷ 21.”</w:t>
      </w:r>
    </w:p>
    <w:p>
      <w:pPr>
        <w:pStyle w:val="Heading2"/>
      </w:pPr>
      <w:r>
        <w:t xml:space="preserve">Sứ mệnh (bản đầy đủ)</w:t>
      </w:r>
    </w:p>
    <w:p>
      <w:pPr>
        <w:pBdr>
          <w:left w:val="single" w:color="F9DD0E" w:sz="24" w:space="12"/>
        </w:pBdr>
        <w:spacing w:after="160" w:before="80"/>
        <w:ind w:left="360"/>
      </w:pPr>
      <w:r>
        <w:rPr>
          <w:i/>
          <w:iCs/>
          <w:color w:val="26275D"/>
          <w:sz w:val="24"/>
          <w:szCs w:val="24"/>
        </w:rPr>
        <w:t xml:space="preserve">“Kiến tạo môi trường học tập vui vẻ và thực dụng, đầm ấm và truyền cảm hứng để học sinh Việt Nam trưởng thành, giành được quyền chọn con đường riêng phát huy &amp; thành công!”</w:t>
      </w:r>
    </w:p>
    <w:p>
      <w:pPr>
        <w:spacing w:after="120"/>
      </w:pPr>
      <w:r>
        <w:t xml:space="preserve">Ba chiều: </w:t>
      </w:r>
      <w:r>
        <w:rPr>
          <w:b/>
          <w:bCs/>
        </w:rPr>
        <w:t xml:space="preserve">Cảm xúc</w:t>
      </w:r>
      <w:r>
        <w:t xml:space="preserve"> (đầm ấm, truyền cảm hứng) · </w:t>
      </w:r>
      <w:r>
        <w:rPr>
          <w:b/>
          <w:bCs/>
        </w:rPr>
        <w:t xml:space="preserve">Tự chủ</w:t>
      </w:r>
      <w:r>
        <w:t xml:space="preserve"> (giành được quyền chọn) · </w:t>
      </w:r>
      <w:r>
        <w:rPr>
          <w:b/>
          <w:bCs/>
        </w:rPr>
        <w:t xml:space="preserve">Cá nhân hoá</w:t>
      </w:r>
      <w:r>
        <w:t xml:space="preserve"> (con đường riêng).</w:t>
      </w:r>
    </w:p>
    <w:p>
      <w:pPr>
        <w:pStyle w:val="Heading2"/>
      </w:pPr>
      <w:r>
        <w:t xml:space="preserve">5 Giá trị cốt lõi</w:t>
      </w:r>
    </w:p>
    <w:p>
      <w:pPr>
        <w:pStyle w:val="ListParagraph"/>
        <w:numPr>
          <w:ilvl w:val="0"/>
          <w:numId w:val="3"/>
        </w:numPr>
        <w:spacing w:after="60"/>
      </w:pPr>
      <w:r>
        <w:t xml:space="preserve">Tôn trọng và tự trọng</w:t>
      </w:r>
    </w:p>
    <w:p>
      <w:pPr>
        <w:pStyle w:val="ListParagraph"/>
        <w:numPr>
          <w:ilvl w:val="0"/>
          <w:numId w:val="3"/>
        </w:numPr>
        <w:spacing w:after="60"/>
      </w:pPr>
      <w:r>
        <w:t xml:space="preserve">Trách nhiệm</w:t>
      </w:r>
    </w:p>
    <w:p>
      <w:pPr>
        <w:pStyle w:val="ListParagraph"/>
        <w:numPr>
          <w:ilvl w:val="0"/>
          <w:numId w:val="3"/>
        </w:numPr>
        <w:spacing w:after="60"/>
      </w:pPr>
      <w:r>
        <w:t xml:space="preserve">Tài giỏi</w:t>
      </w:r>
    </w:p>
    <w:p>
      <w:pPr>
        <w:pStyle w:val="ListParagraph"/>
        <w:numPr>
          <w:ilvl w:val="0"/>
          <w:numId w:val="3"/>
        </w:numPr>
        <w:spacing w:after="60"/>
      </w:pPr>
      <w:r>
        <w:t xml:space="preserve">Chính trực</w:t>
      </w:r>
    </w:p>
    <w:p>
      <w:pPr>
        <w:pStyle w:val="ListParagraph"/>
        <w:numPr>
          <w:ilvl w:val="0"/>
          <w:numId w:val="3"/>
        </w:numPr>
        <w:spacing w:after="60"/>
      </w:pPr>
      <w:r>
        <w:t xml:space="preserve">Yêu thương</w:t>
      </w:r>
    </w:p>
    <w:p>
      <w:pPr>
        <w:pStyle w:val="Heading2"/>
      </w:pPr>
      <w:r>
        <w:t xml:space="preserve">Định vị thương hiệu</w:t>
      </w:r>
    </w:p>
    <w:p>
      <w:pPr>
        <w:spacing w:after="120"/>
      </w:pPr>
      <w:r>
        <w:t xml:space="preserve">Hệ thống giáo dục liên cấp song ngữ (Mầm non → THPT) tại TP.HCM, dành cho gia đình trí thức trung lưu khao khát giáo dục hiện đại, kỳ vọng cao về kỹ năng và phẩm chất. Chất lượng tiệm cận trường quốc tế nhưng học phí chỉ bằng ~1/3 — “giáo dục tốt không nên là đặc quyền của nhà giàu”.</w:t>
      </w:r>
    </w:p>
    <w:p>
      <w:pPr>
        <w:pStyle w:val="Heading2"/>
      </w:pPr>
      <w:r>
        <w:t xml:space="preserve">USP — 3 điều làm nên học sinh Việt Anh</w:t>
      </w:r>
    </w:p>
    <w:p>
      <w:pPr>
        <w:pStyle w:val="ListParagraph"/>
        <w:numPr>
          <w:ilvl w:val="0"/>
          <w:numId w:val="3"/>
        </w:numPr>
        <w:spacing w:after="60"/>
      </w:pPr>
      <w:r>
        <w:rPr>
          <w:b/>
          <w:bCs/>
        </w:rPr>
        <w:t xml:space="preserve">Nội dung học thực dụng</w:t>
      </w:r>
      <w:r>
        <w:t xml:space="preserve"> — phát triển đủ 16 kỹ năng thế kỷ 21 theo chuẩn WEF, giáo trình cập nhật hằng năm.</w:t>
      </w:r>
    </w:p>
    <w:p>
      <w:pPr>
        <w:pStyle w:val="ListParagraph"/>
        <w:numPr>
          <w:ilvl w:val="0"/>
          <w:numId w:val="3"/>
        </w:numPr>
        <w:spacing w:after="60"/>
      </w:pPr>
      <w:r>
        <w:rPr>
          <w:b/>
          <w:bCs/>
        </w:rPr>
        <w:t xml:space="preserve">Tiếng Anh đủ du học</w:t>
      </w:r>
      <w:r>
        <w:t xml:space="preserve"> — cam kết đầu ra tối thiểu IELTS 6.0 khi tốt nghiệp THPT (nhiều em 7.0–8.0).</w:t>
      </w:r>
    </w:p>
    <w:p>
      <w:pPr>
        <w:pStyle w:val="ListParagraph"/>
        <w:numPr>
          <w:ilvl w:val="0"/>
          <w:numId w:val="3"/>
        </w:numPr>
        <w:spacing w:after="60"/>
      </w:pPr>
      <w:r>
        <w:rPr>
          <w:b/>
          <w:bCs/>
        </w:rPr>
        <w:t xml:space="preserve">Học sinh sớm trưởng thành</w:t>
      </w:r>
      <w:r>
        <w:t xml:space="preserve"> — 5 giá trị cốt lõi + 7 thói quen lãnh đạo (Leader in Me, Franklin Covey), đo tiến bộ bằng PDR.</w:t>
      </w:r>
    </w:p>
    <w:p>
      <w:pPr>
        <w:spacing w:after="120"/>
      </w:pPr>
      <w:r>
        <w:rPr>
          <w:b/>
          <w:bCs/>
        </w:rPr>
        <w:t xml:space="preserve">Khác biệt cốt tử: </w:t>
      </w:r>
      <w:r>
        <w:t xml:space="preserve">không phải triết lý, mà là hệ thống đo lường tiến bộ thực tế của từng em, hàng quý, qua PDR. “Hôm nay con đã tốt hơn chính con hôm qua chưa?”</w:t>
      </w:r>
    </w:p>
    <w:p>
      <w:pPr>
        <w:pStyle w:val="Heading2"/>
      </w:pPr>
      <w:r>
        <w:t xml:space="preserve">Tagline / Slogan</w:t>
      </w:r>
    </w:p>
    <w:p>
      <w:pPr>
        <w:pStyle w:val="ListParagraph"/>
        <w:numPr>
          <w:ilvl w:val="0"/>
          <w:numId w:val="2"/>
        </w:numPr>
        <w:spacing w:after="60"/>
      </w:pPr>
      <w:r>
        <w:rPr>
          <w:b/>
          <w:bCs/>
        </w:rPr>
        <w:t xml:space="preserve">Tagline thương hiệu: </w:t>
      </w:r>
      <w:r>
        <w:t xml:space="preserve">“Trường Việt Anh — Kiến Tạo Những Công Dân Toàn Cầu Hạnh Phúc”</w:t>
      </w:r>
    </w:p>
    <w:p>
      <w:pPr>
        <w:pStyle w:val="ListParagraph"/>
        <w:numPr>
          <w:ilvl w:val="0"/>
          <w:numId w:val="2"/>
        </w:numPr>
        <w:spacing w:after="60"/>
      </w:pPr>
      <w:r>
        <w:rPr>
          <w:b/>
          <w:bCs/>
        </w:rPr>
        <w:t xml:space="preserve">Tagline website (hero): </w:t>
      </w:r>
      <w:r>
        <w:t xml:space="preserve">“Nơi Con Học Vui, Lớn Lên Tự Tin, Ra Đời Vững Vàng”</w:t>
      </w:r>
    </w:p>
    <w:p>
      <w:pPr>
        <w:pStyle w:val="ListParagraph"/>
        <w:numPr>
          <w:ilvl w:val="0"/>
          <w:numId w:val="2"/>
        </w:numPr>
        <w:spacing w:after="60"/>
      </w:pPr>
      <w:r>
        <w:rPr>
          <w:b/>
          <w:bCs/>
        </w:rPr>
        <w:t xml:space="preserve">Slogan sản phẩm: </w:t>
      </w:r>
      <w:r>
        <w:t xml:space="preserve">“Vui vẻ và thực dụng”</w:t>
      </w:r>
    </w:p>
    <w:p>
      <w:pPr>
        <w:pStyle w:val="Heading2"/>
      </w:pPr>
      <w:r>
        <w:t xml:space="preserve">Đối tác / Công nhận</w:t>
      </w:r>
    </w:p>
    <w:p>
      <w:pPr>
        <w:spacing w:after="120"/>
      </w:pPr>
      <w:r>
        <w:t xml:space="preserve">Franklin Covey (Leader in Me) · Oxford University Press · British Council (IELTS Test Center) · Birmingham City University · Top 15 toàn cầu Leader in Me 2023 (50+ quốc gia).</w:t>
      </w:r>
    </w:p>
    <w:p>
      <w:pPr>
        <w:pStyle w:val="Heading1"/>
      </w:pPr>
      <w:r>
        <w:t xml:space="preserve">2. Hệ thống trường &amp; cơ sở</w:t>
      </w:r>
    </w:p>
    <w:p>
      <w:pPr>
        <w:spacing w:after="120"/>
      </w:pPr>
      <w:r>
        <w:rPr>
          <w:b/>
          <w:bCs/>
        </w:rPr>
        <w:t xml:space="preserve">Thành lập 2011 · Chủ tịch: Nguyễn Mạnh Dương · 1.000+ học sinh/năm · 8 cơ sở.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80"/>
        <w:gridCol w:w="2480"/>
      </w:tblGrid>
      <w:tr>
        <w:trPr>
          <w:tblHeader/>
        </w:trPr>
        <w:tc>
          <w:tcPr>
            <w:tcW w:type="dxa" w:w="420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bCs/>
                <w:color w:val="FFFFFF"/>
                <w:sz w:val="20"/>
                <w:szCs w:val="20"/>
              </w:rPr>
              <w:t xml:space="preserve">Cơ sở</w:t>
            </w:r>
          </w:p>
        </w:tc>
        <w:tc>
          <w:tcPr>
            <w:tcW w:type="dxa" w:w="268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bCs/>
                <w:color w:val="FFFFFF"/>
                <w:sz w:val="20"/>
                <w:szCs w:val="20"/>
              </w:rPr>
              <w:t xml:space="preserve">Cấp học</w:t>
            </w:r>
          </w:p>
        </w:tc>
        <w:tc>
          <w:tcPr>
            <w:tcW w:type="dxa" w:w="248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bCs/>
                <w:color w:val="FFFFFF"/>
                <w:sz w:val="20"/>
                <w:szCs w:val="20"/>
              </w:rPr>
              <w:t xml:space="preserve">Địa bàn</w:t>
            </w:r>
          </w:p>
        </w:tc>
      </w:tr>
      <w:tr>
        <w:tc>
          <w:tcPr>
            <w:tcW w:type="dxa" w:w="42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Liên Cấp Gò Vấp (160/72 Phan Huy Ích, P. An Hội Tây)</w:t>
            </w:r>
          </w:p>
        </w:tc>
        <w:tc>
          <w:tcPr>
            <w:tcW w:type="dxa" w:w="268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TH, THCS, THPT</w:t>
            </w:r>
          </w:p>
        </w:tc>
        <w:tc>
          <w:tcPr>
            <w:tcW w:type="dxa" w:w="248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TP.HCM</w:t>
            </w:r>
          </w:p>
        </w:tc>
      </w:tr>
      <w:tr>
        <w:tc>
          <w:tcPr>
            <w:tcW w:type="dxa" w:w="42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Liên Cấp Bình Tân</w:t>
            </w:r>
          </w:p>
        </w:tc>
        <w:tc>
          <w:tcPr>
            <w:tcW w:type="dxa" w:w="268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TH, THCS, THPT</w:t>
            </w:r>
          </w:p>
        </w:tc>
        <w:tc>
          <w:tcPr>
            <w:tcW w:type="dxa" w:w="248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TP.HCM</w:t>
            </w:r>
          </w:p>
        </w:tc>
      </w:tr>
      <w:tr>
        <w:tc>
          <w:tcPr>
            <w:tcW w:type="dxa" w:w="42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Mầm non Gò Vấp (573 Lê Đức Thọ)</w:t>
            </w:r>
          </w:p>
        </w:tc>
        <w:tc>
          <w:tcPr>
            <w:tcW w:type="dxa" w:w="268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Mầm non</w:t>
            </w:r>
          </w:p>
        </w:tc>
        <w:tc>
          <w:tcPr>
            <w:tcW w:type="dxa" w:w="248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TP.HCM</w:t>
            </w:r>
          </w:p>
        </w:tc>
      </w:tr>
      <w:tr>
        <w:tc>
          <w:tcPr>
            <w:tcW w:type="dxa" w:w="42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Mầm non Nhân Lễ</w:t>
            </w:r>
          </w:p>
        </w:tc>
        <w:tc>
          <w:tcPr>
            <w:tcW w:type="dxa" w:w="268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Mầm non</w:t>
            </w:r>
          </w:p>
        </w:tc>
        <w:tc>
          <w:tcPr>
            <w:tcW w:type="dxa" w:w="248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Tây Ninh / Cần Giuộc</w:t>
            </w:r>
          </w:p>
        </w:tc>
      </w:tr>
      <w:tr>
        <w:tc>
          <w:tcPr>
            <w:tcW w:type="dxa" w:w="42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Mầm non Thái Sơn</w:t>
            </w:r>
          </w:p>
        </w:tc>
        <w:tc>
          <w:tcPr>
            <w:tcW w:type="dxa" w:w="268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Mầm non</w:t>
            </w:r>
          </w:p>
        </w:tc>
        <w:tc>
          <w:tcPr>
            <w:tcW w:type="dxa" w:w="248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Tây Ninh / Cần Giuộc</w:t>
            </w:r>
          </w:p>
        </w:tc>
      </w:tr>
      <w:tr>
        <w:tc>
          <w:tcPr>
            <w:tcW w:type="dxa" w:w="42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Tiểu học Thái Sơn</w:t>
            </w:r>
          </w:p>
        </w:tc>
        <w:tc>
          <w:tcPr>
            <w:tcW w:type="dxa" w:w="268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Tiểu học</w:t>
            </w:r>
          </w:p>
        </w:tc>
        <w:tc>
          <w:tcPr>
            <w:tcW w:type="dxa" w:w="248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Tây Ninh / Cần Giuộc</w:t>
            </w:r>
          </w:p>
        </w:tc>
      </w:tr>
      <w:tr>
        <w:tc>
          <w:tcPr>
            <w:tcW w:type="dxa" w:w="42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MGIS Mekong Xanh (Rạch Giá)</w:t>
            </w:r>
          </w:p>
        </w:tc>
        <w:tc>
          <w:tcPr>
            <w:tcW w:type="dxa" w:w="268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Mầm non, Tiểu học</w:t>
            </w:r>
          </w:p>
        </w:tc>
        <w:tc>
          <w:tcPr>
            <w:tcW w:type="dxa" w:w="248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An Giang / Kiên Giang</w:t>
            </w:r>
          </w:p>
        </w:tc>
      </w:tr>
    </w:tbl>
    <w:p>
      <w:pPr>
        <w:pStyle w:val="Heading1"/>
      </w:pPr>
      <w:r>
        <w:t xml:space="preserve">3. Nhận diện thị giác — Logo</w:t>
      </w:r>
    </w:p>
    <w:p>
      <w:pPr>
        <w:pStyle w:val="Heading2"/>
      </w:pPr>
      <w:r>
        <w:t xml:space="preserve">Tệp logo chính thức (đang dùng trên website)</w:t>
      </w:r>
    </w:p>
    <w:p>
      <w:pPr>
        <w:pStyle w:val="ListParagraph"/>
        <w:numPr>
          <w:ilvl w:val="0"/>
          <w:numId w:val="2"/>
        </w:numPr>
        <w:spacing w:after="60"/>
      </w:pPr>
      <w:r>
        <w:rPr>
          <w:b/>
          <w:bCs/>
        </w:rPr>
        <w:t xml:space="preserve">Logo chính (header): </w:t>
      </w:r>
      <w:r>
        <w:t xml:space="preserve">https://truongvietanh.com/logo-vietanh.webp</w:t>
      </w:r>
    </w:p>
    <w:p>
      <w:pPr>
        <w:pStyle w:val="ListParagraph"/>
        <w:numPr>
          <w:ilvl w:val="0"/>
          <w:numId w:val="2"/>
        </w:numPr>
        <w:spacing w:after="60"/>
      </w:pPr>
      <w:r>
        <w:rPr>
          <w:b/>
          <w:bCs/>
        </w:rPr>
        <w:t xml:space="preserve">Logo liên cấp (footer): </w:t>
      </w:r>
      <w:r>
        <w:t xml:space="preserve">https://truongvietanh.com/logo-th-thcs-thpt.png</w:t>
      </w:r>
    </w:p>
    <w:p>
      <w:pPr>
        <w:pStyle w:val="ListParagraph"/>
        <w:numPr>
          <w:ilvl w:val="0"/>
          <w:numId w:val="2"/>
        </w:numPr>
        <w:spacing w:after="60"/>
      </w:pPr>
      <w:r>
        <w:rPr>
          <w:b/>
          <w:bCs/>
        </w:rPr>
        <w:t xml:space="preserve">MGIS Mekong Xanh (logo tròn): </w:t>
      </w:r>
      <w:r>
        <w:t xml:space="preserve">https://mgis.edu.vn/wp-content/uploads/2025/08/cropped-cropped-Logo_round-1.png</w:t>
      </w:r>
    </w:p>
    <w:p>
      <w:pPr>
        <w:pStyle w:val="Heading2"/>
      </w:pPr>
      <w:r>
        <w:t xml:space="preserve">Quy tắc dùng logo</w:t>
      </w:r>
    </w:p>
    <w:p>
      <w:pPr>
        <w:pStyle w:val="ListParagraph"/>
        <w:numPr>
          <w:ilvl w:val="0"/>
          <w:numId w:val="2"/>
        </w:numPr>
        <w:spacing w:after="60"/>
      </w:pPr>
      <w:r>
        <w:rPr>
          <w:b/>
          <w:bCs/>
        </w:rPr>
        <w:t xml:space="preserve">Vùng an toàn: </w:t>
      </w:r>
      <w:r>
        <w:t xml:space="preserve">chừa quanh logo tối thiểu bằng chiều cao chữ “V” trong logo.</w:t>
      </w:r>
    </w:p>
    <w:p>
      <w:pPr>
        <w:pStyle w:val="ListParagraph"/>
        <w:numPr>
          <w:ilvl w:val="0"/>
          <w:numId w:val="2"/>
        </w:numPr>
        <w:spacing w:after="60"/>
      </w:pPr>
      <w:r>
        <w:rPr>
          <w:b/>
          <w:bCs/>
        </w:rPr>
        <w:t xml:space="preserve">Kích thước tối thiểu: </w:t>
      </w:r>
      <w:r>
        <w:t xml:space="preserve">≥ 120px (digital) · ≥ 25mm (in ấn).</w:t>
      </w:r>
    </w:p>
    <w:p>
      <w:pPr>
        <w:pStyle w:val="ListParagraph"/>
        <w:numPr>
          <w:ilvl w:val="0"/>
          <w:numId w:val="2"/>
        </w:numPr>
        <w:spacing w:after="60"/>
      </w:pPr>
      <w:r>
        <w:rPr>
          <w:b/>
          <w:bCs/>
        </w:rPr>
        <w:t xml:space="preserve">Nền: </w:t>
      </w:r>
      <w:r>
        <w:t xml:space="preserve">ưu tiên nền trắng hoặc nền sáng #F0F4F8; trên nền tối dùng logo đảo màu trắng.</w:t>
      </w:r>
    </w:p>
    <w:p>
      <w:pPr>
        <w:pStyle w:val="ListParagraph"/>
        <w:numPr>
          <w:ilvl w:val="0"/>
          <w:numId w:val="2"/>
        </w:numPr>
        <w:spacing w:after="60"/>
      </w:pPr>
      <w:r>
        <w:rPr>
          <w:b/>
          <w:bCs/>
        </w:rPr>
        <w:t xml:space="preserve">KHÔNG: </w:t>
      </w:r>
      <w:r>
        <w:t xml:space="preserve">kéo méo tỉ lệ, đổi màu tuỳ tiện, thêm đổ bóng/viền lạ, đặt trên nền rối, xoay nghiêng logo.</w:t>
      </w:r>
    </w:p>
    <w:p>
      <w:pPr>
        <w:spacing w:after="120"/>
      </w:pPr>
      <w:r>
        <w:rPr>
          <w:i/>
          <w:iCs/>
          <w:color w:val="6B7280"/>
        </w:rPr>
        <w:t xml:space="preserve">⚠️ Bộ quy chuẩn logo gốc (vector .ai/.svg, biến thể ngang/dọc, đơn sắc) nằm trong Brand-Guideline-Viet-Anh-v1.1.docx — chưa tải được khỏi Google Drive. Bổ sung link tệp gốc khi mở offline.</w:t>
      </w:r>
    </w:p>
    <w:p>
      <w:pPr>
        <w:pStyle w:val="Heading1"/>
      </w:pPr>
      <w:r>
        <w:t xml:space="preserve">4. Nhận diện thị giác — Bảng màu</w:t>
      </w:r>
    </w:p>
    <w:p>
      <w:pPr>
        <w:pStyle w:val="Heading2"/>
      </w:pPr>
      <w:r>
        <w:t xml:space="preserve">4.1 Trường Việt Anh (màu chủ đạo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3600"/>
      </w:tblGrid>
      <w:tr>
        <w:trPr>
          <w:tblHeader/>
        </w:trPr>
        <w:tc>
          <w:tcPr>
            <w:tcW w:type="dxa" w:w="336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bCs/>
                <w:color w:val="FFFFFF"/>
                <w:sz w:val="20"/>
                <w:szCs w:val="20"/>
              </w:rPr>
              <w:t xml:space="preserve">Vai trò / Tên màu</w:t>
            </w:r>
          </w:p>
        </w:tc>
        <w:tc>
          <w:tcPr>
            <w:tcW w:type="dxa" w:w="240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bCs/>
                <w:color w:val="FFFFFF"/>
                <w:sz w:val="20"/>
                <w:szCs w:val="20"/>
              </w:rPr>
              <w:t xml:space="preserve">HEX</w:t>
            </w:r>
          </w:p>
        </w:tc>
        <w:tc>
          <w:tcPr>
            <w:tcW w:type="dxa" w:w="360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bCs/>
                <w:color w:val="FFFFFF"/>
                <w:sz w:val="20"/>
                <w:szCs w:val="20"/>
              </w:rPr>
              <w:t xml:space="preserve">Mẫu màu</w:t>
            </w:r>
          </w:p>
        </w:tc>
      </w:tr>
      <w:tr>
        <w:tc>
          <w:tcPr>
            <w:tcW w:type="dxa" w:w="3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Primary — Navy (chủ đạo)</w:t>
            </w:r>
          </w:p>
        </w:tc>
        <w:tc>
          <w:tcPr>
            <w:tcW w:type="dxa" w:w="24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bCs/>
                <w:color w:val="1A1A2E"/>
                <w:sz w:val="20"/>
                <w:szCs w:val="20"/>
              </w:rPr>
              <w:t xml:space="preserve">#26275D</w:t>
            </w:r>
          </w:p>
        </w:tc>
        <w:tc>
          <w:tcPr>
            <w:tcW w:type="dxa" w:w="360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val="false"/>
                <w:bCs w:val="false"/>
                <w:color w:val="1A1A2E"/>
                <w:sz w:val="20"/>
                <w:szCs w:val="20"/>
              </w:rPr>
              <w:t xml:space="preserve"/>
            </w:r>
          </w:p>
        </w:tc>
      </w:tr>
      <w:tr>
        <w:tc>
          <w:tcPr>
            <w:tcW w:type="dxa" w:w="3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Accent — Vàng (CTA, highlight)</w:t>
            </w:r>
          </w:p>
        </w:tc>
        <w:tc>
          <w:tcPr>
            <w:tcW w:type="dxa" w:w="24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bCs/>
                <w:color w:val="1A1A2E"/>
                <w:sz w:val="20"/>
                <w:szCs w:val="20"/>
              </w:rPr>
              <w:t xml:space="preserve">#F9DD0E</w:t>
            </w:r>
          </w:p>
        </w:tc>
        <w:tc>
          <w:tcPr>
            <w:tcW w:type="dxa" w:w="3600"/>
            <w:tcBorders>
              <w:top w:val="single" w:color="D9D9D9" w:sz="1"/>
              <w:left w:val="single" w:color="D9D9D9" w:sz="1"/>
              <w:bottom w:val="single" w:color="D9D9D9" w:sz="1"/>
              <w:right w:val="single" w:color="D9D9D9" w:sz="1"/>
            </w:tcBorders>
            <w:shd w:fill="F9DD0E" w:color="auto" w:val="clear"/>
            <w:tcMar>
              <w:top w:type="dxa" w:w="60"/>
              <w:left w:type="dxa" w:w="120"/>
              <w:bottom w:type="dxa" w:w="60"/>
              <w:right w:type="dxa" w:w="120"/>
            </w:tcMar>
          </w:tcPr>
          <w:p>
            <w:pPr>
              <w:jc w:val="left"/>
            </w:pPr>
            <w:r>
              <w:rPr>
                <w:b w:val="false"/>
                <w:bCs w:val="false"/>
                <w:color w:val="1A1A2E"/>
                <w:sz w:val="20"/>
                <w:szCs w:val="20"/>
              </w:rPr>
              <w:t xml:space="preserve"/>
            </w:r>
          </w:p>
        </w:tc>
      </w:tr>
      <w:tr>
        <w:tc>
          <w:tcPr>
            <w:tcW w:type="dxa" w:w="3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Light background — Nền sáng</w:t>
            </w:r>
          </w:p>
        </w:tc>
        <w:tc>
          <w:tcPr>
            <w:tcW w:type="dxa" w:w="24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bCs/>
                <w:color w:val="1A1A2E"/>
                <w:sz w:val="20"/>
                <w:szCs w:val="20"/>
              </w:rPr>
              <w:t xml:space="preserve">#F0F4F8</w:t>
            </w:r>
          </w:p>
        </w:tc>
        <w:tc>
          <w:tcPr>
            <w:tcW w:type="dxa" w:w="3600"/>
            <w:tcBorders>
              <w:top w:val="single" w:color="D9D9D9" w:sz="1"/>
              <w:left w:val="single" w:color="D9D9D9" w:sz="1"/>
              <w:bottom w:val="single" w:color="D9D9D9" w:sz="1"/>
              <w:right w:val="single" w:color="D9D9D9" w:sz="1"/>
            </w:tcBorders>
            <w:shd w:fill="F0F4F8" w:color="auto" w:val="clear"/>
            <w:tcMar>
              <w:top w:type="dxa" w:w="60"/>
              <w:left w:type="dxa" w:w="120"/>
              <w:bottom w:type="dxa" w:w="60"/>
              <w:right w:type="dxa" w:w="120"/>
            </w:tcMar>
          </w:tcPr>
          <w:p>
            <w:pPr>
              <w:jc w:val="left"/>
            </w:pPr>
            <w:r>
              <w:rPr>
                <w:b w:val="false"/>
                <w:bCs w:val="false"/>
                <w:color w:val="1A1A2E"/>
                <w:sz w:val="20"/>
                <w:szCs w:val="20"/>
              </w:rPr>
              <w:t xml:space="preserve"/>
            </w:r>
          </w:p>
        </w:tc>
      </w:tr>
      <w:tr>
        <w:tc>
          <w:tcPr>
            <w:tcW w:type="dxa" w:w="3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Text — Chữ chính</w:t>
            </w:r>
          </w:p>
        </w:tc>
        <w:tc>
          <w:tcPr>
            <w:tcW w:type="dxa" w:w="24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bCs/>
                <w:color w:val="1A1A2E"/>
                <w:sz w:val="20"/>
                <w:szCs w:val="20"/>
              </w:rPr>
              <w:t xml:space="preserve">#1A1A2E</w:t>
            </w:r>
          </w:p>
        </w:tc>
        <w:tc>
          <w:tcPr>
            <w:tcW w:type="dxa" w:w="3600"/>
            <w:tcBorders>
              <w:top w:val="single" w:color="D9D9D9" w:sz="1"/>
              <w:left w:val="single" w:color="D9D9D9" w:sz="1"/>
              <w:bottom w:val="single" w:color="D9D9D9" w:sz="1"/>
              <w:right w:val="single" w:color="D9D9D9" w:sz="1"/>
            </w:tcBorders>
            <w:shd w:fill="1A1A2E" w:color="auto" w:val="clear"/>
            <w:tcMar>
              <w:top w:type="dxa" w:w="60"/>
              <w:left w:type="dxa" w:w="120"/>
              <w:bottom w:type="dxa" w:w="60"/>
              <w:right w:type="dxa" w:w="120"/>
            </w:tcMar>
          </w:tcPr>
          <w:p>
            <w:pPr>
              <w:jc w:val="left"/>
            </w:pPr>
            <w:r>
              <w:rPr>
                <w:b w:val="false"/>
                <w:bCs w:val="false"/>
                <w:color w:val="1A1A2E"/>
                <w:sz w:val="20"/>
                <w:szCs w:val="20"/>
              </w:rPr>
              <w:t xml:space="preserve"/>
            </w:r>
          </w:p>
        </w:tc>
      </w:tr>
      <w:tr>
        <w:tc>
          <w:tcPr>
            <w:tcW w:type="dxa" w:w="3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Border — Viền</w:t>
            </w:r>
          </w:p>
        </w:tc>
        <w:tc>
          <w:tcPr>
            <w:tcW w:type="dxa" w:w="24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bCs/>
                <w:color w:val="1A1A2E"/>
                <w:sz w:val="20"/>
                <w:szCs w:val="20"/>
              </w:rPr>
              <w:t xml:space="preserve">#E2E8F0</w:t>
            </w:r>
          </w:p>
        </w:tc>
        <w:tc>
          <w:tcPr>
            <w:tcW w:type="dxa" w:w="3600"/>
            <w:tcBorders>
              <w:top w:val="single" w:color="D9D9D9" w:sz="1"/>
              <w:left w:val="single" w:color="D9D9D9" w:sz="1"/>
              <w:bottom w:val="single" w:color="D9D9D9" w:sz="1"/>
              <w:right w:val="single" w:color="D9D9D9" w:sz="1"/>
            </w:tcBorders>
            <w:shd w:fill="E2E8F0" w:color="auto" w:val="clear"/>
            <w:tcMar>
              <w:top w:type="dxa" w:w="60"/>
              <w:left w:type="dxa" w:w="120"/>
              <w:bottom w:type="dxa" w:w="60"/>
              <w:right w:type="dxa" w:w="120"/>
            </w:tcMar>
          </w:tcPr>
          <w:p>
            <w:pPr>
              <w:jc w:val="left"/>
            </w:pPr>
            <w:r>
              <w:rPr>
                <w:b w:val="false"/>
                <w:bCs w:val="false"/>
                <w:color w:val="1A1A2E"/>
                <w:sz w:val="20"/>
                <w:szCs w:val="20"/>
              </w:rPr>
              <w:t xml:space="preserve"/>
            </w:r>
          </w:p>
        </w:tc>
      </w:tr>
    </w:tbl>
    <w:p>
      <w:pPr>
        <w:spacing w:after="120"/>
      </w:pPr>
      <w:r>
        <w:rPr>
          <w:sz w:val="20"/>
          <w:szCs w:val="20"/>
        </w:rPr>
        <w:t xml:space="preserve">Bộ đôi nhận diện chuẩn: Navy #26275D + Vàng #F9DD0E (Chủ tịch xác nhận 27/06/2026). Nút CTA: nền vàng #F9DD0E, chữ Navy #26275D — KHÔNG dùng chữ trắng vì nền vàng sáng sẽ chói. #26275D cũng là theme-color website.</w:t>
      </w:r>
    </w:p>
    <w:p>
      <w:pPr>
        <w:pStyle w:val="Heading2"/>
      </w:pPr>
      <w:r>
        <w:t xml:space="preserve">4.2 MGIS — Mekong Xanh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3600"/>
      </w:tblGrid>
      <w:tr>
        <w:trPr>
          <w:tblHeader/>
        </w:trPr>
        <w:tc>
          <w:tcPr>
            <w:tcW w:type="dxa" w:w="336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bCs/>
                <w:color w:val="FFFFFF"/>
                <w:sz w:val="20"/>
                <w:szCs w:val="20"/>
              </w:rPr>
              <w:t xml:space="preserve">Vai trò / Tên màu</w:t>
            </w:r>
          </w:p>
        </w:tc>
        <w:tc>
          <w:tcPr>
            <w:tcW w:type="dxa" w:w="240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bCs/>
                <w:color w:val="FFFFFF"/>
                <w:sz w:val="20"/>
                <w:szCs w:val="20"/>
              </w:rPr>
              <w:t xml:space="preserve">HEX</w:t>
            </w:r>
          </w:p>
        </w:tc>
        <w:tc>
          <w:tcPr>
            <w:tcW w:type="dxa" w:w="360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bCs/>
                <w:color w:val="FFFFFF"/>
                <w:sz w:val="20"/>
                <w:szCs w:val="20"/>
              </w:rPr>
              <w:t xml:space="preserve">Mẫu màu</w:t>
            </w:r>
          </w:p>
        </w:tc>
      </w:tr>
      <w:tr>
        <w:tc>
          <w:tcPr>
            <w:tcW w:type="dxa" w:w="3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Primary — Xanh lá chủ đạo</w:t>
            </w:r>
          </w:p>
        </w:tc>
        <w:tc>
          <w:tcPr>
            <w:tcW w:type="dxa" w:w="24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bCs/>
                <w:color w:val="1A1A2E"/>
                <w:sz w:val="20"/>
                <w:szCs w:val="20"/>
              </w:rPr>
              <w:t xml:space="preserve">#046F4A</w:t>
            </w:r>
          </w:p>
        </w:tc>
        <w:tc>
          <w:tcPr>
            <w:tcW w:type="dxa" w:w="3600"/>
            <w:tcBorders>
              <w:top w:val="single" w:color="D9D9D9" w:sz="1"/>
              <w:left w:val="single" w:color="D9D9D9" w:sz="1"/>
              <w:bottom w:val="single" w:color="D9D9D9" w:sz="1"/>
              <w:right w:val="single" w:color="D9D9D9" w:sz="1"/>
            </w:tcBorders>
            <w:shd w:fill="046F4A" w:color="auto" w:val="clear"/>
            <w:tcMar>
              <w:top w:type="dxa" w:w="60"/>
              <w:left w:type="dxa" w:w="120"/>
              <w:bottom w:type="dxa" w:w="60"/>
              <w:right w:type="dxa" w:w="120"/>
            </w:tcMar>
          </w:tcPr>
          <w:p>
            <w:pPr>
              <w:jc w:val="left"/>
            </w:pPr>
            <w:r>
              <w:rPr>
                <w:b w:val="false"/>
                <w:bCs w:val="false"/>
                <w:color w:val="1A1A2E"/>
                <w:sz w:val="20"/>
                <w:szCs w:val="20"/>
              </w:rPr>
              <w:t xml:space="preserve"/>
            </w:r>
          </w:p>
        </w:tc>
      </w:tr>
      <w:tr>
        <w:tc>
          <w:tcPr>
            <w:tcW w:type="dxa" w:w="3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Green dark — header/footer</w:t>
            </w:r>
          </w:p>
        </w:tc>
        <w:tc>
          <w:tcPr>
            <w:tcW w:type="dxa" w:w="24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bCs/>
                <w:color w:val="1A1A2E"/>
                <w:sz w:val="20"/>
                <w:szCs w:val="20"/>
              </w:rPr>
              <w:t xml:space="preserve">#00553B</w:t>
            </w:r>
          </w:p>
        </w:tc>
        <w:tc>
          <w:tcPr>
            <w:tcW w:type="dxa" w:w="3600"/>
            <w:tcBorders>
              <w:top w:val="single" w:color="D9D9D9" w:sz="1"/>
              <w:left w:val="single" w:color="D9D9D9" w:sz="1"/>
              <w:bottom w:val="single" w:color="D9D9D9" w:sz="1"/>
              <w:right w:val="single" w:color="D9D9D9" w:sz="1"/>
            </w:tcBorders>
            <w:shd w:fill="00553B" w:color="auto" w:val="clear"/>
            <w:tcMar>
              <w:top w:type="dxa" w:w="60"/>
              <w:left w:type="dxa" w:w="120"/>
              <w:bottom w:type="dxa" w:w="60"/>
              <w:right w:type="dxa" w:w="120"/>
            </w:tcMar>
          </w:tcPr>
          <w:p>
            <w:pPr>
              <w:jc w:val="left"/>
            </w:pPr>
            <w:r>
              <w:rPr>
                <w:b w:val="false"/>
                <w:bCs w:val="false"/>
                <w:color w:val="1A1A2E"/>
                <w:sz w:val="20"/>
                <w:szCs w:val="20"/>
              </w:rPr>
              <w:t xml:space="preserve"/>
            </w:r>
          </w:p>
        </w:tc>
      </w:tr>
      <w:tr>
        <w:tc>
          <w:tcPr>
            <w:tcW w:type="dxa" w:w="3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Green light — nền</w:t>
            </w:r>
          </w:p>
        </w:tc>
        <w:tc>
          <w:tcPr>
            <w:tcW w:type="dxa" w:w="24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bCs/>
                <w:color w:val="1A1A2E"/>
                <w:sz w:val="20"/>
                <w:szCs w:val="20"/>
              </w:rPr>
              <w:t xml:space="preserve">#E8F5F0</w:t>
            </w:r>
          </w:p>
        </w:tc>
        <w:tc>
          <w:tcPr>
            <w:tcW w:type="dxa" w:w="3600"/>
            <w:tcBorders>
              <w:top w:val="single" w:color="D9D9D9" w:sz="1"/>
              <w:left w:val="single" w:color="D9D9D9" w:sz="1"/>
              <w:bottom w:val="single" w:color="D9D9D9" w:sz="1"/>
              <w:right w:val="single" w:color="D9D9D9" w:sz="1"/>
            </w:tcBorders>
            <w:shd w:fill="E8F5F0" w:color="auto" w:val="clear"/>
            <w:tcMar>
              <w:top w:type="dxa" w:w="60"/>
              <w:left w:type="dxa" w:w="120"/>
              <w:bottom w:type="dxa" w:w="60"/>
              <w:right w:type="dxa" w:w="120"/>
            </w:tcMar>
          </w:tcPr>
          <w:p>
            <w:pPr>
              <w:jc w:val="left"/>
            </w:pPr>
            <w:r>
              <w:rPr>
                <w:b w:val="false"/>
                <w:bCs w:val="false"/>
                <w:color w:val="1A1A2E"/>
                <w:sz w:val="20"/>
                <w:szCs w:val="20"/>
              </w:rPr>
              <w:t xml:space="preserve"/>
            </w:r>
          </w:p>
        </w:tc>
      </w:tr>
      <w:tr>
        <w:tc>
          <w:tcPr>
            <w:tcW w:type="dxa" w:w="3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Accent — Vàng (CTA, badge)</w:t>
            </w:r>
          </w:p>
        </w:tc>
        <w:tc>
          <w:tcPr>
            <w:tcW w:type="dxa" w:w="24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bCs/>
                <w:color w:val="1A1A2E"/>
                <w:sz w:val="20"/>
                <w:szCs w:val="20"/>
              </w:rPr>
              <w:t xml:space="preserve">#F5A623</w:t>
            </w:r>
          </w:p>
        </w:tc>
        <w:tc>
          <w:tcPr>
            <w:tcW w:type="dxa" w:w="3600"/>
            <w:tcBorders>
              <w:top w:val="single" w:color="D9D9D9" w:sz="1"/>
              <w:left w:val="single" w:color="D9D9D9" w:sz="1"/>
              <w:bottom w:val="single" w:color="D9D9D9" w:sz="1"/>
              <w:right w:val="single" w:color="D9D9D9" w:sz="1"/>
            </w:tcBorders>
            <w:shd w:fill="F5A623" w:color="auto" w:val="clear"/>
            <w:tcMar>
              <w:top w:type="dxa" w:w="60"/>
              <w:left w:type="dxa" w:w="120"/>
              <w:bottom w:type="dxa" w:w="60"/>
              <w:right w:type="dxa" w:w="120"/>
            </w:tcMar>
          </w:tcPr>
          <w:p>
            <w:pPr>
              <w:jc w:val="left"/>
            </w:pPr>
            <w:r>
              <w:rPr>
                <w:b w:val="false"/>
                <w:bCs w:val="false"/>
                <w:color w:val="1A1A2E"/>
                <w:sz w:val="20"/>
                <w:szCs w:val="20"/>
              </w:rPr>
              <w:t xml:space="preserve"/>
            </w:r>
          </w:p>
        </w:tc>
      </w:tr>
      <w:tr>
        <w:tc>
          <w:tcPr>
            <w:tcW w:type="dxa" w:w="3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Đỏ — urgency/cảnh báo</w:t>
            </w:r>
          </w:p>
        </w:tc>
        <w:tc>
          <w:tcPr>
            <w:tcW w:type="dxa" w:w="24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bCs/>
                <w:color w:val="1A1A2E"/>
                <w:sz w:val="20"/>
                <w:szCs w:val="20"/>
              </w:rPr>
              <w:t xml:space="preserve">#E03C31</w:t>
            </w:r>
          </w:p>
        </w:tc>
        <w:tc>
          <w:tcPr>
            <w:tcW w:type="dxa" w:w="3600"/>
            <w:tcBorders>
              <w:top w:val="single" w:color="D9D9D9" w:sz="1"/>
              <w:left w:val="single" w:color="D9D9D9" w:sz="1"/>
              <w:bottom w:val="single" w:color="D9D9D9" w:sz="1"/>
              <w:right w:val="single" w:color="D9D9D9" w:sz="1"/>
            </w:tcBorders>
            <w:shd w:fill="E03C31" w:color="auto" w:val="clear"/>
            <w:tcMar>
              <w:top w:type="dxa" w:w="60"/>
              <w:left w:type="dxa" w:w="120"/>
              <w:bottom w:type="dxa" w:w="60"/>
              <w:right w:type="dxa" w:w="120"/>
            </w:tcMar>
          </w:tcPr>
          <w:p>
            <w:pPr>
              <w:jc w:val="left"/>
            </w:pPr>
            <w:r>
              <w:rPr>
                <w:b w:val="false"/>
                <w:bCs w:val="false"/>
                <w:color w:val="1A1A2E"/>
                <w:sz w:val="20"/>
                <w:szCs w:val="20"/>
              </w:rPr>
              <w:t xml:space="preserve"/>
            </w:r>
          </w:p>
        </w:tc>
      </w:tr>
      <w:tr>
        <w:tc>
          <w:tcPr>
            <w:tcW w:type="dxa" w:w="3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Text — Chữ chính</w:t>
            </w:r>
          </w:p>
        </w:tc>
        <w:tc>
          <w:tcPr>
            <w:tcW w:type="dxa" w:w="24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bCs/>
                <w:color w:val="1A1A2E"/>
                <w:sz w:val="20"/>
                <w:szCs w:val="20"/>
              </w:rPr>
              <w:t xml:space="preserve">#1A1A2E</w:t>
            </w:r>
          </w:p>
        </w:tc>
        <w:tc>
          <w:tcPr>
            <w:tcW w:type="dxa" w:w="3600"/>
            <w:tcBorders>
              <w:top w:val="single" w:color="D9D9D9" w:sz="1"/>
              <w:left w:val="single" w:color="D9D9D9" w:sz="1"/>
              <w:bottom w:val="single" w:color="D9D9D9" w:sz="1"/>
              <w:right w:val="single" w:color="D9D9D9" w:sz="1"/>
            </w:tcBorders>
            <w:shd w:fill="1A1A2E" w:color="auto" w:val="clear"/>
            <w:tcMar>
              <w:top w:type="dxa" w:w="60"/>
              <w:left w:type="dxa" w:w="120"/>
              <w:bottom w:type="dxa" w:w="60"/>
              <w:right w:type="dxa" w:w="120"/>
            </w:tcMar>
          </w:tcPr>
          <w:p>
            <w:pPr>
              <w:jc w:val="left"/>
            </w:pPr>
            <w:r>
              <w:rPr>
                <w:b w:val="false"/>
                <w:bCs w:val="false"/>
                <w:color w:val="1A1A2E"/>
                <w:sz w:val="20"/>
                <w:szCs w:val="20"/>
              </w:rPr>
              <w:t xml:space="preserve"/>
            </w:r>
          </w:p>
        </w:tc>
      </w:tr>
      <w:tr>
        <w:tc>
          <w:tcPr>
            <w:tcW w:type="dxa" w:w="3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Light bg — Nền sáng</w:t>
            </w:r>
          </w:p>
        </w:tc>
        <w:tc>
          <w:tcPr>
            <w:tcW w:type="dxa" w:w="24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bCs/>
                <w:color w:val="1A1A2E"/>
                <w:sz w:val="20"/>
                <w:szCs w:val="20"/>
              </w:rPr>
              <w:t xml:space="preserve">#F4FAF7</w:t>
            </w:r>
          </w:p>
        </w:tc>
        <w:tc>
          <w:tcPr>
            <w:tcW w:type="dxa" w:w="3600"/>
            <w:tcBorders>
              <w:top w:val="single" w:color="D9D9D9" w:sz="1"/>
              <w:left w:val="single" w:color="D9D9D9" w:sz="1"/>
              <w:bottom w:val="single" w:color="D9D9D9" w:sz="1"/>
              <w:right w:val="single" w:color="D9D9D9" w:sz="1"/>
            </w:tcBorders>
            <w:shd w:fill="F4FAF7" w:color="auto" w:val="clear"/>
            <w:tcMar>
              <w:top w:type="dxa" w:w="60"/>
              <w:left w:type="dxa" w:w="120"/>
              <w:bottom w:type="dxa" w:w="60"/>
              <w:right w:type="dxa" w:w="120"/>
            </w:tcMar>
          </w:tcPr>
          <w:p>
            <w:pPr>
              <w:jc w:val="left"/>
            </w:pPr>
            <w:r>
              <w:rPr>
                <w:b w:val="false"/>
                <w:bCs w:val="false"/>
                <w:color w:val="1A1A2E"/>
                <w:sz w:val="20"/>
                <w:szCs w:val="20"/>
              </w:rPr>
              <w:t xml:space="preserve"/>
            </w:r>
          </w:p>
        </w:tc>
      </w:tr>
    </w:tbl>
    <w:p>
      <w:pPr>
        <w:spacing w:after="120"/>
      </w:pPr>
      <w:r>
        <w:rPr>
          <w:sz w:val="20"/>
          <w:szCs w:val="20"/>
        </w:rPr>
        <w:t xml:space="preserve">Nút CTA MGIS: nền vàng #F5A623, chữ trắng.</w:t>
      </w:r>
    </w:p>
    <w:p>
      <w:pPr>
        <w:pStyle w:val="Heading2"/>
      </w:pPr>
      <w:r>
        <w:t xml:space="preserve">4.3 Lion Camps (trại hè)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3600"/>
      </w:tblGrid>
      <w:tr>
        <w:trPr>
          <w:tblHeader/>
        </w:trPr>
        <w:tc>
          <w:tcPr>
            <w:tcW w:type="dxa" w:w="336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bCs/>
                <w:color w:val="FFFFFF"/>
                <w:sz w:val="20"/>
                <w:szCs w:val="20"/>
              </w:rPr>
              <w:t xml:space="preserve">Vai trò / Tên màu</w:t>
            </w:r>
          </w:p>
        </w:tc>
        <w:tc>
          <w:tcPr>
            <w:tcW w:type="dxa" w:w="240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bCs/>
                <w:color w:val="FFFFFF"/>
                <w:sz w:val="20"/>
                <w:szCs w:val="20"/>
              </w:rPr>
              <w:t xml:space="preserve">HEX</w:t>
            </w:r>
          </w:p>
        </w:tc>
        <w:tc>
          <w:tcPr>
            <w:tcW w:type="dxa" w:w="360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bCs/>
                <w:color w:val="FFFFFF"/>
                <w:sz w:val="20"/>
                <w:szCs w:val="20"/>
              </w:rPr>
              <w:t xml:space="preserve">Mẫu màu</w:t>
            </w:r>
          </w:p>
        </w:tc>
      </w:tr>
      <w:tr>
        <w:tc>
          <w:tcPr>
            <w:tcW w:type="dxa" w:w="3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Navy — hero background</w:t>
            </w:r>
          </w:p>
        </w:tc>
        <w:tc>
          <w:tcPr>
            <w:tcW w:type="dxa" w:w="24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bCs/>
                <w:color w:val="1A1A2E"/>
                <w:sz w:val="20"/>
                <w:szCs w:val="20"/>
              </w:rPr>
              <w:t xml:space="preserve">#26275D</w:t>
            </w:r>
          </w:p>
        </w:tc>
        <w:tc>
          <w:tcPr>
            <w:tcW w:type="dxa" w:w="360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val="false"/>
                <w:bCs w:val="false"/>
                <w:color w:val="1A1A2E"/>
                <w:sz w:val="20"/>
                <w:szCs w:val="20"/>
              </w:rPr>
              <w:t xml:space="preserve"/>
            </w:r>
          </w:p>
        </w:tc>
      </w:tr>
      <w:tr>
        <w:tc>
          <w:tcPr>
            <w:tcW w:type="dxa" w:w="3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Vàng — CTA / badge</w:t>
            </w:r>
          </w:p>
        </w:tc>
        <w:tc>
          <w:tcPr>
            <w:tcW w:type="dxa" w:w="24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bCs/>
                <w:color w:val="1A1A2E"/>
                <w:sz w:val="20"/>
                <w:szCs w:val="20"/>
              </w:rPr>
              <w:t xml:space="preserve">#F9DD0E</w:t>
            </w:r>
          </w:p>
        </w:tc>
        <w:tc>
          <w:tcPr>
            <w:tcW w:type="dxa" w:w="3600"/>
            <w:tcBorders>
              <w:top w:val="single" w:color="D9D9D9" w:sz="1"/>
              <w:left w:val="single" w:color="D9D9D9" w:sz="1"/>
              <w:bottom w:val="single" w:color="D9D9D9" w:sz="1"/>
              <w:right w:val="single" w:color="D9D9D9" w:sz="1"/>
            </w:tcBorders>
            <w:shd w:fill="F9DD0E" w:color="auto" w:val="clear"/>
            <w:tcMar>
              <w:top w:type="dxa" w:w="60"/>
              <w:left w:type="dxa" w:w="120"/>
              <w:bottom w:type="dxa" w:w="60"/>
              <w:right w:type="dxa" w:w="120"/>
            </w:tcMar>
          </w:tcPr>
          <w:p>
            <w:pPr>
              <w:jc w:val="left"/>
            </w:pPr>
            <w:r>
              <w:rPr>
                <w:b w:val="false"/>
                <w:bCs w:val="false"/>
                <w:color w:val="1A1A2E"/>
                <w:sz w:val="20"/>
                <w:szCs w:val="20"/>
              </w:rPr>
              <w:t xml:space="preserve"/>
            </w:r>
          </w:p>
        </w:tc>
      </w:tr>
      <w:tr>
        <w:tc>
          <w:tcPr>
            <w:tcW w:type="dxa" w:w="3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Vàng nhạt — chữ trên nền tối</w:t>
            </w:r>
          </w:p>
        </w:tc>
        <w:tc>
          <w:tcPr>
            <w:tcW w:type="dxa" w:w="24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bCs/>
                <w:color w:val="1A1A2E"/>
                <w:sz w:val="20"/>
                <w:szCs w:val="20"/>
              </w:rPr>
              <w:t xml:space="preserve">#FDE68A</w:t>
            </w:r>
          </w:p>
        </w:tc>
        <w:tc>
          <w:tcPr>
            <w:tcW w:type="dxa" w:w="3600"/>
            <w:tcBorders>
              <w:top w:val="single" w:color="D9D9D9" w:sz="1"/>
              <w:left w:val="single" w:color="D9D9D9" w:sz="1"/>
              <w:bottom w:val="single" w:color="D9D9D9" w:sz="1"/>
              <w:right w:val="single" w:color="D9D9D9" w:sz="1"/>
            </w:tcBorders>
            <w:shd w:fill="FDE68A" w:color="auto" w:val="clear"/>
            <w:tcMar>
              <w:top w:type="dxa" w:w="60"/>
              <w:left w:type="dxa" w:w="120"/>
              <w:bottom w:type="dxa" w:w="60"/>
              <w:right w:type="dxa" w:w="120"/>
            </w:tcMar>
          </w:tcPr>
          <w:p>
            <w:pPr>
              <w:jc w:val="left"/>
            </w:pPr>
            <w:r>
              <w:rPr>
                <w:b w:val="false"/>
                <w:bCs w:val="false"/>
                <w:color w:val="1A1A2E"/>
                <w:sz w:val="20"/>
                <w:szCs w:val="20"/>
              </w:rPr>
              <w:t xml:space="preserve"/>
            </w:r>
          </w:p>
        </w:tc>
      </w:tr>
      <w:tr>
        <w:tc>
          <w:tcPr>
            <w:tcW w:type="dxa" w:w="3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Light bg — Nền sáng</w:t>
            </w:r>
          </w:p>
        </w:tc>
        <w:tc>
          <w:tcPr>
            <w:tcW w:type="dxa" w:w="24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bCs/>
                <w:color w:val="1A1A2E"/>
                <w:sz w:val="20"/>
                <w:szCs w:val="20"/>
              </w:rPr>
              <w:t xml:space="preserve">#F0F4F8</w:t>
            </w:r>
          </w:p>
        </w:tc>
        <w:tc>
          <w:tcPr>
            <w:tcW w:type="dxa" w:w="3600"/>
            <w:tcBorders>
              <w:top w:val="single" w:color="D9D9D9" w:sz="1"/>
              <w:left w:val="single" w:color="D9D9D9" w:sz="1"/>
              <w:bottom w:val="single" w:color="D9D9D9" w:sz="1"/>
              <w:right w:val="single" w:color="D9D9D9" w:sz="1"/>
            </w:tcBorders>
            <w:shd w:fill="F0F4F8" w:color="auto" w:val="clear"/>
            <w:tcMar>
              <w:top w:type="dxa" w:w="60"/>
              <w:left w:type="dxa" w:w="120"/>
              <w:bottom w:type="dxa" w:w="60"/>
              <w:right w:type="dxa" w:w="120"/>
            </w:tcMar>
          </w:tcPr>
          <w:p>
            <w:pPr>
              <w:jc w:val="left"/>
            </w:pPr>
            <w:r>
              <w:rPr>
                <w:b w:val="false"/>
                <w:bCs w:val="false"/>
                <w:color w:val="1A1A2E"/>
                <w:sz w:val="20"/>
                <w:szCs w:val="20"/>
              </w:rPr>
              <w:t xml:space="preserve"/>
            </w:r>
          </w:p>
        </w:tc>
      </w:tr>
    </w:tbl>
    <w:p>
      <w:pPr>
        <w:spacing w:after="120"/>
      </w:pPr>
      <w:r>
        <w:rPr>
          <w:b/>
          <w:bCs/>
        </w:rPr>
        <w:t xml:space="preserve">Quy tắc dùng màu chung: </w:t>
      </w:r>
      <w:r>
        <w:t xml:space="preserve">Navy #26275D / Vàng #F9DD0E là bộ đôi nhận diện Việt Anh — Navy chủ đạo, Vàng dành riêng cho CTA/điểm nhấn (không lạm dụng vàng cho mảng lớn). Chữ trên nền vàng phải là Navy, không dùng trắng. Mỗi trường thành viên giữ hệ màu riêng nhưng dùng chung font và nguyên tắc bố cục.</w:t>
      </w:r>
    </w:p>
    <w:p>
      <w:pPr>
        <w:pStyle w:val="Heading1"/>
      </w:pPr>
      <w:r>
        <w:t xml:space="preserve">5. Nhận diện thị giác — Typography</w:t>
      </w:r>
    </w:p>
    <w:p>
      <w:pPr>
        <w:pStyle w:val="ListParagraph"/>
        <w:numPr>
          <w:ilvl w:val="0"/>
          <w:numId w:val="2"/>
        </w:numPr>
        <w:spacing w:after="60"/>
      </w:pPr>
      <w:r>
        <w:rPr>
          <w:b/>
          <w:bCs/>
        </w:rPr>
        <w:t xml:space="preserve">Font chính: </w:t>
      </w:r>
      <w:r>
        <w:t xml:space="preserve">Be Vietnam Pro (Google Fonts) — hỗ trợ tiếng Việt đầy đủ. Heading 700–900, Body 400–500.</w:t>
      </w:r>
    </w:p>
    <w:p>
      <w:pPr>
        <w:pStyle w:val="ListParagraph"/>
        <w:numPr>
          <w:ilvl w:val="0"/>
          <w:numId w:val="2"/>
        </w:numPr>
        <w:spacing w:after="60"/>
      </w:pPr>
      <w:r>
        <w:rPr>
          <w:b/>
          <w:bCs/>
        </w:rPr>
        <w:t xml:space="preserve">Font in ấn/PDF thay thế: </w:t>
      </w:r>
      <w:r>
        <w:t xml:space="preserve">Arial (sans-serif).</w:t>
      </w:r>
    </w:p>
    <w:p>
      <w:pPr>
        <w:pStyle w:val="ListParagraph"/>
        <w:numPr>
          <w:ilvl w:val="0"/>
          <w:numId w:val="2"/>
        </w:numPr>
        <w:spacing w:after="60"/>
      </w:pPr>
      <w:r>
        <w:rPr>
          <w:b/>
          <w:bCs/>
        </w:rPr>
        <w:t xml:space="preserve">Chỉ dùng sans-serif</w:t>
      </w:r>
      <w:r>
        <w:t xml:space="preserve"> — KHÔNG dùng font có chân (serif).</w:t>
      </w:r>
    </w:p>
    <w:p>
      <w:pPr>
        <w:pStyle w:val="ListParagraph"/>
        <w:numPr>
          <w:ilvl w:val="0"/>
          <w:numId w:val="2"/>
        </w:numPr>
        <w:spacing w:after="60"/>
      </w:pPr>
      <w:r>
        <w:rPr>
          <w:b/>
          <w:bCs/>
        </w:rPr>
        <w:t xml:space="preserve">Cỡ chữ tối thiểu: </w:t>
      </w:r>
      <w:r>
        <w:t xml:space="preserve">16px (digital) / 16pt (in ấn) — không ngoại lệ.</w:t>
      </w:r>
    </w:p>
    <w:p>
      <w:pPr>
        <w:pStyle w:val="Heading1"/>
      </w:pPr>
      <w:r>
        <w:t xml:space="preserve">6. Giọng điệu thương hiệu (Brand Voice)</w:t>
      </w:r>
    </w:p>
    <w:p>
      <w:pPr>
        <w:spacing w:after="120"/>
      </w:pPr>
      <w:r>
        <w:t xml:space="preserve">Giọng nói của tổ chức Việt Anh (website, brochure, thông báo, FAQ, fanpage trường). </w:t>
      </w:r>
      <w:r>
        <w:rPr>
          <w:b/>
          <w:bCs/>
        </w:rPr>
        <w:t xml:space="preserve">Tính cách: Ấm áp · Chân thật · Minh bạch · Tự tin nhưng không khoa trương · Thực tế.</w:t>
      </w:r>
    </w:p>
    <w:p>
      <w:pPr>
        <w:pStyle w:val="ListParagraph"/>
        <w:numPr>
          <w:ilvl w:val="0"/>
          <w:numId w:val="2"/>
        </w:numPr>
        <w:spacing w:after="60"/>
      </w:pPr>
      <w:r>
        <w:rPr>
          <w:b/>
          <w:bCs/>
        </w:rPr>
        <w:t xml:space="preserve">Minh bạch là văn hoá, không phải chiêu marketing. </w:t>
      </w:r>
      <w:r>
        <w:t xml:space="preserve">“Minh bạch từng đồng — không phát sinh bất ngờ.” Luôn đưa bằng chứng cụ thể thay vì tuyên bố chung chung.</w:t>
      </w:r>
    </w:p>
    <w:p>
      <w:pPr>
        <w:pStyle w:val="ListParagraph"/>
        <w:numPr>
          <w:ilvl w:val="0"/>
          <w:numId w:val="2"/>
        </w:numPr>
        <w:spacing w:after="60"/>
      </w:pPr>
      <w:r>
        <w:rPr>
          <w:b/>
          <w:bCs/>
        </w:rPr>
        <w:t xml:space="preserve">Nói thẳng nỗi lo của phụ huynh. </w:t>
      </w:r>
      <w:r>
        <w:t xml:space="preserve">Mô-típ FAQ: “💬 Phụ huynh thường lo:…” rồi trả lời thẳng, không né.</w:t>
      </w:r>
    </w:p>
    <w:p>
      <w:pPr>
        <w:pStyle w:val="ListParagraph"/>
        <w:numPr>
          <w:ilvl w:val="0"/>
          <w:numId w:val="2"/>
        </w:numPr>
        <w:spacing w:after="60"/>
      </w:pPr>
      <w:r>
        <w:rPr>
          <w:b/>
          <w:bCs/>
        </w:rPr>
        <w:t xml:space="preserve">So sánh với chính mình, không hạ thấp người khác. </w:t>
      </w:r>
      <w:r>
        <w:t xml:space="preserve">“Chúng tôi không so sánh con bạn với bất kỳ đứa trẻ nào khác.”</w:t>
      </w:r>
    </w:p>
    <w:p>
      <w:pPr>
        <w:pStyle w:val="ListParagraph"/>
        <w:numPr>
          <w:ilvl w:val="0"/>
          <w:numId w:val="2"/>
        </w:numPr>
        <w:spacing w:after="60"/>
      </w:pPr>
      <w:r>
        <w:rPr>
          <w:b/>
          <w:bCs/>
        </w:rPr>
        <w:t xml:space="preserve">Con số thật, không phóng đại.</w:t>
      </w:r>
    </w:p>
    <w:p>
      <w:pPr>
        <w:spacing w:after="120"/>
      </w:pPr>
      <w:r>
        <w:rPr>
          <w:b/>
          <w:bCs/>
        </w:rPr>
        <w:t xml:space="preserve">Nên: </w:t>
      </w:r>
      <w:r>
        <w:t xml:space="preserve">cụ thể, có dẫn chứng, tôn trọng phụ huynh, đặt câu hỏi mở. </w:t>
      </w:r>
      <w:r>
        <w:rPr>
          <w:b/>
          <w:bCs/>
        </w:rPr>
        <w:t xml:space="preserve">Tránh: </w:t>
      </w:r>
      <w:r>
        <w:t xml:space="preserve">sáo rỗng, hứa hẹn quá mức, urgency giả, buzzword không giải thích.</w:t>
      </w:r>
    </w:p>
    <w:p>
      <w:pPr>
        <w:pStyle w:val="Heading1"/>
      </w:pPr>
      <w:r>
        <w:t xml:space="preserve">7. Giọng điệu Nguyễn Mạnh Dương</w:t>
      </w:r>
    </w:p>
    <w:p>
      <w:pPr>
        <w:spacing w:after="120"/>
      </w:pPr>
      <w:r>
        <w:t xml:space="preserve">Giọng nói cá nhân anh Dương dùng cho blog, video, email “anh Dương”, Facebook cá nhân, phát biểu — đòn bẩy marketing chính cho cả hệ sinh thái Việt Anh + MGIS.</w:t>
      </w:r>
    </w:p>
    <w:p>
      <w:pPr>
        <w:pStyle w:val="Heading2"/>
      </w:pPr>
      <w:r>
        <w:t xml:space="preserve">Hai vai trò không tách rời</w:t>
      </w:r>
    </w:p>
    <w:p>
      <w:pPr>
        <w:pStyle w:val="ListParagraph"/>
        <w:numPr>
          <w:ilvl w:val="0"/>
          <w:numId w:val="3"/>
        </w:numPr>
        <w:spacing w:after="60"/>
      </w:pPr>
      <w:r>
        <w:rPr>
          <w:b/>
          <w:bCs/>
        </w:rPr>
        <w:t xml:space="preserve">Nhà giáo dục cấp tiến</w:t>
      </w:r>
      <w:r>
        <w:t xml:space="preserve"> — “Tôi bước vào giáo dục bằng tư duy hệ thống của một người làm kinh doanh.” Nhìn giáo dục như doanh nghiệp dài hạn: đầu vào (trẻ) → quá trình (môi trường, phương pháp, văn hoá) → đầu ra (người sống tốt mà không cần ai chống lưng).</w:t>
      </w:r>
    </w:p>
    <w:p>
      <w:pPr>
        <w:pStyle w:val="ListParagraph"/>
        <w:numPr>
          <w:ilvl w:val="0"/>
          <w:numId w:val="3"/>
        </w:numPr>
        <w:spacing w:after="60"/>
      </w:pPr>
      <w:r>
        <w:rPr>
          <w:b/>
          <w:bCs/>
        </w:rPr>
        <w:t xml:space="preserve">Người cha đam mê phát triển con</w:t>
      </w:r>
      <w:r>
        <w:t xml:space="preserve"> — “Tôi thử nghiệm mọi triết lý trước tiên trên chính con mình.” 3 con (Mia, Afee, Alex). “Tôi không cần con tôi đứng đầu. Tôi cần con tôi đứng vững.”</w:t>
      </w:r>
    </w:p>
    <w:p>
      <w:pPr>
        <w:pStyle w:val="Heading2"/>
      </w:pPr>
      <w:r>
        <w:t xml:space="preserve">Đặc điểm voice</w:t>
      </w:r>
    </w:p>
    <w:p>
      <w:pPr>
        <w:pStyle w:val="ListParagraph"/>
        <w:numPr>
          <w:ilvl w:val="0"/>
          <w:numId w:val="2"/>
        </w:numPr>
        <w:spacing w:after="60"/>
      </w:pPr>
      <w:r>
        <w:rPr>
          <w:b/>
          <w:bCs/>
        </w:rPr>
        <w:t xml:space="preserve">Xưng “anh”</w:t>
      </w:r>
      <w:r>
        <w:t xml:space="preserve"> (không “tôi”, không “ông”), gọi người đọc “em” hoặc “bạn”.</w:t>
      </w:r>
    </w:p>
    <w:p>
      <w:pPr>
        <w:pStyle w:val="ListParagraph"/>
        <w:numPr>
          <w:ilvl w:val="0"/>
          <w:numId w:val="2"/>
        </w:numPr>
        <w:spacing w:after="60"/>
      </w:pPr>
      <w:r>
        <w:t xml:space="preserve">Tiếng Việt chân chất, đời thường — không sách vở, không hô hào.</w:t>
      </w:r>
    </w:p>
    <w:p>
      <w:pPr>
        <w:pStyle w:val="ListParagraph"/>
        <w:numPr>
          <w:ilvl w:val="0"/>
          <w:numId w:val="2"/>
        </w:numPr>
        <w:spacing w:after="60"/>
      </w:pPr>
      <w:r>
        <w:t xml:space="preserve">Kể chuyện cá nhân trước, rút bài học sau (storytelling-first).</w:t>
      </w:r>
    </w:p>
    <w:p>
      <w:pPr>
        <w:pStyle w:val="ListParagraph"/>
        <w:numPr>
          <w:ilvl w:val="0"/>
          <w:numId w:val="2"/>
        </w:numPr>
        <w:spacing w:after="60"/>
      </w:pPr>
      <w:r>
        <w:t xml:space="preserve">Hay dùng trích dẫn ngắn in đậm (Stephen Covey, Jim Collins, hoặc lời con nói).</w:t>
      </w:r>
    </w:p>
    <w:p>
      <w:pPr>
        <w:pStyle w:val="ListParagraph"/>
        <w:numPr>
          <w:ilvl w:val="0"/>
          <w:numId w:val="2"/>
        </w:numPr>
        <w:spacing w:after="60"/>
      </w:pPr>
      <w:r>
        <w:t xml:space="preserve">Dùng câu hỏi mở để người đọc tự suy ngẫm, thay vì áp đặt.</w:t>
      </w:r>
    </w:p>
    <w:p>
      <w:pPr>
        <w:pStyle w:val="ListParagraph"/>
        <w:numPr>
          <w:ilvl w:val="0"/>
          <w:numId w:val="2"/>
        </w:numPr>
        <w:spacing w:after="60"/>
      </w:pPr>
      <w:r>
        <w:t xml:space="preserve">Tránh thuật ngữ marketing nặng; nếu dùng phải giải thích đơn giản.</w:t>
      </w:r>
    </w:p>
    <w:p>
      <w:pPr>
        <w:pStyle w:val="Heading2"/>
      </w:pPr>
      <w:r>
        <w:t xml:space="preserve">Tránh</w:t>
      </w:r>
    </w:p>
    <w:p>
      <w:pPr>
        <w:pStyle w:val="ListParagraph"/>
        <w:numPr>
          <w:ilvl w:val="0"/>
          <w:numId w:val="2"/>
        </w:numPr>
        <w:spacing w:after="60"/>
      </w:pPr>
      <w:r>
        <w:t xml:space="preserve">Giọng “thầy giáo dạy đời”.</w:t>
      </w:r>
    </w:p>
    <w:p>
      <w:pPr>
        <w:pStyle w:val="ListParagraph"/>
        <w:numPr>
          <w:ilvl w:val="0"/>
          <w:numId w:val="2"/>
        </w:numPr>
        <w:spacing w:after="60"/>
      </w:pPr>
      <w:r>
        <w:t xml:space="preserve">Nhồi buzzword (Design Thinking, Growth Mindset…) mà không có câu chuyện đi kèm.</w:t>
      </w:r>
    </w:p>
    <w:p>
      <w:pPr>
        <w:pStyle w:val="ListParagraph"/>
        <w:numPr>
          <w:ilvl w:val="0"/>
          <w:numId w:val="2"/>
        </w:numPr>
        <w:spacing w:after="60"/>
      </w:pPr>
      <w:r>
        <w:t xml:space="preserve">Khoe bằng cấp, thành tích thuần con số.</w:t>
      </w:r>
    </w:p>
    <w:p>
      <w:pPr>
        <w:pStyle w:val="Heading2"/>
      </w:pPr>
      <w:r>
        <w:t xml:space="preserve">4 trụ cột nội dung</w:t>
      </w:r>
    </w:p>
    <w:p>
      <w:pPr>
        <w:pStyle w:val="ListParagraph"/>
        <w:numPr>
          <w:ilvl w:val="0"/>
          <w:numId w:val="3"/>
        </w:numPr>
        <w:spacing w:after="60"/>
      </w:pPr>
      <w:r>
        <w:t xml:space="preserve">Triết lý giáo dục Việt Anh (5 giá trị, 7 thói quen, 16 kỹ năng, VAAR, Foundation).</w:t>
      </w:r>
    </w:p>
    <w:p>
      <w:pPr>
        <w:pStyle w:val="ListParagraph"/>
        <w:numPr>
          <w:ilvl w:val="0"/>
          <w:numId w:val="3"/>
        </w:numPr>
        <w:spacing w:after="60"/>
      </w:pPr>
      <w:r>
        <w:t xml:space="preserve">Trải nghiệm làm cha (chuyện 3 con, bài học nuôi dạy).</w:t>
      </w:r>
    </w:p>
    <w:p>
      <w:pPr>
        <w:pStyle w:val="ListParagraph"/>
        <w:numPr>
          <w:ilvl w:val="0"/>
          <w:numId w:val="3"/>
        </w:numPr>
        <w:spacing w:after="60"/>
      </w:pPr>
      <w:r>
        <w:t xml:space="preserve">Tư duy hệ thống — kinh doanh giáo dục (sáng lập, BHAG 2030, mở rộng MGIS, DIC…).</w:t>
      </w:r>
    </w:p>
    <w:p>
      <w:pPr>
        <w:pStyle w:val="ListParagraph"/>
        <w:numPr>
          <w:ilvl w:val="0"/>
          <w:numId w:val="3"/>
        </w:numPr>
        <w:spacing w:after="60"/>
      </w:pPr>
      <w:r>
        <w:t xml:space="preserve">Quan điểm xã hội về giáo dục (bạo lực học đường, nghiện điện thoại, áp lực điểm số).</w:t>
      </w:r>
    </w:p>
    <w:p>
      <w:pPr>
        <w:spacing w:after="120"/>
      </w:pPr>
      <w:r>
        <w:rPr>
          <w:b/>
          <w:bCs/>
        </w:rPr>
        <w:t xml:space="preserve">Lưu ý: </w:t>
      </w:r>
      <w:r>
        <w:rPr>
          <w:i/>
          <w:iCs/>
        </w:rPr>
        <w:t xml:space="preserve">điều chỉnh tone theo audience (phụ huynh phổ thông vs mầm non vs đối tác) nhưng giữ lõi giọng “anh Dương”.</w:t>
      </w:r>
    </w:p>
    <w:p>
      <w:pPr>
        <w:pStyle w:val="Heading1"/>
      </w:pPr>
      <w:r>
        <w:t xml:space="preserve">8. Thông điệp chuẩn &amp; Proof points</w:t>
      </w:r>
    </w:p>
    <w:p>
      <w:pPr>
        <w:spacing w:after="120"/>
      </w:pPr>
      <w:r>
        <w:rPr>
          <w:b/>
          <w:bCs/>
        </w:rPr>
        <w:t xml:space="preserve">Câu định vị: </w:t>
      </w:r>
      <w:r>
        <w:t xml:space="preserve">Hệ thống liên cấp song ngữ Mầm non → THPT, học vui và thực dụng, đầu ra IELTS 6.0–8.0, học phí bằng 1/3 trường quốc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bCs/>
                <w:color w:val="FFFFFF"/>
                <w:sz w:val="20"/>
                <w:szCs w:val="20"/>
              </w:rPr>
              <w:t xml:space="preserve">Proof point</w:t>
            </w:r>
          </w:p>
        </w:tc>
        <w:tc>
          <w:tcPr>
            <w:tcW w:type="dxa" w:w="576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bCs/>
                <w:color w:val="FFFFFF"/>
                <w:sz w:val="20"/>
                <w:szCs w:val="20"/>
              </w:rPr>
              <w:t xml:space="preserve">Số liệu (NH 2024–2025)</w:t>
            </w:r>
          </w:p>
        </w:tc>
      </w:tr>
      <w:tr>
        <w:tc>
          <w:tcPr>
            <w:tcW w:type="dxa" w:w="36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Đánh giá phụ huynh</w:t>
            </w:r>
          </w:p>
        </w:tc>
        <w:tc>
          <w:tcPr>
            <w:tcW w:type="dxa" w:w="57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4.9/5 — 300+ đánh giá</w:t>
            </w:r>
          </w:p>
        </w:tc>
      </w:tr>
      <w:tr>
        <w:tc>
          <w:tcPr>
            <w:tcW w:type="dxa" w:w="36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Tiếng Anh đầu ra</w:t>
            </w:r>
          </w:p>
        </w:tc>
        <w:tc>
          <w:tcPr>
            <w:tcW w:type="dxa" w:w="57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IELTS 6.0–8.0 (có văn bản ký kết)</w:t>
            </w:r>
          </w:p>
        </w:tc>
      </w:tr>
      <w:tr>
        <w:tc>
          <w:tcPr>
            <w:tcW w:type="dxa" w:w="36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Tỷ lệ vào đại học</w:t>
            </w:r>
          </w:p>
        </w:tc>
        <w:tc>
          <w:tcPr>
            <w:tcW w:type="dxa" w:w="57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99% theo nguyện vọng</w:t>
            </w:r>
          </w:p>
        </w:tc>
      </w:tr>
      <w:tr>
        <w:tc>
          <w:tcPr>
            <w:tcW w:type="dxa" w:w="36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Giải thưởng</w:t>
            </w:r>
          </w:p>
        </w:tc>
        <w:tc>
          <w:tcPr>
            <w:tcW w:type="dxa" w:w="57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200+ cấp thành phố &amp; quốc tế</w:t>
            </w:r>
          </w:p>
        </w:tc>
      </w:tr>
      <w:tr>
        <w:tc>
          <w:tcPr>
            <w:tcW w:type="dxa" w:w="36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ĐH tiếp nhận</w:t>
            </w:r>
          </w:p>
        </w:tc>
        <w:tc>
          <w:tcPr>
            <w:tcW w:type="dxa" w:w="57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50+ trường trong &amp; ngoài nước</w:t>
            </w:r>
          </w:p>
        </w:tc>
      </w:tr>
      <w:tr>
        <w:tc>
          <w:tcPr>
            <w:tcW w:type="dxa" w:w="36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Học phí</w:t>
            </w:r>
          </w:p>
        </w:tc>
        <w:tc>
          <w:tcPr>
            <w:tcW w:type="dxa" w:w="57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5–12 triệu/tháng (~1/3 trường quốc tế)</w:t>
            </w:r>
          </w:p>
        </w:tc>
      </w:tr>
      <w:tr>
        <w:tc>
          <w:tcPr>
            <w:tcW w:type="dxa" w:w="36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Quy mô</w:t>
            </w:r>
          </w:p>
        </w:tc>
        <w:tc>
          <w:tcPr>
            <w:tcW w:type="dxa" w:w="57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8 cơ sở · 1.000+ HS/năm · 15+ năm (từ 2011)</w:t>
            </w:r>
          </w:p>
        </w:tc>
      </w:tr>
      <w:tr>
        <w:tc>
          <w:tcPr>
            <w:tcW w:type="dxa" w:w="36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Khác</w:t>
            </w:r>
          </w:p>
        </w:tc>
        <w:tc>
          <w:tcPr>
            <w:tcW w:type="dxa" w:w="57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100% có chứng chỉ ICDL · PDR giúp &gt;95% HS tiến bộ/năm</w:t>
            </w:r>
          </w:p>
        </w:tc>
      </w:tr>
    </w:tbl>
    <w:p>
      <w:pPr>
        <w:spacing w:after="120"/>
      </w:pPr>
      <w:r>
        <w:rPr>
          <w:b/>
          <w:bCs/>
        </w:rPr>
        <w:t xml:space="preserve">16 kỹ năng (WEF) — 3 nhóm: </w:t>
      </w:r>
      <w:r>
        <w:t xml:space="preserve">Kiến thức nền tảng (6) · Năng lực xử lý / 4C (4) · Phẩm chất cá nhân (6).</w:t>
      </w:r>
    </w:p>
    <w:p>
      <w:pPr>
        <w:pStyle w:val="Heading1"/>
      </w:pPr>
      <w:r>
        <w:t xml:space="preserve">9. Thư viện CTA &amp;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rPr>
          <w:tblHeader/>
        </w:trPr>
        <w:tc>
          <w:tcPr>
            <w:tcW w:type="dxa" w:w="170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bCs/>
                <w:color w:val="FFFFFF"/>
                <w:sz w:val="20"/>
                <w:szCs w:val="20"/>
              </w:rPr>
              <w:t xml:space="preserve">Loại trang</w:t>
            </w:r>
          </w:p>
        </w:tc>
        <w:tc>
          <w:tcPr>
            <w:tcW w:type="dxa" w:w="130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bCs/>
                <w:color w:val="FFFFFF"/>
                <w:sz w:val="20"/>
                <w:szCs w:val="20"/>
              </w:rPr>
              <w:t xml:space="preserve">Lead</w:t>
            </w:r>
          </w:p>
        </w:tc>
        <w:tc>
          <w:tcPr>
            <w:tcW w:type="dxa" w:w="636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bCs/>
                <w:color w:val="FFFFFF"/>
                <w:sz w:val="20"/>
                <w:szCs w:val="20"/>
              </w:rPr>
              <w:t xml:space="preserve">CTA</w:t>
            </w:r>
          </w:p>
        </w:tc>
      </w:tr>
      <w:tr>
        <w:tc>
          <w:tcPr>
            <w:tcW w:type="dxa" w:w="17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Landing</w:t>
            </w:r>
          </w:p>
        </w:tc>
        <w:tc>
          <w:tcPr>
            <w:tcW w:type="dxa" w:w="13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Cold</w:t>
            </w:r>
          </w:p>
        </w:tc>
        <w:tc>
          <w:tcPr>
            <w:tcW w:type="dxa" w:w="6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Đăng ký nhận TÀI LIỆU MIỄN PHÍ: “16 Kỹ năng con bạn cần có”</w:t>
            </w:r>
          </w:p>
        </w:tc>
      </w:tr>
      <w:tr>
        <w:tc>
          <w:tcPr>
            <w:tcW w:type="dxa" w:w="17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Landing</w:t>
            </w:r>
          </w:p>
        </w:tc>
        <w:tc>
          <w:tcPr>
            <w:tcW w:type="dxa" w:w="13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Warm</w:t>
            </w:r>
          </w:p>
        </w:tc>
        <w:tc>
          <w:tcPr>
            <w:tcW w:type="dxa" w:w="6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Đặt lịch THAM QUAN TRƯỜNG — Miễn phí, không ràng buộc</w:t>
            </w:r>
          </w:p>
        </w:tc>
      </w:tr>
      <w:tr>
        <w:tc>
          <w:tcPr>
            <w:tcW w:type="dxa" w:w="17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Landing</w:t>
            </w:r>
          </w:p>
        </w:tc>
        <w:tc>
          <w:tcPr>
            <w:tcW w:type="dxa" w:w="13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Hot</w:t>
            </w:r>
          </w:p>
        </w:tc>
        <w:tc>
          <w:tcPr>
            <w:tcW w:type="dxa" w:w="6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ĐĂNG KÝ HỌC THỬ MIỄN PHÍ 1 NGÀY</w:t>
            </w:r>
          </w:p>
        </w:tc>
      </w:tr>
      <w:tr>
        <w:tc>
          <w:tcPr>
            <w:tcW w:type="dxa" w:w="17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Blog</w:t>
            </w:r>
          </w:p>
        </w:tc>
        <w:tc>
          <w:tcPr>
            <w:tcW w:type="dxa" w:w="13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Cold</w:t>
            </w:r>
          </w:p>
        </w:tc>
        <w:tc>
          <w:tcPr>
            <w:tcW w:type="dxa" w:w="6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Xem thêm: Chương trình đào tạo Trường Việt Anh →</w:t>
            </w:r>
          </w:p>
        </w:tc>
      </w:tr>
      <w:tr>
        <w:tc>
          <w:tcPr>
            <w:tcW w:type="dxa" w:w="17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Social</w:t>
            </w:r>
          </w:p>
        </w:tc>
        <w:tc>
          <w:tcPr>
            <w:tcW w:type="dxa" w:w="13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Cold</w:t>
            </w:r>
          </w:p>
        </w:tc>
        <w:tc>
          <w:tcPr>
            <w:tcW w:type="dxa" w:w="6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Inbox “TƯ VẤN” để nhận thông tin học phí mới nhất</w:t>
            </w:r>
          </w:p>
        </w:tc>
      </w:tr>
      <w:tr>
        <w:tc>
          <w:tcPr>
            <w:tcW w:type="dxa" w:w="17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Email</w:t>
            </w:r>
          </w:p>
        </w:tc>
        <w:tc>
          <w:tcPr>
            <w:tcW w:type="dxa" w:w="13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Warm</w:t>
            </w:r>
          </w:p>
        </w:tc>
        <w:tc>
          <w:tcPr>
            <w:tcW w:type="dxa" w:w="6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Nhấn vào đây để đặt lịch tham quan cơ sở gần nhất</w:t>
            </w:r>
          </w:p>
        </w:tc>
      </w:tr>
      <w:tr>
        <w:tc>
          <w:tcPr>
            <w:tcW w:type="dxa" w:w="17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Thank You</w:t>
            </w:r>
          </w:p>
        </w:tc>
        <w:tc>
          <w:tcPr>
            <w:tcW w:type="dxa" w:w="13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Warm→Hot</w:t>
            </w:r>
          </w:p>
        </w:tc>
        <w:tc>
          <w:tcPr>
            <w:tcW w:type="dxa" w:w="6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Bạn muốn con học thử MIỄN PHÍ? Đặt lịch ngay!</w:t>
            </w:r>
          </w:p>
        </w:tc>
      </w:tr>
      <w:tr>
        <w:tc>
          <w:tcPr>
            <w:tcW w:type="dxa" w:w="17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Remarketing</w:t>
            </w:r>
          </w:p>
        </w:tc>
        <w:tc>
          <w:tcPr>
            <w:tcW w:type="dxa" w:w="13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Warm</w:t>
            </w:r>
          </w:p>
        </w:tc>
        <w:tc>
          <w:tcPr>
            <w:tcW w:type="dxa" w:w="63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Chỗ học thử CHỈ CÒN 5 SUẤT — Đăng ký ngay</w:t>
            </w:r>
          </w:p>
        </w:tc>
      </w:tr>
    </w:tbl>
    <w:p>
      <w:pPr>
        <w:pStyle w:val="ListParagraph"/>
        <w:numPr>
          <w:ilvl w:val="0"/>
          <w:numId w:val="2"/>
        </w:numPr>
        <w:spacing w:after="60"/>
      </w:pPr>
      <w:r>
        <w:rPr>
          <w:b/>
          <w:bCs/>
        </w:rPr>
        <w:t xml:space="preserve">Keyword inbox chuẩn: </w:t>
      </w:r>
      <w:r>
        <w:t xml:space="preserve">TÀI LIỆU / THAM QUAN / TƯ VẤN / PDR nhắn vào Hotline.</w:t>
      </w:r>
    </w:p>
    <w:p>
      <w:pPr>
        <w:pStyle w:val="ListParagraph"/>
        <w:numPr>
          <w:ilvl w:val="0"/>
          <w:numId w:val="2"/>
        </w:numPr>
        <w:spacing w:after="60"/>
      </w:pPr>
      <w:r>
        <w:rPr>
          <w:b/>
          <w:bCs/>
        </w:rPr>
        <w:t xml:space="preserve">Nguyên tắc CTA: </w:t>
      </w:r>
      <w:r>
        <w:t xml:space="preserve">mỗi trang 1 CTA chính; nút nổi bật (cam); text cụ thể (“Đăng ký cho con ngay →”).</w:t>
      </w:r>
    </w:p>
    <w:p>
      <w:pPr>
        <w:pStyle w:val="ListParagraph"/>
        <w:numPr>
          <w:ilvl w:val="0"/>
          <w:numId w:val="2"/>
        </w:numPr>
        <w:spacing w:after="60"/>
      </w:pPr>
      <w:r>
        <w:rPr>
          <w:b/>
          <w:bCs/>
        </w:rPr>
        <w:t xml:space="preserve">5 Form chuẩn: </w:t>
      </w:r>
      <w:r>
        <w:t xml:space="preserve">Đăng ký Tư vấn · Đặt lịch Tham quan · Đăng ký Học thử · Giữ chỗ · Đăng ký Trại hè (MGIS).</w:t>
      </w:r>
    </w:p>
    <w:p>
      <w:pPr>
        <w:pStyle w:val="Heading1"/>
      </w:pPr>
      <w:r>
        <w:t xml:space="preserve">10. Thông tin liên hệ &amp; Kênh chính thức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bCs/>
                <w:color w:val="FFFFFF"/>
                <w:sz w:val="20"/>
                <w:szCs w:val="20"/>
              </w:rPr>
              <w:t xml:space="preserve">Kênh</w:t>
            </w:r>
          </w:p>
        </w:tc>
        <w:tc>
          <w:tcPr>
            <w:tcW w:type="dxa" w:w="6760"/>
            <w:tcBorders>
              <w:top w:val="single" w:color="D9D9D9" w:sz="1"/>
              <w:left w:val="single" w:color="D9D9D9" w:sz="1"/>
              <w:bottom w:val="single" w:color="D9D9D9" w:sz="1"/>
              <w:right w:val="single" w:color="D9D9D9" w:sz="1"/>
            </w:tcBorders>
            <w:shd w:fill="26275D" w:color="auto" w:val="clear"/>
            <w:tcMar>
              <w:top w:type="dxa" w:w="60"/>
              <w:left w:type="dxa" w:w="120"/>
              <w:bottom w:type="dxa" w:w="60"/>
              <w:right w:type="dxa" w:w="120"/>
            </w:tcMar>
          </w:tcPr>
          <w:p>
            <w:pPr>
              <w:jc w:val="left"/>
            </w:pPr>
            <w:r>
              <w:rPr>
                <w:b/>
                <w:bCs/>
                <w:color w:val="FFFFFF"/>
                <w:sz w:val="20"/>
                <w:szCs w:val="20"/>
              </w:rPr>
              <w:t xml:space="preserve">Thông tin</w:t>
            </w:r>
          </w:p>
        </w:tc>
      </w:tr>
      <w:tr>
        <w:tc>
          <w:tcPr>
            <w:tcW w:type="dxa" w:w="26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Hotline / Zalo</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0916 961 409 · Zalo OA zalo.me/1678310120468101523</w:t>
            </w:r>
          </w:p>
        </w:tc>
      </w:tr>
      <w:tr>
        <w:tc>
          <w:tcPr>
            <w:tcW w:type="dxa" w:w="26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Website</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truongvietanh.com · media.truongvietanh.com</w:t>
            </w:r>
          </w:p>
        </w:tc>
      </w:tr>
      <w:tr>
        <w:tc>
          <w:tcPr>
            <w:tcW w:type="dxa" w:w="26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Email</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hoc@truongvietanh.com (tuyển sinh) · duong@truongvietanh.com (Chủ tịch)</w:t>
            </w:r>
          </w:p>
        </w:tc>
      </w:tr>
      <w:tr>
        <w:tc>
          <w:tcPr>
            <w:tcW w:type="dxa" w:w="26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Facebook</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facebook.com/truongvietanhhcm · m.me/truongvietanhhcm</w:t>
            </w:r>
          </w:p>
        </w:tc>
      </w:tr>
      <w:tr>
        <w:tc>
          <w:tcPr>
            <w:tcW w:type="dxa" w:w="26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YouTube</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@truongvietanhhcm</w:t>
            </w:r>
          </w:p>
        </w:tc>
      </w:tr>
      <w:tr>
        <w:tc>
          <w:tcPr>
            <w:tcW w:type="dxa" w:w="26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Trụ sở</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160/72 Phan Huy Ích, P. An Hội Tây, TP.HCM</w:t>
            </w:r>
          </w:p>
        </w:tc>
      </w:tr>
      <w:tr>
        <w:tc>
          <w:tcPr>
            <w:tcW w:type="dxa" w:w="26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Giờ làm việc</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Thứ 2 – Chủ Nhật, 07:00 – 17:00</w:t>
            </w:r>
          </w:p>
        </w:tc>
      </w:tr>
      <w:tr>
        <w:tc>
          <w:tcPr>
            <w:tcW w:type="dxa" w:w="260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Trường thành viên</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pPr>
              <w:jc w:val="left"/>
            </w:pPr>
            <w:r>
              <w:rPr>
                <w:b w:val="false"/>
                <w:bCs w:val="false"/>
                <w:color w:val="1A1A2E"/>
                <w:sz w:val="20"/>
                <w:szCs w:val="20"/>
              </w:rPr>
              <w:t xml:space="preserve">MGIS: mgis.edu.vn · Lion Camps: lioncamps.com</w:t>
            </w:r>
          </w:p>
        </w:tc>
      </w:tr>
    </w:tbl>
    <w:p>
      <w:pPr>
        <w:pStyle w:val="Heading1"/>
      </w:pPr>
      <w:r>
        <w:t xml:space="preserve">11. Phụ lục — Điểm cần xác minh / bổ sung</w:t>
      </w:r>
    </w:p>
    <w:p>
      <w:pPr>
        <w:pStyle w:val="ListParagraph"/>
        <w:numPr>
          <w:ilvl w:val="0"/>
          <w:numId w:val="3"/>
        </w:numPr>
        <w:spacing w:after="60"/>
      </w:pPr>
      <w:r>
        <w:t xml:space="preserve">Tệp logo gốc (vector) + bộ quy chuẩn logo chi tiết nằm trong Brand-Guideline-Viet-Anh-v1.1.docx — chưa tải được khỏi Google Drive. Mở offline rồi bổ sung.</w:t>
      </w:r>
    </w:p>
    <w:p>
      <w:pPr>
        <w:pStyle w:val="ListParagraph"/>
        <w:numPr>
          <w:ilvl w:val="0"/>
          <w:numId w:val="3"/>
        </w:numPr>
        <w:spacing w:after="60"/>
      </w:pPr>
      <w:r>
        <w:t xml:space="preserve">Mâu thuẫn PDR: Brand Bible ghi “Plan – Do – Review”; website ghi “Play – Discover – Reflect”. Cần chốt một định nghĩa.</w:t>
      </w:r>
    </w:p>
    <w:p>
      <w:pPr>
        <w:pStyle w:val="ListParagraph"/>
        <w:numPr>
          <w:ilvl w:val="0"/>
          <w:numId w:val="3"/>
        </w:numPr>
        <w:spacing w:after="60"/>
      </w:pPr>
      <w:r>
        <w:t xml:space="preserve">Màu chuẩn đã chốt (Chủ tịch xác nhận 27/06/2026): Navy #26275D + Vàng #F9DD0E. Mã cũ #0D2B55 (navy) và #F07D00 (cam) trong skill/tài liệu cũ là SAI — cần cập nhật mọi nơi.</w:t>
      </w:r>
    </w:p>
    <w:p>
      <w:pPr>
        <w:pStyle w:val="ListParagraph"/>
        <w:numPr>
          <w:ilvl w:val="0"/>
          <w:numId w:val="3"/>
        </w:numPr>
        <w:spacing w:after="60"/>
      </w:pPr>
      <w:r>
        <w:t xml:space="preserve">Logo URL lấy từ web — nên tải file gốc độ phân giải cao về kho thương hiệu.</w:t>
      </w:r>
    </w:p>
    <w:p>
      <w:pPr>
        <w:pStyle w:val="ListParagraph"/>
        <w:numPr>
          <w:ilvl w:val="0"/>
          <w:numId w:val="3"/>
        </w:numPr>
        <w:spacing w:after="60"/>
      </w:pPr>
      <w:r>
        <w:t xml:space="preserve">Slogan: phân vai rõ “Kiến tạo công dân toàn cầu hạnh phúc” (tagline thương hiệu) vs “Nơi con học vui…” (headline chiến dịch web).</w:t>
      </w:r>
    </w:p>
    <w:p>
      <w:pPr>
        <w:pBdr>
          <w:top w:val="single" w:color="26275D" w:sz="6" w:space="6"/>
        </w:pBdr>
        <w:spacing w:before="240"/>
      </w:pPr>
      <w:r>
        <w:rPr>
          <w:i/>
          <w:iCs/>
          <w:color w:val="6B7280"/>
          <w:sz w:val="18"/>
          <w:szCs w:val="18"/>
        </w:rPr>
        <w:t xml:space="preserve">Phiên bản 2.0 — tổng hợp 26/06/2026. Khi cập nhật, tăng version và ghi ngày.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Brand Guideline Master — Hệ thống Trường Việt Anh  ·  v2.0  ·  26/06/2026  ·  Trang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9DD0E" w:sz="8" w:space="6"/>
      </w:pBdr>
      <w:spacing w:after="160" w:before="320"/>
      <w:outlineLvl w:val="0"/>
    </w:pPr>
    <w:rPr>
      <w:rFonts w:ascii="Arial" w:cs="Arial" w:eastAsia="Arial" w:hAnsi="Arial"/>
      <w:b/>
      <w:bCs/>
      <w:color w:val="26275D"/>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6275D"/>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627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2026-06-27T03:25:56.312Z</dcterms:created>
  <dcterms:modified xsi:type="dcterms:W3CDTF">2026-06-27T03:25:56.312Z</dcterms:modified>
</cp:coreProperties>
</file>

<file path=docProps/custom.xml><?xml version="1.0" encoding="utf-8"?>
<Properties xmlns="http://schemas.openxmlformats.org/officeDocument/2006/custom-properties" xmlns:vt="http://schemas.openxmlformats.org/officeDocument/2006/docPropsVTypes"/>
</file>