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color w:val="0F4C81"/>
          <w:sz w:val="36"/>
          <w:szCs w:val="36"/>
        </w:rPr>
        <w:t xml:space="preserve">KỊCH BẢN KIỂM THỬ (TEST PLAN)</w:t>
      </w:r>
    </w:p>
    <w:p>
      <w:pPr>
        <w:spacing w:after="400"/>
        <w:jc w:val="center"/>
      </w:pPr>
      <w:r>
        <w:rPr>
          <w:rFonts w:ascii="Times New Roman" w:cs="Times New Roman" w:eastAsia="Times New Roman" w:hAnsi="Times New Roman"/>
          <w:b/>
          <w:bCs/>
          <w:color w:val="17A2B8"/>
          <w:sz w:val="28"/>
          <w:szCs w:val="28"/>
        </w:rPr>
        <w:t xml:space="preserve">HỆ THỐNG ĐẶT LỊCH HẸN &amp; XÁC THỰC — NHA KHOA GOODSMILE</w:t>
      </w:r>
    </w:p>
    <w:p>
      <w:pPr>
        <w:pStyle w:val="Heading2"/>
        <w:spacing w:after="150" w:before="200"/>
      </w:pPr>
      <w:r>
        <w:t xml:space="preserve">1. Giới Thiệu Chung</w:t>
      </w:r>
    </w:p>
    <w:p>
      <w:r>
        <w:rPr>
          <w:rFonts w:ascii="Times New Roman" w:cs="Times New Roman" w:eastAsia="Times New Roman" w:hAnsi="Times New Roman"/>
          <w:sz w:val="24"/>
          <w:szCs w:val="24"/>
        </w:rPr>
        <w:t xml:space="preserve">Tài liệu này trình bày chi tiết kịch bản kiểm thử (Test Cases) phục vụ công tác QC và nghiệm thu cho Module Đặt lịch hẹn khám (Appointments) và hệ thống Xác thực người dùng (Authentication/OTP) của dự án Nha khoa GoodSmile.</w:t>
      </w:r>
    </w:p>
    <w:p>
      <w:pPr>
        <w:spacing w:after="300"/>
      </w:pPr>
      <w:r>
        <w:rPr>
          <w:rFonts w:ascii="Times New Roman" w:cs="Times New Roman" w:eastAsia="Times New Roman" w:hAnsi="Times New Roman"/>
          <w:sz w:val="24"/>
          <w:szCs w:val="24"/>
        </w:rPr>
        <w:t xml:space="preserve">Phạm vi bao gồm các luồng xử lý chính (Happy Path), các ràng buộc nghiệp vụ nâng cao (Edge Cases) như chống trùng lịch điều trị của bác sĩ thông qua Redis Distributed Lock, và tự động liên kết hồ sơ bệnh án cũ.</w:t>
      </w:r>
    </w:p>
    <w:p>
      <w:pPr>
        <w:pStyle w:val="Heading2"/>
        <w:spacing w:after="150" w:before="300"/>
      </w:pPr>
      <w:r>
        <w:t xml:space="preserve">2. Kịch Bản Kiểm Thử Xác Thực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2%"/>
            <w:tcBorders>
              <w:top w:val="single" w:color="DEE2E6" w:sz="8"/>
              <w:left w:val="single" w:color="DEE2E6" w:sz="8"/>
              <w:bottom w:val="single" w:color="DEE2E6" w:sz="8"/>
              <w:right w:val="single" w:color="DEE2E6" w:sz="8"/>
            </w:tcBorders>
            <w:shd w:fill="0F4C81" w:val="clear"/>
            <w:tcMar>
              <w:top w:type="dxa" w:w="150"/>
              <w:left w:type="dxa" w:w="150"/>
              <w:bottom w:type="dxa" w:w="150"/>
              <w:right w:type="dxa" w:w="150"/>
            </w:tcMar>
          </w:tcPr>
          <w:p>
            <w:pPr>
              <w:jc w:val="center"/>
            </w:pPr>
            <w:r>
              <w:rPr>
                <w:rFonts w:ascii="Times New Roman" w:cs="Times New Roman" w:eastAsia="Times New Roman" w:hAnsi="Times New Roman"/>
                <w:b/>
                <w:bCs/>
                <w:color w:val="FFFFFF"/>
                <w:sz w:val="24"/>
                <w:szCs w:val="24"/>
              </w:rPr>
              <w:t xml:space="preserve">Mã TC</w:t>
            </w:r>
          </w:p>
        </w:tc>
        <w:tc>
          <w:tcPr>
            <w:tcW w:type="pct" w:w="28%"/>
            <w:tcBorders>
              <w:top w:val="single" w:color="DEE2E6" w:sz="8"/>
              <w:left w:val="single" w:color="DEE2E6" w:sz="8"/>
              <w:bottom w:val="single" w:color="DEE2E6" w:sz="8"/>
              <w:right w:val="single" w:color="DEE2E6" w:sz="8"/>
            </w:tcBorders>
            <w:shd w:fill="0F4C81" w:val="clear"/>
            <w:tcMar>
              <w:top w:type="dxa" w:w="150"/>
              <w:left w:type="dxa" w:w="150"/>
              <w:bottom w:type="dxa" w:w="150"/>
              <w:right w:type="dxa" w:w="150"/>
            </w:tcMar>
          </w:tcPr>
          <w:p>
            <w:pPr>
              <w:jc w:val="left"/>
            </w:pPr>
            <w:r>
              <w:rPr>
                <w:rFonts w:ascii="Times New Roman" w:cs="Times New Roman" w:eastAsia="Times New Roman" w:hAnsi="Times New Roman"/>
                <w:b/>
                <w:bCs/>
                <w:color w:val="FFFFFF"/>
                <w:sz w:val="24"/>
                <w:szCs w:val="24"/>
              </w:rPr>
              <w:t xml:space="preserve">Tên Kịch Bản</w:t>
            </w:r>
          </w:p>
        </w:tc>
        <w:tc>
          <w:tcPr>
            <w:tcW w:type="pct" w:w="35%"/>
            <w:tcBorders>
              <w:top w:val="single" w:color="DEE2E6" w:sz="8"/>
              <w:left w:val="single" w:color="DEE2E6" w:sz="8"/>
              <w:bottom w:val="single" w:color="DEE2E6" w:sz="8"/>
              <w:right w:val="single" w:color="DEE2E6" w:sz="8"/>
            </w:tcBorders>
            <w:shd w:fill="0F4C81" w:val="clear"/>
            <w:tcMar>
              <w:top w:type="dxa" w:w="150"/>
              <w:left w:type="dxa" w:w="150"/>
              <w:bottom w:type="dxa" w:w="150"/>
              <w:right w:type="dxa" w:w="150"/>
            </w:tcMar>
          </w:tcPr>
          <w:p>
            <w:pPr>
              <w:jc w:val="left"/>
            </w:pPr>
            <w:r>
              <w:rPr>
                <w:rFonts w:ascii="Times New Roman" w:cs="Times New Roman" w:eastAsia="Times New Roman" w:hAnsi="Times New Roman"/>
                <w:b/>
                <w:bCs/>
                <w:color w:val="FFFFFF"/>
                <w:sz w:val="24"/>
                <w:szCs w:val="24"/>
              </w:rPr>
              <w:t xml:space="preserve">Các Bước Thực Hiện</w:t>
            </w:r>
          </w:p>
        </w:tc>
        <w:tc>
          <w:tcPr>
            <w:tcW w:type="pct" w:w="25%"/>
            <w:tcBorders>
              <w:top w:val="single" w:color="DEE2E6" w:sz="8"/>
              <w:left w:val="single" w:color="DEE2E6" w:sz="8"/>
              <w:bottom w:val="single" w:color="DEE2E6" w:sz="8"/>
              <w:right w:val="single" w:color="DEE2E6" w:sz="8"/>
            </w:tcBorders>
            <w:shd w:fill="0F4C81" w:val="clear"/>
            <w:tcMar>
              <w:top w:type="dxa" w:w="150"/>
              <w:left w:type="dxa" w:w="150"/>
              <w:bottom w:type="dxa" w:w="150"/>
              <w:right w:type="dxa" w:w="150"/>
            </w:tcMar>
          </w:tcPr>
          <w:p>
            <w:pPr>
              <w:jc w:val="left"/>
            </w:pPr>
            <w:r>
              <w:rPr>
                <w:rFonts w:ascii="Times New Roman" w:cs="Times New Roman" w:eastAsia="Times New Roman" w:hAnsi="Times New Roman"/>
                <w:b/>
                <w:bCs/>
                <w:color w:val="FFFFFF"/>
                <w:sz w:val="24"/>
                <w:szCs w:val="24"/>
              </w:rPr>
              <w:t xml:space="preserve">Kết Quả Kỳ Vọng</w:t>
            </w:r>
          </w:p>
        </w:tc>
      </w:tr>
      <w:tr>
        <w:tc>
          <w:tcPr>
            <w:tcW w:type="pct" w:w="12%"/>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center"/>
            </w:pPr>
            <w:r>
              <w:rPr>
                <w:rFonts w:ascii="Times New Roman" w:cs="Times New Roman" w:eastAsia="Times New Roman" w:hAnsi="Times New Roman"/>
                <w:b w:val="false"/>
                <w:bCs w:val="false"/>
                <w:color w:val="212529"/>
                <w:sz w:val="24"/>
                <w:szCs w:val="24"/>
              </w:rPr>
              <w:t xml:space="preserve">TC-UI-01</w:t>
            </w:r>
          </w:p>
        </w:tc>
        <w:tc>
          <w:tcPr>
            <w:tcW w:type="pct" w:w="28%"/>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Đăng nhập Lễ tân mẫu thành công</w:t>
            </w:r>
          </w:p>
        </w:tc>
        <w:tc>
          <w:tcPr>
            <w:tcW w:type="pct" w:w="3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1. Truy cập trang đăng nhập.
2. Nhập SĐT "0901234567" và mật khẩu "12345678".
3. Bấm Đăng nhập.</w:t>
            </w:r>
          </w:p>
        </w:tc>
        <w:tc>
          <w:tcPr>
            <w:tcW w:type="pct" w:w="2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Đăng nhập thành công, chuyển hướng đến Dashboard Lễ tân (/dashboard/receptionist) và hiển thị thông tin chính xác.</w:t>
            </w:r>
          </w:p>
        </w:tc>
      </w:tr>
      <w:tr>
        <w:tc>
          <w:tcPr>
            <w:tcW w:type="pct" w:w="12%"/>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center"/>
            </w:pPr>
            <w:r>
              <w:rPr>
                <w:rFonts w:ascii="Times New Roman" w:cs="Times New Roman" w:eastAsia="Times New Roman" w:hAnsi="Times New Roman"/>
                <w:b w:val="false"/>
                <w:bCs w:val="false"/>
                <w:color w:val="212529"/>
                <w:sz w:val="24"/>
                <w:szCs w:val="24"/>
              </w:rPr>
              <w:t xml:space="preserve">TC-UI-02</w:t>
            </w:r>
          </w:p>
        </w:tc>
        <w:tc>
          <w:tcPr>
            <w:tcW w:type="pct" w:w="28%"/>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Đăng nhập thất bại do sai mật khẩu</w:t>
            </w:r>
          </w:p>
        </w:tc>
        <w:tc>
          <w:tcPr>
            <w:tcW w:type="pct" w:w="3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1. Truy cập trang đăng nhập.
2. Nhập SĐT "0901234567" và mật khẩu "wrong_pass".
3. Bấm Đăng nhập.</w:t>
            </w:r>
          </w:p>
        </w:tc>
        <w:tc>
          <w:tcPr>
            <w:tcW w:type="pct" w:w="2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Hệ thống báo lỗi "Mã đăng nhập hoặc mật khẩu không chính xác" (INVALID_CREDENTIALS) và giữ nguyên màn hình.</w:t>
            </w:r>
          </w:p>
        </w:tc>
      </w:tr>
      <w:tr>
        <w:tc>
          <w:tcPr>
            <w:tcW w:type="pct" w:w="12%"/>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center"/>
            </w:pPr>
            <w:r>
              <w:rPr>
                <w:rFonts w:ascii="Times New Roman" w:cs="Times New Roman" w:eastAsia="Times New Roman" w:hAnsi="Times New Roman"/>
                <w:b w:val="false"/>
                <w:bCs w:val="false"/>
                <w:color w:val="212529"/>
                <w:sz w:val="24"/>
                <w:szCs w:val="24"/>
              </w:rPr>
              <w:t xml:space="preserve">TC-UI-03</w:t>
            </w:r>
          </w:p>
        </w:tc>
        <w:tc>
          <w:tcPr>
            <w:tcW w:type="pct" w:w="28%"/>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Đăng ký Bệnh nhân mới thành công</w:t>
            </w:r>
          </w:p>
        </w:tc>
        <w:tc>
          <w:tcPr>
            <w:tcW w:type="pct" w:w="3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1. Truy cập trang Đăng ký.
2. Nhập Họ tên, SĐT ngẫu nhiên chưa đăng ký, Mật khẩu.
3. Nhấp gửi OTP, lấy mã OTP từ console/DB điền vào.
4. Bấm Đăng ký.</w:t>
            </w:r>
          </w:p>
        </w:tc>
        <w:tc>
          <w:tcPr>
            <w:tcW w:type="pct" w:w="2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Đăng ký tài khoản thành công. Tự động tạo hồ sơ bệnh nhân tương ứng trong DB dưới phân hạng STANDARD.</w:t>
            </w:r>
          </w:p>
        </w:tc>
      </w:tr>
    </w:tbl>
    <w:p>
      <w:pPr>
        <w:spacing w:after="300"/>
      </w:pPr>
    </w:p>
    <w:p>
      <w:pPr>
        <w:pStyle w:val="Heading2"/>
        <w:spacing w:after="150" w:before="300"/>
      </w:pPr>
      <w:r>
        <w:t xml:space="preserve">3. Kịch Bản Kiểm Thử Đặt Lịch Khám (Booking)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2%"/>
            <w:tcBorders>
              <w:top w:val="single" w:color="DEE2E6" w:sz="8"/>
              <w:left w:val="single" w:color="DEE2E6" w:sz="8"/>
              <w:bottom w:val="single" w:color="DEE2E6" w:sz="8"/>
              <w:right w:val="single" w:color="DEE2E6" w:sz="8"/>
            </w:tcBorders>
            <w:shd w:fill="0F4C81" w:val="clear"/>
            <w:tcMar>
              <w:top w:type="dxa" w:w="150"/>
              <w:left w:type="dxa" w:w="150"/>
              <w:bottom w:type="dxa" w:w="150"/>
              <w:right w:type="dxa" w:w="150"/>
            </w:tcMar>
          </w:tcPr>
          <w:p>
            <w:pPr>
              <w:jc w:val="center"/>
            </w:pPr>
            <w:r>
              <w:rPr>
                <w:rFonts w:ascii="Times New Roman" w:cs="Times New Roman" w:eastAsia="Times New Roman" w:hAnsi="Times New Roman"/>
                <w:b/>
                <w:bCs/>
                <w:color w:val="FFFFFF"/>
                <w:sz w:val="24"/>
                <w:szCs w:val="24"/>
              </w:rPr>
              <w:t xml:space="preserve">Mã TC</w:t>
            </w:r>
          </w:p>
        </w:tc>
        <w:tc>
          <w:tcPr>
            <w:tcW w:type="pct" w:w="28%"/>
            <w:tcBorders>
              <w:top w:val="single" w:color="DEE2E6" w:sz="8"/>
              <w:left w:val="single" w:color="DEE2E6" w:sz="8"/>
              <w:bottom w:val="single" w:color="DEE2E6" w:sz="8"/>
              <w:right w:val="single" w:color="DEE2E6" w:sz="8"/>
            </w:tcBorders>
            <w:shd w:fill="0F4C81" w:val="clear"/>
            <w:tcMar>
              <w:top w:type="dxa" w:w="150"/>
              <w:left w:type="dxa" w:w="150"/>
              <w:bottom w:type="dxa" w:w="150"/>
              <w:right w:type="dxa" w:w="150"/>
            </w:tcMar>
          </w:tcPr>
          <w:p>
            <w:pPr>
              <w:jc w:val="left"/>
            </w:pPr>
            <w:r>
              <w:rPr>
                <w:rFonts w:ascii="Times New Roman" w:cs="Times New Roman" w:eastAsia="Times New Roman" w:hAnsi="Times New Roman"/>
                <w:b/>
                <w:bCs/>
                <w:color w:val="FFFFFF"/>
                <w:sz w:val="24"/>
                <w:szCs w:val="24"/>
              </w:rPr>
              <w:t xml:space="preserve">Tên Kịch Bản</w:t>
            </w:r>
          </w:p>
        </w:tc>
        <w:tc>
          <w:tcPr>
            <w:tcW w:type="pct" w:w="35%"/>
            <w:tcBorders>
              <w:top w:val="single" w:color="DEE2E6" w:sz="8"/>
              <w:left w:val="single" w:color="DEE2E6" w:sz="8"/>
              <w:bottom w:val="single" w:color="DEE2E6" w:sz="8"/>
              <w:right w:val="single" w:color="DEE2E6" w:sz="8"/>
            </w:tcBorders>
            <w:shd w:fill="0F4C81" w:val="clear"/>
            <w:tcMar>
              <w:top w:type="dxa" w:w="150"/>
              <w:left w:type="dxa" w:w="150"/>
              <w:bottom w:type="dxa" w:w="150"/>
              <w:right w:type="dxa" w:w="150"/>
            </w:tcMar>
          </w:tcPr>
          <w:p>
            <w:pPr>
              <w:jc w:val="left"/>
            </w:pPr>
            <w:r>
              <w:rPr>
                <w:rFonts w:ascii="Times New Roman" w:cs="Times New Roman" w:eastAsia="Times New Roman" w:hAnsi="Times New Roman"/>
                <w:b/>
                <w:bCs/>
                <w:color w:val="FFFFFF"/>
                <w:sz w:val="24"/>
                <w:szCs w:val="24"/>
              </w:rPr>
              <w:t xml:space="preserve">Các Bước Thực Hiện</w:t>
            </w:r>
          </w:p>
        </w:tc>
        <w:tc>
          <w:tcPr>
            <w:tcW w:type="pct" w:w="25%"/>
            <w:tcBorders>
              <w:top w:val="single" w:color="DEE2E6" w:sz="8"/>
              <w:left w:val="single" w:color="DEE2E6" w:sz="8"/>
              <w:bottom w:val="single" w:color="DEE2E6" w:sz="8"/>
              <w:right w:val="single" w:color="DEE2E6" w:sz="8"/>
            </w:tcBorders>
            <w:shd w:fill="0F4C81" w:val="clear"/>
            <w:tcMar>
              <w:top w:type="dxa" w:w="150"/>
              <w:left w:type="dxa" w:w="150"/>
              <w:bottom w:type="dxa" w:w="150"/>
              <w:right w:type="dxa" w:w="150"/>
            </w:tcMar>
          </w:tcPr>
          <w:p>
            <w:pPr>
              <w:jc w:val="left"/>
            </w:pPr>
            <w:r>
              <w:rPr>
                <w:rFonts w:ascii="Times New Roman" w:cs="Times New Roman" w:eastAsia="Times New Roman" w:hAnsi="Times New Roman"/>
                <w:b/>
                <w:bCs/>
                <w:color w:val="FFFFFF"/>
                <w:sz w:val="24"/>
                <w:szCs w:val="24"/>
              </w:rPr>
              <w:t xml:space="preserve">Kết Quả Kỳ Vọng</w:t>
            </w:r>
          </w:p>
        </w:tc>
      </w:tr>
      <w:tr>
        <w:tc>
          <w:tcPr>
            <w:tcW w:type="pct" w:w="12%"/>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center"/>
            </w:pPr>
            <w:r>
              <w:rPr>
                <w:rFonts w:ascii="Times New Roman" w:cs="Times New Roman" w:eastAsia="Times New Roman" w:hAnsi="Times New Roman"/>
                <w:b w:val="false"/>
                <w:bCs w:val="false"/>
                <w:color w:val="212529"/>
                <w:sz w:val="24"/>
                <w:szCs w:val="24"/>
              </w:rPr>
              <w:t xml:space="preserve">TC-UI-04</w:t>
            </w:r>
          </w:p>
        </w:tc>
        <w:tc>
          <w:tcPr>
            <w:tcW w:type="pct" w:w="28%"/>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Bệnh nhân vãng lai đặt lịch trực tuyến (Guest)</w:t>
            </w:r>
          </w:p>
        </w:tc>
        <w:tc>
          <w:tcPr>
            <w:tcW w:type="pct" w:w="3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1. Tại màn hình Đặt lịch công khai, nhập Họ tên khách và SĐT mới.
2. Chọn dịch vụ S-02 (Tẩy trắng răng), chọn bác sĩ D-01.
3. Chọn ngày mai và chọn 1 slot trống.
4. Thực hiện xác thực OTP và xác nhận đặt lịch.</w:t>
            </w:r>
          </w:p>
        </w:tc>
        <w:tc>
          <w:tcPr>
            <w:tcW w:type="pct" w:w="2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Đặt lịch thành công, hệ thống tự động sinh hồ sơ bệnh nhân vãng lai mới và gửi sự kiện cập nhật real-time tới Lễ tân.</w:t>
            </w:r>
          </w:p>
        </w:tc>
      </w:tr>
      <w:tr>
        <w:tc>
          <w:tcPr>
            <w:tcW w:type="pct" w:w="12%"/>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center"/>
            </w:pPr>
            <w:r>
              <w:rPr>
                <w:rFonts w:ascii="Times New Roman" w:cs="Times New Roman" w:eastAsia="Times New Roman" w:hAnsi="Times New Roman"/>
                <w:b w:val="false"/>
                <w:bCs w:val="false"/>
                <w:color w:val="212529"/>
                <w:sz w:val="24"/>
                <w:szCs w:val="24"/>
              </w:rPr>
              <w:t xml:space="preserve">TC-UI-05</w:t>
            </w:r>
          </w:p>
        </w:tc>
        <w:tc>
          <w:tcPr>
            <w:tcW w:type="pct" w:w="28%"/>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Bệnh nhân đã đăng nhập đặt lịch trực tuyến</w:t>
            </w:r>
          </w:p>
        </w:tc>
        <w:tc>
          <w:tcPr>
            <w:tcW w:type="pct" w:w="3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1. Đăng nhập tài khoản Bệnh nhân.
2. Vào tab Đặt lịch, chọn dịch vụ S-02, chọn bác sĩ D-01.
3. Chọn mốc giờ trống khả dụng ngày mai và bấm Đặt lịch (có OTP).</w:t>
            </w:r>
          </w:p>
        </w:tc>
        <w:tc>
          <w:tcPr>
            <w:tcW w:type="pct" w:w="2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Đặt lịch thành công, hệ thống tự động lấy thông tin bệnh nhân từ tài khoản đã đăng nhập, hiển thị lịch khám ở tab Lịch hẹn của tôi.</w:t>
            </w:r>
          </w:p>
        </w:tc>
      </w:tr>
      <w:tr>
        <w:tc>
          <w:tcPr>
            <w:tcW w:type="pct" w:w="12%"/>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center"/>
            </w:pPr>
            <w:r>
              <w:rPr>
                <w:rFonts w:ascii="Times New Roman" w:cs="Times New Roman" w:eastAsia="Times New Roman" w:hAnsi="Times New Roman"/>
                <w:b w:val="false"/>
                <w:bCs w:val="false"/>
                <w:color w:val="212529"/>
                <w:sz w:val="24"/>
                <w:szCs w:val="24"/>
              </w:rPr>
              <w:t xml:space="preserve">TC-UI-06</w:t>
            </w:r>
          </w:p>
        </w:tc>
        <w:tc>
          <w:tcPr>
            <w:tcW w:type="pct" w:w="28%"/>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Lễ tân đặt lịch trực tiếp cho khách tại quầy (Walk-In)</w:t>
            </w:r>
          </w:p>
        </w:tc>
        <w:tc>
          <w:tcPr>
            <w:tcW w:type="pct" w:w="3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1. Lễ tân vào tab Lịch Hẹn -&gt; bấm Đặt lịch.
2. Nhập SĐT bệnh nhân vãng lai cũ để hệ thống auto-lookup điền tên.
3. Chọn khung giờ khám trực tiếp của bác sĩ và bấm xác nhận.</w:t>
            </w:r>
          </w:p>
        </w:tc>
        <w:tc>
          <w:tcPr>
            <w:tcW w:type="pct" w:w="2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Đặt lịch thành công với kênh bookingChannel là Walk-In, bỏ qua bước OTP.</w:t>
            </w:r>
          </w:p>
        </w:tc>
      </w:tr>
      <w:tr>
        <w:tc>
          <w:tcPr>
            <w:tcW w:type="pct" w:w="12%"/>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center"/>
            </w:pPr>
            <w:r>
              <w:rPr>
                <w:rFonts w:ascii="Times New Roman" w:cs="Times New Roman" w:eastAsia="Times New Roman" w:hAnsi="Times New Roman"/>
                <w:b w:val="false"/>
                <w:bCs w:val="false"/>
                <w:color w:val="212529"/>
                <w:sz w:val="24"/>
                <w:szCs w:val="24"/>
              </w:rPr>
              <w:t xml:space="preserve">TC-UI-07</w:t>
            </w:r>
          </w:p>
        </w:tc>
        <w:tc>
          <w:tcPr>
            <w:tcW w:type="pct" w:w="28%"/>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Chặn đặt trùng giờ (Overlap Booking)</w:t>
            </w:r>
          </w:p>
        </w:tc>
        <w:tc>
          <w:tcPr>
            <w:tcW w:type="pct" w:w="3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1. Dùng 2 tab trình duyệt chọn cùng 1 slot khám của cùng bác sĩ D-01 ngày mai.
2. Bấm xác nhận đặt lịch ở cả hai bên gần như đồng thời.</w:t>
            </w:r>
          </w:p>
        </w:tc>
        <w:tc>
          <w:tcPr>
            <w:tcW w:type="pct" w:w="2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Yêu cầu thứ 2 bị chặn lại với mã lỗi 409 (SLOT_NOT_AVAILABLE hoặc APPOINTMENT_OVERLAP), đảm bảo không bị ghi đè trùng lịch.</w:t>
            </w:r>
          </w:p>
        </w:tc>
      </w:tr>
    </w:tbl>
    <w:p>
      <w:pPr>
        <w:spacing w:after="300"/>
      </w:pPr>
    </w:p>
    <w:p>
      <w:pPr>
        <w:pStyle w:val="Heading2"/>
        <w:spacing w:after="150" w:before="300"/>
      </w:pPr>
      <w:r>
        <w:t xml:space="preserve">4. Kịch Bản Kiểm Thử Nghiệp Vụ Liên Thông &amp; Hàng Chờ</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2%"/>
            <w:tcBorders>
              <w:top w:val="single" w:color="DEE2E6" w:sz="8"/>
              <w:left w:val="single" w:color="DEE2E6" w:sz="8"/>
              <w:bottom w:val="single" w:color="DEE2E6" w:sz="8"/>
              <w:right w:val="single" w:color="DEE2E6" w:sz="8"/>
            </w:tcBorders>
            <w:shd w:fill="0F4C81" w:val="clear"/>
            <w:tcMar>
              <w:top w:type="dxa" w:w="150"/>
              <w:left w:type="dxa" w:w="150"/>
              <w:bottom w:type="dxa" w:w="150"/>
              <w:right w:type="dxa" w:w="150"/>
            </w:tcMar>
          </w:tcPr>
          <w:p>
            <w:pPr>
              <w:jc w:val="center"/>
            </w:pPr>
            <w:r>
              <w:rPr>
                <w:rFonts w:ascii="Times New Roman" w:cs="Times New Roman" w:eastAsia="Times New Roman" w:hAnsi="Times New Roman"/>
                <w:b/>
                <w:bCs/>
                <w:color w:val="FFFFFF"/>
                <w:sz w:val="24"/>
                <w:szCs w:val="24"/>
              </w:rPr>
              <w:t xml:space="preserve">Mã TC</w:t>
            </w:r>
          </w:p>
        </w:tc>
        <w:tc>
          <w:tcPr>
            <w:tcW w:type="pct" w:w="28%"/>
            <w:tcBorders>
              <w:top w:val="single" w:color="DEE2E6" w:sz="8"/>
              <w:left w:val="single" w:color="DEE2E6" w:sz="8"/>
              <w:bottom w:val="single" w:color="DEE2E6" w:sz="8"/>
              <w:right w:val="single" w:color="DEE2E6" w:sz="8"/>
            </w:tcBorders>
            <w:shd w:fill="0F4C81" w:val="clear"/>
            <w:tcMar>
              <w:top w:type="dxa" w:w="150"/>
              <w:left w:type="dxa" w:w="150"/>
              <w:bottom w:type="dxa" w:w="150"/>
              <w:right w:type="dxa" w:w="150"/>
            </w:tcMar>
          </w:tcPr>
          <w:p>
            <w:pPr>
              <w:jc w:val="left"/>
            </w:pPr>
            <w:r>
              <w:rPr>
                <w:rFonts w:ascii="Times New Roman" w:cs="Times New Roman" w:eastAsia="Times New Roman" w:hAnsi="Times New Roman"/>
                <w:b/>
                <w:bCs/>
                <w:color w:val="FFFFFF"/>
                <w:sz w:val="24"/>
                <w:szCs w:val="24"/>
              </w:rPr>
              <w:t xml:space="preserve">Tên Kịch Bản</w:t>
            </w:r>
          </w:p>
        </w:tc>
        <w:tc>
          <w:tcPr>
            <w:tcW w:type="pct" w:w="35%"/>
            <w:tcBorders>
              <w:top w:val="single" w:color="DEE2E6" w:sz="8"/>
              <w:left w:val="single" w:color="DEE2E6" w:sz="8"/>
              <w:bottom w:val="single" w:color="DEE2E6" w:sz="8"/>
              <w:right w:val="single" w:color="DEE2E6" w:sz="8"/>
            </w:tcBorders>
            <w:shd w:fill="0F4C81" w:val="clear"/>
            <w:tcMar>
              <w:top w:type="dxa" w:w="150"/>
              <w:left w:type="dxa" w:w="150"/>
              <w:bottom w:type="dxa" w:w="150"/>
              <w:right w:type="dxa" w:w="150"/>
            </w:tcMar>
          </w:tcPr>
          <w:p>
            <w:pPr>
              <w:jc w:val="left"/>
            </w:pPr>
            <w:r>
              <w:rPr>
                <w:rFonts w:ascii="Times New Roman" w:cs="Times New Roman" w:eastAsia="Times New Roman" w:hAnsi="Times New Roman"/>
                <w:b/>
                <w:bCs/>
                <w:color w:val="FFFFFF"/>
                <w:sz w:val="24"/>
                <w:szCs w:val="24"/>
              </w:rPr>
              <w:t xml:space="preserve">Các Bước Thực Hiện</w:t>
            </w:r>
          </w:p>
        </w:tc>
        <w:tc>
          <w:tcPr>
            <w:tcW w:type="pct" w:w="25%"/>
            <w:tcBorders>
              <w:top w:val="single" w:color="DEE2E6" w:sz="8"/>
              <w:left w:val="single" w:color="DEE2E6" w:sz="8"/>
              <w:bottom w:val="single" w:color="DEE2E6" w:sz="8"/>
              <w:right w:val="single" w:color="DEE2E6" w:sz="8"/>
            </w:tcBorders>
            <w:shd w:fill="0F4C81" w:val="clear"/>
            <w:tcMar>
              <w:top w:type="dxa" w:w="150"/>
              <w:left w:type="dxa" w:w="150"/>
              <w:bottom w:type="dxa" w:w="150"/>
              <w:right w:type="dxa" w:w="150"/>
            </w:tcMar>
          </w:tcPr>
          <w:p>
            <w:pPr>
              <w:jc w:val="left"/>
            </w:pPr>
            <w:r>
              <w:rPr>
                <w:rFonts w:ascii="Times New Roman" w:cs="Times New Roman" w:eastAsia="Times New Roman" w:hAnsi="Times New Roman"/>
                <w:b/>
                <w:bCs/>
                <w:color w:val="FFFFFF"/>
                <w:sz w:val="24"/>
                <w:szCs w:val="24"/>
              </w:rPr>
              <w:t xml:space="preserve">Kết Quả Kỳ Vọng</w:t>
            </w:r>
          </w:p>
        </w:tc>
      </w:tr>
      <w:tr>
        <w:tc>
          <w:tcPr>
            <w:tcW w:type="pct" w:w="12%"/>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center"/>
            </w:pPr>
            <w:r>
              <w:rPr>
                <w:rFonts w:ascii="Times New Roman" w:cs="Times New Roman" w:eastAsia="Times New Roman" w:hAnsi="Times New Roman"/>
                <w:b w:val="false"/>
                <w:bCs w:val="false"/>
                <w:color w:val="212529"/>
                <w:sz w:val="24"/>
                <w:szCs w:val="24"/>
              </w:rPr>
              <w:t xml:space="preserve">TC-UI-08</w:t>
            </w:r>
          </w:p>
        </w:tc>
        <w:tc>
          <w:tcPr>
            <w:tcW w:type="pct" w:w="28%"/>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Tiếp đón bệnh nhân vào hàng chờ khám</w:t>
            </w:r>
          </w:p>
        </w:tc>
        <w:tc>
          <w:tcPr>
            <w:tcW w:type="pct" w:w="3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1. Lễ tân chọn lịch hẹn đã đặt hôm nay của bệnh nhân.
2. Bấm nút Check-In (Tiếp đón).</w:t>
            </w:r>
          </w:p>
        </w:tc>
        <w:tc>
          <w:tcPr>
            <w:tcW w:type="pct" w:w="2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Bệnh nhân được thêm vào hàng chờ khám với trạng thái Waiting, hiển thị thời gian chờ đếm ngược trên bảng TV phòng chờ.</w:t>
            </w:r>
          </w:p>
        </w:tc>
      </w:tr>
      <w:tr>
        <w:tc>
          <w:tcPr>
            <w:tcW w:type="pct" w:w="12%"/>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center"/>
            </w:pPr>
            <w:r>
              <w:rPr>
                <w:rFonts w:ascii="Times New Roman" w:cs="Times New Roman" w:eastAsia="Times New Roman" w:hAnsi="Times New Roman"/>
                <w:b w:val="false"/>
                <w:bCs w:val="false"/>
                <w:color w:val="212529"/>
                <w:sz w:val="24"/>
                <w:szCs w:val="24"/>
              </w:rPr>
              <w:t xml:space="preserve">TC-UI-09</w:t>
            </w:r>
          </w:p>
        </w:tc>
        <w:tc>
          <w:tcPr>
            <w:tcW w:type="pct" w:w="28%"/>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Bác sĩ gọi khám (In Chair)</w:t>
            </w:r>
          </w:p>
        </w:tc>
        <w:tc>
          <w:tcPr>
            <w:tcW w:type="pct" w:w="3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1. Bác sĩ mở Dashboard khám, chọn bệnh nhân trong hàng chờ.
2. Bấm nút "Bắt đầu khám".</w:t>
            </w:r>
          </w:p>
        </w:tc>
        <w:tc>
          <w:tcPr>
            <w:tcW w:type="pct" w:w="2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Trạng thái chuyển sang In Chair. Đồng hồ đếm thời gian điều trị bắt đầu chạy, bảng TV phòng chờ tự động cập nhật trạng thái.</w:t>
            </w:r>
          </w:p>
        </w:tc>
      </w:tr>
      <w:tr>
        <w:tc>
          <w:tcPr>
            <w:tcW w:type="pct" w:w="12%"/>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center"/>
            </w:pPr>
            <w:r>
              <w:rPr>
                <w:rFonts w:ascii="Times New Roman" w:cs="Times New Roman" w:eastAsia="Times New Roman" w:hAnsi="Times New Roman"/>
                <w:b w:val="false"/>
                <w:bCs w:val="false"/>
                <w:color w:val="212529"/>
                <w:sz w:val="24"/>
                <w:szCs w:val="24"/>
              </w:rPr>
              <w:t xml:space="preserve">TC-UI-10</w:t>
            </w:r>
          </w:p>
        </w:tc>
        <w:tc>
          <w:tcPr>
            <w:tcW w:type="pct" w:w="28%"/>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Bác sĩ lưu bệnh án và kết thúc khám (Completed)</w:t>
            </w:r>
          </w:p>
        </w:tc>
        <w:tc>
          <w:tcPr>
            <w:tcW w:type="pct" w:w="3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1. Bác sĩ điền ghi chú bệnh án, chọn răng bị sâu trên sơ đồ răng và kê đơn thuốc.
2. Bấm nút "Hoàn thành điều trị".</w:t>
            </w:r>
          </w:p>
        </w:tc>
        <w:tc>
          <w:tcPr>
            <w:tcW w:type="pct" w:w="2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Bệnh nhân chuyển sang trạng thái Completed. Hệ thống tự động tạo hóa đơn dịch vụ tương ứng ở trạng thái Pending.</w:t>
            </w:r>
          </w:p>
        </w:tc>
      </w:tr>
      <w:tr>
        <w:tc>
          <w:tcPr>
            <w:tcW w:type="pct" w:w="12%"/>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center"/>
            </w:pPr>
            <w:r>
              <w:rPr>
                <w:rFonts w:ascii="Times New Roman" w:cs="Times New Roman" w:eastAsia="Times New Roman" w:hAnsi="Times New Roman"/>
                <w:b w:val="false"/>
                <w:bCs w:val="false"/>
                <w:color w:val="212529"/>
                <w:sz w:val="24"/>
                <w:szCs w:val="24"/>
              </w:rPr>
              <w:t xml:space="preserve">TC-UI-11</w:t>
            </w:r>
          </w:p>
        </w:tc>
        <w:tc>
          <w:tcPr>
            <w:tcW w:type="pct" w:w="28%"/>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Liên kết bệnh án cũ khi tạo tài khoản mới</w:t>
            </w:r>
          </w:p>
        </w:tc>
        <w:tc>
          <w:tcPr>
            <w:tcW w:type="pct" w:w="3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1. Khách hàng khám vãng lai (Walk-In) với SĐT "09xxxx".
2. Bác sĩ khám và lưu bệnh án điện tử cho SĐT này.
3. Bệnh nhân đăng ký tài khoản mới trực tuyến bằng đúng SĐT "09xxxx".</w:t>
            </w:r>
          </w:p>
        </w:tc>
        <w:tc>
          <w:tcPr>
            <w:tcW w:type="pct" w:w="25%"/>
            <w:tcBorders>
              <w:top w:val="single" w:color="DEE2E6" w:sz="8"/>
              <w:left w:val="single" w:color="DEE2E6" w:sz="8"/>
              <w:bottom w:val="single" w:color="DEE2E6" w:sz="8"/>
              <w:right w:val="single" w:color="DEE2E6" w:sz="8"/>
            </w:tcBorders>
            <w:shd w:fill="FFFFFF" w:val="clear"/>
            <w:tcMar>
              <w:top w:type="dxa" w:w="150"/>
              <w:left w:type="dxa" w:w="150"/>
              <w:bottom w:type="dxa" w:w="150"/>
              <w:right w:type="dxa" w:w="150"/>
            </w:tcMar>
          </w:tcPr>
          <w:p>
            <w:pPr>
              <w:jc w:val="left"/>
            </w:pPr>
            <w:r>
              <w:rPr>
                <w:rFonts w:ascii="Times New Roman" w:cs="Times New Roman" w:eastAsia="Times New Roman" w:hAnsi="Times New Roman"/>
                <w:b w:val="false"/>
                <w:bCs w:val="false"/>
                <w:color w:val="212529"/>
                <w:sz w:val="24"/>
                <w:szCs w:val="24"/>
              </w:rPr>
              <w:t xml:space="preserve">Tài khoản mới đăng ký tự động được liên kết với hồ sơ bệnh nhân cũ và hiển thị đầy đủ lịch sử bệnh án đã khám trước đó.</w:t>
            </w:r>
          </w:p>
        </w:tc>
      </w:tr>
    </w:tbl>
    <w:p>
      <w:pPr>
        <w:spacing w:after="400"/>
      </w:pPr>
    </w:p>
    <w:p>
      <w:pPr>
        <w:pStyle w:val="Heading2"/>
        <w:spacing w:after="150" w:before="300"/>
      </w:pPr>
      <w:r>
        <w:t xml:space="preserve">5. Kết Quả Kiểm Nghiệm Tự Động</w:t>
      </w:r>
    </w:p>
    <w:p>
      <w:r>
        <w:rPr>
          <w:rFonts w:ascii="Times New Roman" w:cs="Times New Roman" w:eastAsia="Times New Roman" w:hAnsi="Times New Roman"/>
          <w:b/>
          <w:bCs/>
          <w:sz w:val="24"/>
          <w:szCs w:val="24"/>
        </w:rPr>
        <w:t xml:space="preserve">Kịch bản kiểm thử API tích hợp tự động trong file test_api.ts đã chạy thử nghiệm thành công 100% (14/14 test cases Đạt) trên môi trường cục bộ kết hợp máy chủ dữ liệu PostgreSQL và Redis Cache.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Kịch bản kiểm thử module đặt lịch</dc:title>
  <dc:creator>Senior QC — GoodSmile Clinic</dc:creator>
  <dc:description>Tài liệu kịch bản kiểm thử tích hợp và kiểm thử thủ công cho hệ thống đặt lịch nha khoa</dc:description>
  <cp:lastModifiedBy>Un-named</cp:lastModifiedBy>
  <cp:revision>1</cp:revision>
  <dcterms:created xsi:type="dcterms:W3CDTF">2026-07-15T01:32:50.709Z</dcterms:created>
  <dcterms:modified xsi:type="dcterms:W3CDTF">2026-07-15T01:32:50.711Z</dcterms:modified>
</cp:coreProperties>
</file>

<file path=docProps/custom.xml><?xml version="1.0" encoding="utf-8"?>
<Properties xmlns="http://schemas.openxmlformats.org/officeDocument/2006/custom-properties" xmlns:vt="http://schemas.openxmlformats.org/officeDocument/2006/docPropsVTypes"/>
</file>