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DOSSIER DE DÉCLARATION DE TRAITEMENT DE DONNÉES À CARACTÈRE PERSONNEL</w:t>
      </w:r>
    </w:p>
    <w:p>
      <w:pPr>
        <w:spacing w:after="100"/>
        <w:jc w:val="center"/>
      </w:pPr>
      <w:r>
        <w:rPr>
          <w:sz w:val="22"/>
          <w:szCs w:val="22"/>
        </w:rPr>
        <w:t xml:space="preserve">Auprès de l'Autorité de Protection des Données à caractère Personnel (APDP) — République du Bénin</w:t>
      </w:r>
    </w:p>
    <w:p>
      <w:pPr>
        <w:spacing w:after="400"/>
        <w:jc w:val="center"/>
      </w:pPr>
      <w:r>
        <w:rPr>
          <w:i/>
          <w:iCs/>
          <w:sz w:val="20"/>
          <w:szCs w:val="20"/>
        </w:rPr>
        <w:t xml:space="preserve">Établi en application des articles 405 et 409 de la Loi n°2017-20 du 20 avril 2018 portant Code du numérique en République du Bénin</w:t>
      </w:r>
    </w:p>
    <w:p>
      <w:pPr>
        <w:pStyle w:val="Heading1"/>
        <w:spacing w:after="150" w:before="300"/>
      </w:pPr>
      <w:r>
        <w:t xml:space="preserve">1. Identité du responsable du traitement</w:t>
      </w:r>
    </w:p>
    <w:p>
      <w:pPr>
        <w:spacing w:after="150"/>
      </w:pPr>
      <w:r>
        <w:t xml:space="preserve">Conformément à l'article 409, 1° du Code du numérique.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1F5F9" w:val="clear"/>
          </w:tcPr>
          <w:p>
            <w:r>
              <w:rPr>
                <w:b/>
                <w:bCs/>
              </w:rPr>
              <w:t xml:space="preserve">Dénomination</w:t>
            </w:r>
          </w:p>
        </w:tc>
        <w:tc>
          <w:tcPr>
            <w:tcW w:type="dxa" w:w="6500"/>
          </w:tcPr>
          <w:p>
            <w:r>
              <w:rPr>
                <w:i w:val="false"/>
                <w:iCs w:val="false"/>
                <w:color w:val="000000"/>
              </w:rPr>
              <w:t xml:space="preserve">Souplesse Fitness</w:t>
            </w:r>
          </w:p>
        </w:tc>
      </w:tr>
      <w:tr>
        <w:tc>
          <w:tcPr>
            <w:tcW w:type="dxa" w:w="3000"/>
            <w:shd w:fill="F1F5F9" w:val="clear"/>
          </w:tcPr>
          <w:p>
            <w:r>
              <w:rPr>
                <w:b/>
                <w:bCs/>
              </w:rPr>
              <w:t xml:space="preserve">Forme juridique</w:t>
            </w:r>
          </w:p>
        </w:tc>
        <w:tc>
          <w:tcPr>
            <w:tcW w:type="dxa" w:w="6500"/>
          </w:tcPr>
          <w:p>
            <w:r>
              <w:rPr>
                <w:i/>
                <w:iCs/>
                <w:color w:val="B45309"/>
              </w:rPr>
              <w:t xml:space="preserve">raison sociale / forme juridique exacte de l'entité exploitant Souplesse Fitness</w:t>
            </w:r>
          </w:p>
        </w:tc>
      </w:tr>
      <w:tr>
        <w:tc>
          <w:tcPr>
            <w:tcW w:type="dxa" w:w="3000"/>
            <w:shd w:fill="F1F5F9" w:val="clear"/>
          </w:tcPr>
          <w:p>
            <w:r>
              <w:rPr>
                <w:b/>
                <w:bCs/>
              </w:rPr>
              <w:t xml:space="preserve">Adresse complète du siège</w:t>
            </w:r>
          </w:p>
        </w:tc>
        <w:tc>
          <w:tcPr>
            <w:tcW w:type="dxa" w:w="6500"/>
          </w:tcPr>
          <w:p>
            <w:r>
              <w:rPr>
                <w:i/>
                <w:iCs/>
                <w:color w:val="B45309"/>
              </w:rPr>
              <w:t xml:space="preserve">adresse postale complète à Cotonou (ou localité exacte)</w:t>
            </w:r>
          </w:p>
        </w:tc>
      </w:tr>
      <w:tr>
        <w:tc>
          <w:tcPr>
            <w:tcW w:type="dxa" w:w="3000"/>
            <w:shd w:fill="F1F5F9" w:val="clear"/>
          </w:tcPr>
          <w:p>
            <w:r>
              <w:rPr>
                <w:b/>
                <w:bCs/>
              </w:rPr>
              <w:t xml:space="preserve">Représentant légal (nom, qualité)</w:t>
            </w:r>
          </w:p>
        </w:tc>
        <w:tc>
          <w:tcPr>
            <w:tcW w:type="dxa" w:w="6500"/>
          </w:tcPr>
          <w:p>
            <w:r>
              <w:rPr>
                <w:i/>
                <w:iCs/>
                <w:color w:val="B45309"/>
              </w:rPr>
              <w:t xml:space="preserve">nom et fonction de la personne habilitée à signer la déclaration</w:t>
            </w:r>
          </w:p>
        </w:tc>
      </w:tr>
      <w:tr>
        <w:tc>
          <w:tcPr>
            <w:tcW w:type="dxa" w:w="3000"/>
            <w:shd w:fill="F1F5F9" w:val="clear"/>
          </w:tcPr>
          <w:p>
            <w:r>
              <w:rPr>
                <w:b/>
                <w:bCs/>
              </w:rPr>
              <w:t xml:space="preserve">Contact (téléphone / email)</w:t>
            </w:r>
          </w:p>
        </w:tc>
        <w:tc>
          <w:tcPr>
            <w:tcW w:type="dxa" w:w="6500"/>
          </w:tcPr>
          <w:p>
            <w:r>
              <w:rPr>
                <w:i/>
                <w:iCs/>
                <w:color w:val="B45309"/>
              </w:rPr>
              <w:t xml:space="preserve">coordonnées de contact officielles de l'établissement</w:t>
            </w:r>
          </w:p>
        </w:tc>
      </w:tr>
      <w:tr>
        <w:tc>
          <w:tcPr>
            <w:tcW w:type="dxa" w:w="3000"/>
            <w:shd w:fill="F1F5F9" w:val="clear"/>
          </w:tcPr>
          <w:p>
            <w:r>
              <w:rPr>
                <w:b/>
                <w:bCs/>
              </w:rPr>
              <w:t xml:space="preserve">Représentant en charge du dossier auprès de l'APDP</w:t>
            </w:r>
          </w:p>
        </w:tc>
        <w:tc>
          <w:tcPr>
            <w:tcW w:type="dxa" w:w="6500"/>
          </w:tcPr>
          <w:p>
            <w:r>
              <w:rPr>
                <w:i/>
                <w:iCs/>
                <w:color w:val="B45309"/>
              </w:rPr>
              <w:t xml:space="preserve">personne désignée pour le suivi du dossier, si différente du représentant légal</w:t>
            </w:r>
          </w:p>
        </w:tc>
      </w:tr>
    </w:tbl>
    <w:p>
      <w:pPr>
        <w:pStyle w:val="Heading1"/>
        <w:spacing w:after="150" w:before="300"/>
      </w:pPr>
      <w:r>
        <w:t xml:space="preserve">2. Objet de la déclaration</w:t>
      </w:r>
    </w:p>
    <w:p>
      <w:pPr>
        <w:spacing w:after="150"/>
      </w:pPr>
      <w:r>
        <w:t xml:space="preserve">La présente déclaration porte sur le traitement de données à caractère personnel mis en œuvre dans le cadre de l'application mobile Souplesse Fitness, destinée à la gestion des abonnements, de la vérification d'identité, du suivi des paiements Mobile Money et de la planification des séances de coaching des membres du club.</w:t>
      </w:r>
    </w:p>
    <w:p>
      <w:pPr>
        <w:spacing w:after="150"/>
      </w:pPr>
      <w:r>
        <w:t xml:space="preserve">Ce traitement est distinct du traitement déjà opéré, le cas échéant, par la plateforme web existante de Souplesse Fitness ; les deux partagent une même base de données mais des mécanismes de vérification d'identité différents (email pour le web, SMS/OTP obligatoire pour le mobile).</w:t>
      </w:r>
    </w:p>
    <w:p>
      <w:pPr>
        <w:pStyle w:val="Heading1"/>
        <w:spacing w:after="150" w:before="300"/>
      </w:pPr>
      <w:r>
        <w:t xml:space="preserve">3. Finalité(s) du traitement</w:t>
      </w:r>
    </w:p>
    <w:p>
      <w:pPr>
        <w:spacing w:after="150"/>
      </w:pPr>
      <w:r>
        <w:t xml:space="preserve">Conformément à l'article 409, 2° du Code du numérique.</w:t>
      </w:r>
    </w:p>
    <w:p>
      <w:pPr>
        <w:pStyle w:val="ListParagraph"/>
        <w:numPr>
          <w:ilvl w:val="0"/>
          <w:numId w:val="1"/>
        </w:numPr>
        <w:spacing w:after="80"/>
      </w:pPr>
      <w:r>
        <w:t xml:space="preserve">Créer et gérer les comptes utilisateurs de l'application mobile (Clients, Coachs, Modérateurs, Administrateurs) ;</w:t>
      </w:r>
    </w:p>
    <w:p>
      <w:pPr>
        <w:pStyle w:val="ListParagraph"/>
        <w:numPr>
          <w:ilvl w:val="0"/>
          <w:numId w:val="1"/>
        </w:numPr>
        <w:spacing w:after="80"/>
      </w:pPr>
      <w:r>
        <w:t xml:space="preserve">Vérifier l'identité des utilisateurs mobiles par envoi d'un code de vérification (OTP) par SMS ;</w:t>
      </w:r>
    </w:p>
    <w:p>
      <w:pPr>
        <w:pStyle w:val="ListParagraph"/>
        <w:numPr>
          <w:ilvl w:val="0"/>
          <w:numId w:val="1"/>
        </w:numPr>
        <w:spacing w:after="80"/>
      </w:pPr>
      <w:r>
        <w:t xml:space="preserve">Permettre la souscription d'un abonnement (durées proposées : 1, 2, 3, 6 ou 12 mois) ;</w:t>
      </w:r>
    </w:p>
    <w:p>
      <w:pPr>
        <w:pStyle w:val="ListParagraph"/>
        <w:numPr>
          <w:ilvl w:val="0"/>
          <w:numId w:val="1"/>
        </w:numPr>
        <w:spacing w:after="80"/>
      </w:pPr>
      <w:r>
        <w:t xml:space="preserve">Recueillir la preuve d'un paiement Mobile Money effectué hors application et la soumettre à validation humaine par un Modérateur ;</w:t>
      </w:r>
    </w:p>
    <w:p>
      <w:pPr>
        <w:pStyle w:val="ListParagraph"/>
        <w:numPr>
          <w:ilvl w:val="0"/>
          <w:numId w:val="1"/>
        </w:numPr>
        <w:spacing w:after="80"/>
      </w:pPr>
      <w:r>
        <w:t xml:space="preserve">Notifier le client, par SMS et par notification push, de la validation ou du rejet de son paiement ;</w:t>
      </w:r>
    </w:p>
    <w:p>
      <w:pPr>
        <w:pStyle w:val="ListParagraph"/>
        <w:numPr>
          <w:ilvl w:val="0"/>
          <w:numId w:val="1"/>
        </w:numPr>
        <w:spacing w:after="80"/>
      </w:pPr>
      <w:r>
        <w:t xml:space="preserve">Permettre la planification de séances entre un Client abonné et un Coach ;</w:t>
      </w:r>
    </w:p>
    <w:p>
      <w:pPr>
        <w:pStyle w:val="ListParagraph"/>
        <w:numPr>
          <w:ilvl w:val="0"/>
          <w:numId w:val="1"/>
        </w:numPr>
        <w:spacing w:after="80"/>
      </w:pPr>
      <w:r>
        <w:t xml:space="preserve">Assurer le pilotage opérationnel de la salle par les rôles Coach, Modérateur et Administrateur (tableaux de bord).</w:t>
      </w:r>
    </w:p>
    <w:p>
      <w:pPr>
        <w:spacing w:after="150"/>
      </w:pPr>
      <w:r>
        <w:t xml:space="preserve">Aucune finalité de prospection commerciale, de profilage ou de prise de décision automatisée n'est mise en œuvre à ce stade.</w:t>
      </w:r>
    </w:p>
    <w:p>
      <w:pPr>
        <w:pStyle w:val="Heading1"/>
        <w:spacing w:after="150" w:before="300"/>
      </w:pPr>
      <w:r>
        <w:t xml:space="preserve">4. Base légale du traitement</w:t>
      </w:r>
    </w:p>
    <w:p>
      <w:pPr>
        <w:pStyle w:val="ListParagraph"/>
        <w:numPr>
          <w:ilvl w:val="0"/>
          <w:numId w:val="1"/>
        </w:numPr>
        <w:spacing w:after="80"/>
      </w:pPr>
      <w:r>
        <w:t xml:space="preserve">L'exécution du contrat d'abonnement conclu avec le Client (fourniture du service de salle de sport) ;</w:t>
      </w:r>
    </w:p>
    <w:p>
      <w:pPr>
        <w:pStyle w:val="ListParagraph"/>
        <w:numPr>
          <w:ilvl w:val="0"/>
          <w:numId w:val="1"/>
        </w:numPr>
        <w:spacing w:after="80"/>
      </w:pPr>
      <w:r>
        <w:t xml:space="preserve">Le consentement explicite du Client, recueilli lors de l'inscription dans l'application, pour le traitement de son numéro de téléphone à des fins de vérification et pour les transferts de données décrits à la section 9 ci-dessous ;</w:t>
      </w:r>
    </w:p>
    <w:p>
      <w:pPr>
        <w:pStyle w:val="ListParagraph"/>
        <w:numPr>
          <w:ilvl w:val="0"/>
          <w:numId w:val="1"/>
        </w:numPr>
        <w:spacing w:after="80"/>
      </w:pPr>
      <w:r>
        <w:t xml:space="preserve">L'intérêt légitime de Souplesse Fitness à prévenir la fraude sur les paiements (contrôle humain des preuves de paiement).</w:t>
      </w:r>
    </w:p>
    <w:p>
      <w:pPr>
        <w:pStyle w:val="Heading1"/>
        <w:spacing w:after="150" w:before="300"/>
      </w:pPr>
      <w:r>
        <w:t xml:space="preserve">5. Catégories de données à caractère personnel traitées</w:t>
      </w:r>
    </w:p>
    <w:p>
      <w:pPr>
        <w:spacing w:after="150"/>
      </w:pPr>
      <w:r>
        <w:t xml:space="preserve">Conformément à l'article 409, 4° du Code du numérique. Aucune donnée relevant de l'article 394 (données dites « sensibles » : origine raciale ou ethnique, opinions politiques, religion, appartenance syndicale, données génétiques ou biométriques, santé, vie sexuelle) n'est collectée.</w:t>
      </w:r>
    </w:p>
    <w:p>
      <w:pPr>
        <w:pStyle w:val="ListParagraph"/>
        <w:numPr>
          <w:ilvl w:val="0"/>
          <w:numId w:val="1"/>
        </w:numPr>
        <w:spacing w:after="80"/>
      </w:pPr>
      <w:r>
        <w:t xml:space="preserve">Données d'identité : nom, prénom, genre ;</w:t>
      </w:r>
    </w:p>
    <w:p>
      <w:pPr>
        <w:pStyle w:val="ListParagraph"/>
        <w:numPr>
          <w:ilvl w:val="0"/>
          <w:numId w:val="1"/>
        </w:numPr>
        <w:spacing w:after="80"/>
      </w:pPr>
      <w:r>
        <w:t xml:space="preserve">Données de contact : numéro de téléphone, adresse email ;</w:t>
      </w:r>
    </w:p>
    <w:p>
      <w:pPr>
        <w:pStyle w:val="ListParagraph"/>
        <w:numPr>
          <w:ilvl w:val="0"/>
          <w:numId w:val="1"/>
        </w:numPr>
        <w:spacing w:after="80"/>
      </w:pPr>
      <w:r>
        <w:t xml:space="preserve">Données de compte : mot de passe (haché, jamais stocké en clair) ;</w:t>
      </w:r>
    </w:p>
    <w:p>
      <w:pPr>
        <w:pStyle w:val="ListParagraph"/>
        <w:numPr>
          <w:ilvl w:val="0"/>
          <w:numId w:val="1"/>
        </w:numPr>
        <w:spacing w:after="80"/>
      </w:pPr>
      <w:r>
        <w:t xml:space="preserve">Données de vérification : code OTP (haché, à usage unique, durée de vie limitée) ;</w:t>
      </w:r>
    </w:p>
    <w:p>
      <w:pPr>
        <w:pStyle w:val="ListParagraph"/>
        <w:numPr>
          <w:ilvl w:val="0"/>
          <w:numId w:val="1"/>
        </w:numPr>
        <w:spacing w:after="80"/>
      </w:pPr>
      <w:r>
        <w:t xml:space="preserve">Données d'abonnement : formule souscrite, durée, statut, dates de début et de fin ;</w:t>
      </w:r>
    </w:p>
    <w:p>
      <w:pPr>
        <w:pStyle w:val="ListParagraph"/>
        <w:numPr>
          <w:ilvl w:val="0"/>
          <w:numId w:val="1"/>
        </w:numPr>
        <w:spacing w:after="80"/>
      </w:pPr>
      <w:r>
        <w:t xml:space="preserve">Preuve de paiement : capture d'écran de confirmation de transaction Mobile Money, supprimée après validation ou rejet définitif ;</w:t>
      </w:r>
    </w:p>
    <w:p>
      <w:pPr>
        <w:pStyle w:val="ListParagraph"/>
        <w:numPr>
          <w:ilvl w:val="0"/>
          <w:numId w:val="1"/>
        </w:numPr>
        <w:spacing w:after="80"/>
      </w:pPr>
      <w:r>
        <w:t xml:space="preserve">Données de planification : créneaux de séances de coaching choisis par le Client.</w:t>
      </w:r>
    </w:p>
    <w:p>
      <w:pPr>
        <w:pStyle w:val="Heading1"/>
        <w:spacing w:after="150" w:before="300"/>
      </w:pPr>
      <w:r>
        <w:t xml:space="preserve">6. Catégories de personnes concernées</w:t>
      </w:r>
    </w:p>
    <w:p>
      <w:pPr>
        <w:pStyle w:val="ListParagraph"/>
        <w:numPr>
          <w:ilvl w:val="0"/>
          <w:numId w:val="1"/>
        </w:numPr>
        <w:spacing w:after="80"/>
      </w:pPr>
      <w:r>
        <w:t xml:space="preserve">Clients (membres) de Souplesse Fitness utilisant l'application mobile ;</w:t>
      </w:r>
    </w:p>
    <w:p>
      <w:pPr>
        <w:pStyle w:val="ListParagraph"/>
        <w:numPr>
          <w:ilvl w:val="0"/>
          <w:numId w:val="1"/>
        </w:numPr>
        <w:spacing w:after="80"/>
      </w:pPr>
      <w:r>
        <w:t xml:space="preserve">Coachs employés ou prestataires de Souplesse Fitness ;</w:t>
      </w:r>
    </w:p>
    <w:p>
      <w:pPr>
        <w:pStyle w:val="ListParagraph"/>
        <w:numPr>
          <w:ilvl w:val="0"/>
          <w:numId w:val="1"/>
        </w:numPr>
        <w:spacing w:after="80"/>
      </w:pPr>
      <w:r>
        <w:t xml:space="preserve">Modérateurs chargés de la validation des paiements ;</w:t>
      </w:r>
    </w:p>
    <w:p>
      <w:pPr>
        <w:pStyle w:val="ListParagraph"/>
        <w:numPr>
          <w:ilvl w:val="0"/>
          <w:numId w:val="1"/>
        </w:numPr>
        <w:spacing w:after="80"/>
      </w:pPr>
      <w:r>
        <w:t xml:space="preserve">Administrateurs de la salle.</w:t>
      </w:r>
    </w:p>
    <w:p>
      <w:pPr>
        <w:pStyle w:val="Heading1"/>
        <w:spacing w:after="150" w:before="300"/>
      </w:pPr>
      <w:r>
        <w:t xml:space="preserve">7. Origine des données</w:t>
      </w:r>
    </w:p>
    <w:p>
      <w:pPr>
        <w:spacing w:after="150"/>
      </w:pPr>
      <w:r>
        <w:t xml:space="preserve">Les données sont collectées directement auprès des personnes concernées, par saisie dans l'application mobile lors de l'inscription, de la souscription d'un abonnement, de l'envoi d'une preuve de paiement ou de la planification d'une séance.</w:t>
      </w:r>
    </w:p>
    <w:p>
      <w:pPr>
        <w:pStyle w:val="Heading1"/>
        <w:spacing w:after="150" w:before="300"/>
      </w:pPr>
      <w:r>
        <w:t xml:space="preserve">8. Durée de conservation</w:t>
      </w:r>
    </w:p>
    <w:p>
      <w:pPr>
        <w:spacing w:after="150"/>
      </w:pPr>
      <w:r>
        <w:t xml:space="preserve">Conformément à l'article 409, 5° et à l'article 433 du Code du numérique, les données ne sont conservées que pour la durée nécessaire aux finalités décrites.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1F5F9" w:val="clear"/>
          </w:tcPr>
          <w:p>
            <w:r>
              <w:rPr>
                <w:b/>
                <w:bCs/>
              </w:rPr>
              <w:t xml:space="preserve">Compte utilisateur (identité, contact)</w:t>
            </w:r>
          </w:p>
        </w:tc>
        <w:tc>
          <w:tcPr>
            <w:tcW w:type="dxa" w:w="6500"/>
          </w:tcPr>
          <w:p>
            <w:r>
              <w:rPr>
                <w:i w:val="false"/>
                <w:iCs w:val="false"/>
                <w:color w:val="000000"/>
              </w:rPr>
              <w:t xml:space="preserve">Durée de la relation avec Souplesse Fitness, puis archivage limité au délai de prescription légale applicable</w:t>
            </w:r>
          </w:p>
        </w:tc>
      </w:tr>
      <w:tr>
        <w:tc>
          <w:tcPr>
            <w:tcW w:type="dxa" w:w="3000"/>
            <w:shd w:fill="F1F5F9" w:val="clear"/>
          </w:tcPr>
          <w:p>
            <w:r>
              <w:rPr>
                <w:b/>
                <w:bCs/>
              </w:rPr>
              <w:t xml:space="preserve">Code OTP de vérification</w:t>
            </w:r>
          </w:p>
        </w:tc>
        <w:tc>
          <w:tcPr>
            <w:tcW w:type="dxa" w:w="6500"/>
          </w:tcPr>
          <w:p>
            <w:r>
              <w:rPr>
                <w:i w:val="false"/>
                <w:iCs w:val="false"/>
                <w:color w:val="000000"/>
              </w:rPr>
              <w:t xml:space="preserve">Supprimé après usage ou expiration (durée de vie de quelques minutes)</w:t>
            </w:r>
          </w:p>
        </w:tc>
      </w:tr>
      <w:tr>
        <w:tc>
          <w:tcPr>
            <w:tcW w:type="dxa" w:w="3000"/>
            <w:shd w:fill="F1F5F9" w:val="clear"/>
          </w:tcPr>
          <w:p>
            <w:r>
              <w:rPr>
                <w:b/>
                <w:bCs/>
              </w:rPr>
              <w:t xml:space="preserve">Preuve de paiement (capture d'écran)</w:t>
            </w:r>
          </w:p>
        </w:tc>
        <w:tc>
          <w:tcPr>
            <w:tcW w:type="dxa" w:w="6500"/>
          </w:tcPr>
          <w:p>
            <w:r>
              <w:rPr>
                <w:i w:val="false"/>
                <w:iCs w:val="false"/>
                <w:color w:val="000000"/>
              </w:rPr>
              <w:t xml:space="preserve">Supprimée immédiatement après validation ou rejet définitif de la demande</w:t>
            </w:r>
          </w:p>
        </w:tc>
      </w:tr>
      <w:tr>
        <w:tc>
          <w:tcPr>
            <w:tcW w:type="dxa" w:w="3000"/>
            <w:shd w:fill="F1F5F9" w:val="clear"/>
          </w:tcPr>
          <w:p>
            <w:r>
              <w:rPr>
                <w:b/>
                <w:bCs/>
              </w:rPr>
              <w:t xml:space="preserve">Historique d'abonnement (dates, statut)</w:t>
            </w:r>
          </w:p>
        </w:tc>
        <w:tc>
          <w:tcPr>
            <w:tcW w:type="dxa" w:w="6500"/>
          </w:tcPr>
          <w:p>
            <w:r>
              <w:rPr>
                <w:i w:val="false"/>
                <w:iCs w:val="false"/>
                <w:color w:val="000000"/>
              </w:rPr>
              <w:t xml:space="preserve">Conservé pour la durée de la relation contractuelle, à des fins de suivi et de preuve</w:t>
            </w:r>
          </w:p>
        </w:tc>
      </w:tr>
    </w:tbl>
    <w:p>
      <w:pPr>
        <w:pStyle w:val="Heading1"/>
        <w:spacing w:after="150" w:before="300"/>
      </w:pPr>
      <w:r>
        <w:t xml:space="preserve">9. Destinataires des données et personnes y ayant accès</w:t>
      </w:r>
    </w:p>
    <w:p>
      <w:pPr>
        <w:spacing w:after="150"/>
      </w:pPr>
      <w:r>
        <w:t xml:space="preserve">Conformément à l'article 409, 6° et 7° du Code du numérique.</w:t>
      </w:r>
    </w:p>
    <w:p>
      <w:pPr>
        <w:pStyle w:val="ListParagraph"/>
        <w:numPr>
          <w:ilvl w:val="0"/>
          <w:numId w:val="1"/>
        </w:numPr>
        <w:spacing w:after="80"/>
      </w:pPr>
      <w:r>
        <w:t xml:space="preserve">Le personnel de Souplesse Fitness habilité selon son rôle : Modérateur (preuves de paiement en attente de validation uniquement), Coach (données de planification de ses propres clients), Administrateur (vue globale) ;</w:t>
      </w:r>
    </w:p>
    <w:p>
      <w:pPr>
        <w:pStyle w:val="ListParagraph"/>
        <w:numPr>
          <w:ilvl w:val="0"/>
          <w:numId w:val="1"/>
        </w:numPr>
        <w:spacing w:after="80"/>
      </w:pPr>
      <w:r>
        <w:t xml:space="preserve">Le prestataire technique en charge du développement et de la maintenance de l'application ;</w:t>
      </w:r>
    </w:p>
    <w:p>
      <w:pPr>
        <w:pStyle w:val="ListParagraph"/>
        <w:numPr>
          <w:ilvl w:val="0"/>
          <w:numId w:val="1"/>
        </w:numPr>
        <w:spacing w:after="80"/>
      </w:pPr>
      <w:r>
        <w:t xml:space="preserve">Aucune donnée n'est vendue, louée ou communiquée à des tiers à des fins commerciales.</w:t>
      </w:r>
    </w:p>
    <w:p>
      <w:pPr>
        <w:pStyle w:val="Heading1"/>
        <w:spacing w:after="150" w:before="300"/>
      </w:pPr>
      <w:r>
        <w:t xml:space="preserve">10. Sous-traitants et prestataires techniques</w:t>
      </w:r>
    </w:p>
    <w:p>
      <w:pPr>
        <w:spacing w:after="150"/>
      </w:pPr>
      <w:r>
        <w:t xml:space="preserve">Liste des sous-traitants techniques impliqués dans le traitement, conformément à l'article 409, 10°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1F5F9" w:val="clear"/>
          </w:tcPr>
          <w:p>
            <w:r>
              <w:rPr>
                <w:b/>
                <w:bCs/>
              </w:rPr>
              <w:t xml:space="preserve">Neon</w:t>
            </w:r>
          </w:p>
        </w:tc>
        <w:tc>
          <w:tcPr>
            <w:tcW w:type="dxa" w:w="6500"/>
          </w:tcPr>
          <w:p>
            <w:r>
              <w:rPr>
                <w:i w:val="false"/>
                <w:iCs w:val="false"/>
                <w:color w:val="000000"/>
              </w:rPr>
              <w:t xml:space="preserve">Hébergement de la base de données (PostgreSQL)</w:t>
            </w:r>
          </w:p>
        </w:tc>
      </w:tr>
      <w:tr>
        <w:tc>
          <w:tcPr>
            <w:tcW w:type="dxa" w:w="3000"/>
            <w:shd w:fill="F1F5F9" w:val="clear"/>
          </w:tcPr>
          <w:p>
            <w:r>
              <w:rPr>
                <w:b/>
                <w:bCs/>
              </w:rPr>
              <w:t xml:space="preserve">Vercel</w:t>
            </w:r>
          </w:p>
        </w:tc>
        <w:tc>
          <w:tcPr>
            <w:tcW w:type="dxa" w:w="6500"/>
          </w:tcPr>
          <w:p>
            <w:r>
              <w:rPr>
                <w:i w:val="false"/>
                <w:iCs w:val="false"/>
                <w:color w:val="000000"/>
              </w:rPr>
              <w:t xml:space="preserve">Hébergement de l'API et de l'application web associée</w:t>
            </w:r>
          </w:p>
        </w:tc>
      </w:tr>
      <w:tr>
        <w:tc>
          <w:tcPr>
            <w:tcW w:type="dxa" w:w="3000"/>
            <w:shd w:fill="F1F5F9" w:val="clear"/>
          </w:tcPr>
          <w:p>
            <w:r>
              <w:rPr>
                <w:b/>
                <w:bCs/>
              </w:rPr>
              <w:t xml:space="preserve">Africa's Talking</w:t>
            </w:r>
          </w:p>
        </w:tc>
        <w:tc>
          <w:tcPr>
            <w:tcW w:type="dxa" w:w="6500"/>
          </w:tcPr>
          <w:p>
            <w:r>
              <w:rPr>
                <w:i w:val="false"/>
                <w:iCs w:val="false"/>
                <w:color w:val="000000"/>
              </w:rPr>
              <w:t xml:space="preserve">Envoi des SMS de vérification (OTP) et des SMS de notification</w:t>
            </w:r>
          </w:p>
        </w:tc>
      </w:tr>
      <w:tr>
        <w:tc>
          <w:tcPr>
            <w:tcW w:type="dxa" w:w="3000"/>
            <w:shd w:fill="F1F5F9" w:val="clear"/>
          </w:tcPr>
          <w:p>
            <w:r>
              <w:rPr>
                <w:b/>
                <w:bCs/>
              </w:rPr>
              <w:t xml:space="preserve">Expo (services Expo Push Notifications)</w:t>
            </w:r>
          </w:p>
        </w:tc>
        <w:tc>
          <w:tcPr>
            <w:tcW w:type="dxa" w:w="6500"/>
          </w:tcPr>
          <w:p>
            <w:r>
              <w:rPr>
                <w:i w:val="false"/>
                <w:iCs w:val="false"/>
                <w:color w:val="000000"/>
              </w:rPr>
              <w:t xml:space="preserve">Envoi des notifications push</w:t>
            </w:r>
          </w:p>
        </w:tc>
      </w:tr>
    </w:tbl>
    <w:p>
      <w:pPr>
        <w:spacing w:after="150"/>
      </w:pPr>
      <w:r>
        <w:t xml:space="preserve">Ces prestataires agissent en qualité de sous-traitants au sens du présent Code et sont tenus par leurs conditions contractuelles respectives à des obligations de sécurité et de confidentialité des données traitées pour le compte du responsable de traitement.</w:t>
      </w:r>
    </w:p>
    <w:p>
      <w:pPr>
        <w:pStyle w:val="Heading1"/>
        <w:spacing w:after="150" w:before="300"/>
      </w:pPr>
      <w:r>
        <w:t xml:space="preserve">11. Transferts de données à caractère personnel vers un État tiers</w:t>
      </w:r>
    </w:p>
    <w:p>
      <w:pPr>
        <w:spacing w:after="150"/>
      </w:pPr>
      <w:r>
        <w:t xml:space="preserve">Conformément à l'article 409, 11° et aux articles 391-392 du Code du numérique.</w:t>
      </w:r>
    </w:p>
    <w:p>
      <w:pPr>
        <w:spacing w:after="150"/>
      </w:pPr>
      <w:r>
        <w:t xml:space="preserve">Les prestataires techniques mentionnés à la section 10 hébergent tout ou partie de leur infrastructure en dehors du territoire de la République du Bénin. Ce transfert est nécessaire à la fourniture du service souscrit par la personne concernée (hébergement indispensable au fonctionnement de l'application) et s'effectue avec le consentement explicite de la personne concernée, recueilli lors de l'inscription et rappelé dans la politique de confidentialité de l'application (voir document joint).</w:t>
      </w:r>
    </w:p>
    <w:p>
      <w:pPr>
        <w:spacing w:after="150"/>
      </w:pPr>
      <w:r>
        <w:t xml:space="preserve">Ce transfert relève ainsi de l'exception prévue à l'article 392, alinéa 1, points 1 et 2 du Code du numérique (consentement explicite de la personne concernée ; transfert nécessaire à l'exécution du contrat conclu avec elle), le responsable du traitement n'ayant pas identifié, à la date de la présente déclaration, de décision de l'Autorité reconnaissant un niveau de protection adéquat pour les pays d'hébergement concernés.</w:t>
      </w:r>
    </w:p>
    <w:p>
      <w:pPr>
        <w:pStyle w:val="Heading1"/>
        <w:spacing w:after="150" w:before="300"/>
      </w:pPr>
      <w:r>
        <w:t xml:space="preserve">12. Mesures de sécurité mises en œuvre</w:t>
      </w:r>
    </w:p>
    <w:p>
      <w:pPr>
        <w:spacing w:after="150"/>
      </w:pPr>
      <w:r>
        <w:t xml:space="preserve">Conformément à l'article 409, 9° et à l'article 426 du Code du numérique.</w:t>
      </w:r>
    </w:p>
    <w:p>
      <w:pPr>
        <w:pStyle w:val="ListParagraph"/>
        <w:numPr>
          <w:ilvl w:val="0"/>
          <w:numId w:val="1"/>
        </w:numPr>
        <w:spacing w:after="80"/>
      </w:pPr>
      <w:r>
        <w:t xml:space="preserve">Chiffrement des mots de passe et des codes OTP (hachage, algorithme bcrypt) ;</w:t>
      </w:r>
    </w:p>
    <w:p>
      <w:pPr>
        <w:pStyle w:val="ListParagraph"/>
        <w:numPr>
          <w:ilvl w:val="0"/>
          <w:numId w:val="1"/>
        </w:numPr>
        <w:spacing w:after="80"/>
      </w:pPr>
      <w:r>
        <w:t xml:space="preserve">Chiffrement des communications entre l'application et l'API (TLS/HTTPS) ;</w:t>
      </w:r>
    </w:p>
    <w:p>
      <w:pPr>
        <w:pStyle w:val="ListParagraph"/>
        <w:numPr>
          <w:ilvl w:val="0"/>
          <w:numId w:val="1"/>
        </w:numPr>
        <w:spacing w:after="80"/>
      </w:pPr>
      <w:r>
        <w:t xml:space="preserve">Stockage sécurisé des jetons de session sur l'appareil mobile (expo-secure-store) ;</w:t>
      </w:r>
    </w:p>
    <w:p>
      <w:pPr>
        <w:pStyle w:val="ListParagraph"/>
        <w:numPr>
          <w:ilvl w:val="0"/>
          <w:numId w:val="1"/>
        </w:numPr>
        <w:spacing w:after="80"/>
      </w:pPr>
      <w:r>
        <w:t xml:space="preserve">Contrôle d'accès aux données selon le rôle de l'utilisateur (Client, Coach, Modérateur, Administrateur) ;</w:t>
      </w:r>
    </w:p>
    <w:p>
      <w:pPr>
        <w:pStyle w:val="ListParagraph"/>
        <w:numPr>
          <w:ilvl w:val="0"/>
          <w:numId w:val="1"/>
        </w:numPr>
        <w:spacing w:after="80"/>
      </w:pPr>
      <w:r>
        <w:t xml:space="preserve">Procédure de sauvegarde et de restauration de la base de données (Point-in-Time Recovery) ;</w:t>
      </w:r>
    </w:p>
    <w:p>
      <w:pPr>
        <w:pStyle w:val="ListParagraph"/>
        <w:numPr>
          <w:ilvl w:val="0"/>
          <w:numId w:val="1"/>
        </w:numPr>
        <w:spacing w:after="80"/>
      </w:pPr>
      <w:r>
        <w:t xml:space="preserve">Environnement de test/staging distinct de l'environnement de production ;</w:t>
      </w:r>
    </w:p>
    <w:p>
      <w:pPr>
        <w:pStyle w:val="ListParagraph"/>
        <w:numPr>
          <w:ilvl w:val="0"/>
          <w:numId w:val="1"/>
        </w:numPr>
        <w:spacing w:after="80"/>
      </w:pPr>
      <w:r>
        <w:t xml:space="preserve">Suppression systématique des preuves de paiement après traitement de la demande.</w:t>
      </w:r>
    </w:p>
    <w:p>
      <w:pPr>
        <w:pStyle w:val="Heading1"/>
        <w:spacing w:after="150" w:before="300"/>
      </w:pPr>
      <w:r>
        <w:t xml:space="preserve">13. Droits des personnes concernées et modalités d'exercice</w:t>
      </w:r>
    </w:p>
    <w:p>
      <w:pPr>
        <w:spacing w:after="150"/>
      </w:pPr>
      <w:r>
        <w:t xml:space="preserve">Conformément aux articles 415-416 et 437-441 du Code du numérique, les personnes concernées disposent d'un droit d'accès, de rectification, de suppression, d'opposition et de portabilité de leurs données.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1F5F9" w:val="clear"/>
          </w:tcPr>
          <w:p>
            <w:r>
              <w:rPr>
                <w:b/>
                <w:bCs/>
              </w:rPr>
              <w:t xml:space="preserve">Modalités d'exercice des droits</w:t>
            </w:r>
          </w:p>
        </w:tc>
        <w:tc>
          <w:tcPr>
            <w:tcW w:type="dxa" w:w="6500"/>
          </w:tcPr>
          <w:p>
            <w:r>
              <w:rPr>
                <w:i/>
                <w:iCs/>
                <w:color w:val="B45309"/>
              </w:rPr>
              <w:t xml:space="preserve">adresse email et/ou numéro de téléphone dédié à l'exercice des droits</w:t>
            </w:r>
          </w:p>
        </w:tc>
      </w:tr>
      <w:tr>
        <w:tc>
          <w:tcPr>
            <w:tcW w:type="dxa" w:w="3000"/>
            <w:shd w:fill="F1F5F9" w:val="clear"/>
          </w:tcPr>
          <w:p>
            <w:r>
              <w:rPr>
                <w:b/>
                <w:bCs/>
              </w:rPr>
              <w:t xml:space="preserve">Fonction/service désigné pour recevoir les demandes</w:t>
            </w:r>
          </w:p>
        </w:tc>
        <w:tc>
          <w:tcPr>
            <w:tcW w:type="dxa" w:w="6500"/>
          </w:tcPr>
          <w:p>
            <w:r>
              <w:rPr>
                <w:i/>
                <w:iCs/>
                <w:color w:val="B45309"/>
              </w:rPr>
              <w:t xml:space="preserve">fonction ou personne responsable au sein de Souplesse Fitness</w:t>
            </w:r>
          </w:p>
        </w:tc>
      </w:tr>
    </w:tbl>
    <w:p>
      <w:pPr>
        <w:spacing w:after="150"/>
      </w:pPr>
      <w:r>
        <w:t xml:space="preserve">Les personnes concernées sont informées qu'elles disposent également d'un droit d'introduire une réclamation auprès de l'Autorité de Protection des Données à caractère Personnel (APDP), conformément à l'article 448 du Code du numérique.</w:t>
      </w:r>
    </w:p>
    <w:p>
      <w:pPr>
        <w:pStyle w:val="Heading1"/>
        <w:spacing w:after="150" w:before="300"/>
      </w:pPr>
      <w:r>
        <w:t xml:space="preserve">14. Engagement de conformité</w:t>
      </w:r>
    </w:p>
    <w:p>
      <w:pPr>
        <w:spacing w:after="150"/>
      </w:pPr>
      <w:r>
        <w:t xml:space="preserve">Conformément à l'article 409, 12° du Code du numérique, le responsable du traitement s'engage à ce que le traitement décrit dans la présente déclaration soit conforme aux dispositions du Livre V du Code du numérique de la République du Bénin.</w:t>
      </w:r>
    </w:p>
    <w:p>
      <w:pPr>
        <w:spacing w:before="400"/>
      </w:pPr>
    </w:p>
    <w:p>
      <w:pPr>
        <w:spacing w:after="150"/>
      </w:pPr>
      <w:r>
        <w:t xml:space="preserve">Fait à </w:t>
      </w:r>
    </w:p>
    <w:p>
      <w:pPr>
        <w:spacing w:after="150"/>
      </w:pPr>
      <w:r>
        <w:rPr>
          <w:i/>
          <w:iCs/>
          <w:color w:val="B45309"/>
        </w:rPr>
        <w:t xml:space="preserve">[À COMPLÉTER : lieu]</w:t>
      </w:r>
    </w:p>
    <w:p>
      <w:pPr>
        <w:spacing w:after="150"/>
      </w:pPr>
      <w:r>
        <w:rPr>
          <w:i/>
          <w:iCs/>
          <w:color w:val="B45309"/>
        </w:rPr>
        <w:t xml:space="preserve">[À COMPLÉTER : date]</w:t>
      </w:r>
    </w:p>
    <w:p>
      <w:pPr>
        <w:spacing w:before="300"/>
      </w:pPr>
    </w:p>
    <w:p>
      <w:pPr>
        <w:spacing w:after="150"/>
      </w:pPr>
      <w:r>
        <w:t xml:space="preserve">Signature du responsable du traitement ou de son représentant légal :</w:t>
      </w:r>
    </w:p>
    <w:p>
      <w:pPr>
        <w:spacing w:before="600"/>
      </w:pPr>
    </w:p>
    <w:p>
      <w:pPr>
        <w:spacing w:after="150"/>
      </w:pPr>
      <w:r>
        <w:t xml:space="preserve">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2026-09-07T18:30:34.107Z</dcterms:created>
  <dcterms:modified xsi:type="dcterms:W3CDTF">2026-09-07T18:30:34.119Z</dcterms:modified>
</cp:coreProperties>
</file>

<file path=docProps/custom.xml><?xml version="1.0" encoding="utf-8"?>
<Properties xmlns="http://schemas.openxmlformats.org/officeDocument/2006/custom-properties" xmlns:vt="http://schemas.openxmlformats.org/officeDocument/2006/docPropsVTypes"/>
</file>