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/>
          <w:b/>
          <w:bCs/>
          <w:sz w:val="24"/>
          <w:szCs w:val="24"/>
        </w:rPr>
      </w:pPr>
    </w:p>
    <w:tbl>
      <w:tblPr>
        <w:tblStyle w:val="6"/>
        <w:tblW w:w="0" w:type="auto"/>
        <w:jc w:val="center"/>
        <w:tblCellSpacing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954"/>
        <w:gridCol w:w="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6" w:type="dxa"/>
          <w:tblCellSpacing w:w="0" w:type="dxa"/>
          <w:jc w:val="center"/>
        </w:trPr>
        <w:tc>
          <w:tcPr>
            <w:tcW w:w="198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  <w:jc w:val="center"/>
        </w:trPr>
        <w:tc>
          <w:tcPr>
            <w:tcW w:w="0" w:type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3761740" cy="1191260"/>
                  <wp:effectExtent l="19050" t="0" r="0" b="0"/>
                  <wp:docPr id="3" name="图片 1" descr="C:\Users\ADMINI~1\AppData\Local\Temp\ksohtml3088\wps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C:\Users\ADMINI~1\AppData\Local\Temp\ksohtml3088\wps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740" cy="1191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>
      <w:pPr>
        <w:jc w:val="center"/>
        <w:rPr>
          <w:rFonts w:hint="eastAsia" w:ascii="宋体" w:hAnsi="宋体"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 xml:space="preserve"> </w:t>
      </w:r>
    </w:p>
    <w:p>
      <w:pPr>
        <w:jc w:val="center"/>
        <w:rPr>
          <w:rFonts w:hint="eastAsia"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 xml:space="preserve"> 硕 士 研 究 生 读 书 报 告</w:t>
      </w:r>
    </w:p>
    <w:p>
      <w:pPr>
        <w:ind w:left="22" w:leftChars="-72" w:hanging="173" w:hangingChars="36"/>
        <w:jc w:val="center"/>
        <w:rPr>
          <w:rFonts w:hint="eastAsia"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 xml:space="preserve"> </w:t>
      </w:r>
    </w:p>
    <w:p>
      <w:pPr>
        <w:ind w:left="-76" w:leftChars="-72" w:hanging="75" w:hangingChars="36"/>
        <w:jc w:val="center"/>
        <w:rPr>
          <w:rFonts w:hint="eastAsia" w:ascii="宋体" w:hAnsi="宋体"/>
          <w:sz w:val="44"/>
          <w:szCs w:val="44"/>
        </w:rPr>
      </w:pPr>
      <w:r>
        <w:drawing>
          <wp:inline distT="0" distB="0" distL="0" distR="0">
            <wp:extent cx="1330325" cy="1330325"/>
            <wp:effectExtent l="19050" t="0" r="3175" b="0"/>
            <wp:docPr id="2" name="图片 2" descr="C:\Users\ADMINI~1\AppData\Local\Temp\ksohtml3088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ksohtml3088\wps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44"/>
          <w:szCs w:val="44"/>
        </w:rPr>
        <w:t xml:space="preserve"> </w:t>
      </w:r>
    </w:p>
    <w:p>
      <w:pPr>
        <w:jc w:val="center"/>
        <w:rPr>
          <w:rFonts w:hint="eastAsia"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 xml:space="preserve"> </w:t>
      </w:r>
    </w:p>
    <w:p>
      <w:pPr>
        <w:ind w:left="2125" w:leftChars="1012"/>
        <w:rPr>
          <w:rFonts w:hint="eastAsia" w:ascii="仿宋_GB2312" w:hAnsi="宋体" w:eastAsia="仿宋_GB2312"/>
          <w:spacing w:val="5"/>
          <w:kern w:val="0"/>
          <w:sz w:val="28"/>
          <w:szCs w:val="28"/>
          <w:u w:val="single"/>
        </w:rPr>
      </w:pPr>
      <w:r>
        <w:rPr>
          <w:rFonts w:hint="eastAsia" w:ascii="仿宋_GB2312" w:hAnsi="宋体" w:eastAsia="仿宋_GB2312"/>
          <w:spacing w:val="5"/>
          <w:kern w:val="0"/>
          <w:sz w:val="32"/>
          <w:szCs w:val="32"/>
        </w:rPr>
        <w:t>题目</w:t>
      </w:r>
      <w:r>
        <w:rPr>
          <w:rFonts w:ascii="仿宋_GB2312" w:hAnsi="宋体" w:eastAsia="仿宋_GB2312"/>
          <w:spacing w:val="5"/>
          <w:kern w:val="0"/>
          <w:sz w:val="28"/>
          <w:szCs w:val="28"/>
          <w:u w:val="single"/>
        </w:rPr>
        <w:t>Prototype implementation of</w:t>
      </w:r>
    </w:p>
    <w:p>
      <w:pPr>
        <w:ind w:left="2125" w:leftChars="1012" w:firstLine="725" w:firstLineChars="250"/>
        <w:rPr>
          <w:rFonts w:hint="eastAsia" w:ascii="仿宋_GB2312" w:hAnsi="宋体" w:eastAsia="仿宋_GB2312"/>
          <w:spacing w:val="5"/>
          <w:kern w:val="0"/>
          <w:sz w:val="28"/>
          <w:szCs w:val="28"/>
          <w:u w:val="single"/>
        </w:rPr>
      </w:pPr>
      <w:r>
        <w:rPr>
          <w:rFonts w:ascii="仿宋_GB2312" w:hAnsi="宋体" w:eastAsia="仿宋_GB2312"/>
          <w:spacing w:val="5"/>
          <w:kern w:val="0"/>
          <w:sz w:val="28"/>
          <w:szCs w:val="28"/>
          <w:u w:val="single"/>
        </w:rPr>
        <w:t>the OpenGL ES 2.0 shading</w:t>
      </w:r>
      <w:r>
        <w:rPr>
          <w:rFonts w:hint="eastAsia" w:ascii="仿宋_GB2312" w:hAnsi="宋体" w:eastAsia="仿宋_GB2312"/>
          <w:spacing w:val="5"/>
          <w:kern w:val="0"/>
          <w:sz w:val="28"/>
          <w:szCs w:val="28"/>
          <w:u w:val="single"/>
        </w:rPr>
        <w:t xml:space="preserve"> </w:t>
      </w:r>
    </w:p>
    <w:p>
      <w:pPr>
        <w:ind w:left="2125" w:leftChars="1012" w:firstLine="725" w:firstLineChars="250"/>
        <w:rPr>
          <w:rFonts w:hint="eastAsia" w:ascii="仿宋_GB2312" w:hAnsi="宋体" w:eastAsia="仿宋_GB2312"/>
          <w:spacing w:val="5"/>
          <w:kern w:val="0"/>
          <w:sz w:val="28"/>
          <w:szCs w:val="28"/>
          <w:u w:val="single"/>
        </w:rPr>
      </w:pPr>
      <w:r>
        <w:rPr>
          <w:rFonts w:ascii="仿宋_GB2312" w:hAnsi="宋体" w:eastAsia="仿宋_GB2312"/>
          <w:spacing w:val="5"/>
          <w:kern w:val="0"/>
          <w:sz w:val="28"/>
          <w:szCs w:val="28"/>
          <w:u w:val="single"/>
        </w:rPr>
        <w:t>language offline compiler</w:t>
      </w:r>
      <w:r>
        <w:rPr>
          <w:rFonts w:hint="eastAsia" w:ascii="仿宋_GB2312" w:hAnsi="宋体" w:eastAsia="仿宋_GB2312"/>
          <w:spacing w:val="5"/>
          <w:kern w:val="0"/>
          <w:sz w:val="32"/>
          <w:szCs w:val="32"/>
          <w:u w:val="single"/>
        </w:rPr>
        <w:t xml:space="preserve"> </w:t>
      </w:r>
    </w:p>
    <w:p>
      <w:pPr>
        <w:rPr>
          <w:rFonts w:hint="eastAsia" w:ascii="宋体" w:hAnsi="宋体"/>
          <w:u w:val="single"/>
        </w:rPr>
      </w:pPr>
      <w:r>
        <w:rPr>
          <w:rFonts w:hint="eastAsia" w:ascii="宋体" w:hAnsi="宋体"/>
          <w:u w:val="single"/>
        </w:rPr>
        <w:t xml:space="preserve"> </w:t>
      </w:r>
    </w:p>
    <w:p>
      <w:pPr>
        <w:ind w:left="2125" w:leftChars="1012"/>
        <w:rPr>
          <w:rFonts w:hint="eastAsia" w:ascii="仿宋_GB2312" w:hAnsi="楷体" w:eastAsia="仿宋_GB2312"/>
          <w:sz w:val="28"/>
          <w:szCs w:val="28"/>
          <w:u w:val="single"/>
        </w:rPr>
      </w:pPr>
      <w:r>
        <w:rPr>
          <w:rFonts w:hint="eastAsia" w:ascii="仿宋_GB2312" w:hAnsi="宋体" w:eastAsia="仿宋_GB2312"/>
          <w:spacing w:val="5"/>
          <w:kern w:val="0"/>
          <w:sz w:val="28"/>
          <w:szCs w:val="28"/>
        </w:rPr>
        <w:t>作者姓名</w:t>
      </w:r>
      <w:r>
        <w:rPr>
          <w:rFonts w:hint="eastAsia" w:ascii="仿宋_GB2312" w:hAnsi="宋体" w:eastAsia="仿宋_GB2312"/>
          <w:spacing w:val="5"/>
          <w:kern w:val="0"/>
          <w:sz w:val="30"/>
          <w:szCs w:val="30"/>
        </w:rPr>
        <w:t xml:space="preserve"> </w:t>
      </w:r>
      <w:r>
        <w:rPr>
          <w:rFonts w:hint="eastAsia" w:ascii="仿宋_GB2312" w:hAnsi="宋体" w:eastAsia="仿宋_GB2312"/>
          <w:spacing w:val="5"/>
          <w:kern w:val="0"/>
          <w:sz w:val="30"/>
          <w:szCs w:val="30"/>
          <w:u w:val="single"/>
        </w:rPr>
        <w:t xml:space="preserve">   </w:t>
      </w:r>
      <w:r>
        <w:rPr>
          <w:rFonts w:hint="eastAsia" w:ascii="仿宋_GB2312" w:hAnsi="宋体" w:eastAsia="仿宋_GB2312"/>
          <w:sz w:val="30"/>
          <w:szCs w:val="30"/>
          <w:u w:val="single"/>
        </w:rPr>
        <w:t xml:space="preserve"> </w:t>
      </w:r>
      <w:r>
        <w:rPr>
          <w:rFonts w:hint="eastAsia" w:ascii="仿宋_GB2312" w:hAnsi="楷体" w:eastAsia="仿宋_GB2312"/>
          <w:sz w:val="28"/>
          <w:szCs w:val="28"/>
          <w:u w:val="single"/>
        </w:rPr>
        <w:t xml:space="preserve"> 邵晗琦   </w:t>
      </w:r>
      <w:r>
        <w:rPr>
          <w:rFonts w:hint="eastAsia" w:ascii="仿宋_GB2312" w:hAnsi="宋体" w:eastAsia="仿宋_GB2312"/>
          <w:sz w:val="30"/>
          <w:szCs w:val="30"/>
          <w:u w:val="single"/>
        </w:rPr>
        <w:t xml:space="preserve"> </w:t>
      </w:r>
      <w:r>
        <w:rPr>
          <w:rFonts w:hint="eastAsia" w:ascii="仿宋_GB2312" w:hAnsi="楷体" w:eastAsia="仿宋_GB2312"/>
          <w:sz w:val="28"/>
          <w:szCs w:val="28"/>
          <w:u w:val="single"/>
        </w:rPr>
        <w:t xml:space="preserve">    </w:t>
      </w:r>
    </w:p>
    <w:p>
      <w:pPr>
        <w:ind w:left="2125" w:leftChars="1012"/>
        <w:rPr>
          <w:rFonts w:hint="eastAsia" w:ascii="仿宋_GB2312" w:hAnsi="楷体" w:eastAsia="仿宋_GB2312"/>
          <w:sz w:val="28"/>
          <w:szCs w:val="28"/>
          <w:u w:val="single"/>
        </w:rPr>
      </w:pPr>
      <w:r>
        <w:rPr>
          <w:rFonts w:hint="eastAsia" w:ascii="仿宋_GB2312" w:hAnsi="宋体" w:eastAsia="仿宋_GB2312"/>
          <w:spacing w:val="5"/>
          <w:kern w:val="0"/>
          <w:sz w:val="28"/>
          <w:szCs w:val="28"/>
        </w:rPr>
        <w:t>作者学号</w:t>
      </w:r>
      <w:r>
        <w:rPr>
          <w:rFonts w:hint="eastAsia" w:ascii="仿宋_GB2312" w:hAnsi="宋体" w:eastAsia="仿宋_GB2312"/>
          <w:sz w:val="30"/>
          <w:szCs w:val="30"/>
        </w:rPr>
        <w:t xml:space="preserve"> </w:t>
      </w:r>
      <w:r>
        <w:rPr>
          <w:rFonts w:hint="eastAsia" w:ascii="仿宋_GB2312" w:hAnsi="宋体" w:eastAsia="仿宋_GB2312"/>
          <w:spacing w:val="5"/>
          <w:kern w:val="0"/>
          <w:sz w:val="30"/>
          <w:szCs w:val="30"/>
          <w:u w:val="single"/>
        </w:rPr>
        <w:t xml:space="preserve"> </w:t>
      </w:r>
      <w:r>
        <w:rPr>
          <w:rFonts w:hint="eastAsia" w:ascii="仿宋_GB2312" w:hAnsi="宋体" w:eastAsia="仿宋_GB2312"/>
          <w:sz w:val="30"/>
          <w:szCs w:val="30"/>
          <w:u w:val="single"/>
        </w:rPr>
        <w:t xml:space="preserve"> </w:t>
      </w:r>
      <w:r>
        <w:rPr>
          <w:rFonts w:hint="eastAsia" w:ascii="仿宋_GB2312" w:hAnsi="楷体" w:eastAsia="仿宋_GB2312"/>
          <w:sz w:val="28"/>
          <w:szCs w:val="28"/>
          <w:u w:val="single"/>
        </w:rPr>
        <w:t xml:space="preserve">   21951119</w:t>
      </w:r>
      <w:r>
        <w:rPr>
          <w:rFonts w:hint="eastAsia" w:ascii="仿宋_GB2312" w:hAnsi="宋体" w:eastAsia="仿宋_GB2312"/>
          <w:spacing w:val="5"/>
          <w:kern w:val="0"/>
          <w:sz w:val="30"/>
          <w:szCs w:val="30"/>
          <w:u w:val="single"/>
        </w:rPr>
        <w:t xml:space="preserve"> </w:t>
      </w:r>
      <w:r>
        <w:rPr>
          <w:rFonts w:hint="eastAsia" w:ascii="仿宋_GB2312" w:hAnsi="宋体" w:eastAsia="仿宋_GB2312"/>
          <w:sz w:val="30"/>
          <w:szCs w:val="30"/>
          <w:u w:val="single"/>
        </w:rPr>
        <w:t xml:space="preserve"> </w:t>
      </w:r>
      <w:r>
        <w:rPr>
          <w:rFonts w:hint="eastAsia" w:ascii="仿宋_GB2312" w:hAnsi="楷体" w:eastAsia="仿宋_GB2312"/>
          <w:sz w:val="28"/>
          <w:szCs w:val="28"/>
          <w:u w:val="single"/>
        </w:rPr>
        <w:t xml:space="preserve">    </w:t>
      </w:r>
    </w:p>
    <w:p>
      <w:pPr>
        <w:ind w:left="2125" w:leftChars="1012"/>
        <w:rPr>
          <w:rFonts w:hint="eastAsia" w:ascii="仿宋_GB2312" w:hAnsi="宋体" w:eastAsia="仿宋_GB2312"/>
          <w:sz w:val="32"/>
          <w:szCs w:val="32"/>
          <w:u w:val="single"/>
        </w:rPr>
      </w:pPr>
      <w:r>
        <w:rPr>
          <w:rFonts w:hint="eastAsia" w:ascii="仿宋_GB2312" w:hAnsi="宋体" w:eastAsia="仿宋_GB2312"/>
          <w:spacing w:val="5"/>
          <w:kern w:val="0"/>
          <w:sz w:val="28"/>
          <w:szCs w:val="28"/>
        </w:rPr>
        <w:t xml:space="preserve">指导教师 </w:t>
      </w:r>
      <w:r>
        <w:rPr>
          <w:rFonts w:hint="eastAsia" w:ascii="仿宋_GB2312" w:hAnsi="宋体" w:eastAsia="仿宋_GB2312"/>
          <w:spacing w:val="5"/>
          <w:kern w:val="0"/>
          <w:sz w:val="30"/>
          <w:szCs w:val="30"/>
          <w:u w:val="single"/>
        </w:rPr>
        <w:t xml:space="preserve"> </w:t>
      </w:r>
      <w:r>
        <w:rPr>
          <w:rFonts w:hint="eastAsia" w:ascii="仿宋_GB2312" w:hAnsi="宋体" w:eastAsia="仿宋_GB2312"/>
          <w:sz w:val="30"/>
          <w:szCs w:val="30"/>
          <w:u w:val="single"/>
        </w:rPr>
        <w:t xml:space="preserve"> </w:t>
      </w:r>
      <w:r>
        <w:rPr>
          <w:rFonts w:hint="eastAsia" w:ascii="仿宋_GB2312" w:hAnsi="楷体" w:eastAsia="仿宋_GB2312"/>
          <w:sz w:val="28"/>
          <w:szCs w:val="28"/>
          <w:u w:val="single"/>
        </w:rPr>
        <w:t xml:space="preserve">    李启雷 </w:t>
      </w:r>
      <w:r>
        <w:rPr>
          <w:rFonts w:hint="eastAsia" w:ascii="仿宋_GB2312" w:hAnsi="宋体" w:eastAsia="仿宋_GB2312"/>
          <w:spacing w:val="5"/>
          <w:kern w:val="0"/>
          <w:sz w:val="30"/>
          <w:szCs w:val="30"/>
          <w:u w:val="single"/>
        </w:rPr>
        <w:t xml:space="preserve"> </w:t>
      </w:r>
      <w:r>
        <w:rPr>
          <w:rFonts w:hint="eastAsia" w:ascii="仿宋_GB2312" w:hAnsi="宋体" w:eastAsia="仿宋_GB2312"/>
          <w:sz w:val="30"/>
          <w:szCs w:val="30"/>
          <w:u w:val="single"/>
        </w:rPr>
        <w:t xml:space="preserve"> </w:t>
      </w:r>
      <w:r>
        <w:rPr>
          <w:rFonts w:hint="eastAsia" w:ascii="仿宋_GB2312" w:hAnsi="楷体" w:eastAsia="仿宋_GB2312"/>
          <w:sz w:val="28"/>
          <w:szCs w:val="28"/>
          <w:u w:val="single"/>
        </w:rPr>
        <w:t xml:space="preserve">    </w:t>
      </w:r>
    </w:p>
    <w:p>
      <w:pPr>
        <w:ind w:left="2125" w:leftChars="1012"/>
        <w:rPr>
          <w:rFonts w:hint="eastAsia" w:ascii="仿宋_GB2312" w:hAnsi="楷体" w:eastAsia="仿宋_GB2312"/>
          <w:sz w:val="28"/>
          <w:szCs w:val="28"/>
          <w:u w:val="single"/>
        </w:rPr>
      </w:pPr>
      <w:r>
        <w:rPr>
          <w:rFonts w:hint="eastAsia" w:ascii="仿宋_GB2312" w:hAnsi="宋体" w:eastAsia="仿宋_GB2312"/>
          <w:spacing w:val="5"/>
          <w:kern w:val="0"/>
          <w:sz w:val="28"/>
          <w:szCs w:val="28"/>
        </w:rPr>
        <w:t xml:space="preserve">学科专业 </w:t>
      </w:r>
      <w:r>
        <w:rPr>
          <w:rFonts w:hint="eastAsia" w:ascii="仿宋_GB2312" w:hAnsi="宋体" w:eastAsia="仿宋_GB2312"/>
          <w:spacing w:val="5"/>
          <w:kern w:val="0"/>
          <w:sz w:val="30"/>
          <w:szCs w:val="30"/>
          <w:u w:val="single"/>
        </w:rPr>
        <w:t xml:space="preserve"> </w:t>
      </w:r>
      <w:r>
        <w:rPr>
          <w:rFonts w:hint="eastAsia" w:ascii="仿宋_GB2312" w:hAnsi="宋体" w:eastAsia="仿宋_GB2312"/>
          <w:sz w:val="30"/>
          <w:szCs w:val="30"/>
          <w:u w:val="single"/>
        </w:rPr>
        <w:t xml:space="preserve"> </w:t>
      </w:r>
      <w:r>
        <w:rPr>
          <w:rFonts w:hint="eastAsia" w:ascii="仿宋_GB2312" w:hAnsi="楷体" w:eastAsia="仿宋_GB2312"/>
          <w:sz w:val="28"/>
          <w:szCs w:val="28"/>
          <w:u w:val="single"/>
        </w:rPr>
        <w:t xml:space="preserve">   软件工程</w:t>
      </w:r>
      <w:r>
        <w:rPr>
          <w:rFonts w:hint="eastAsia" w:ascii="仿宋_GB2312" w:hAnsi="宋体" w:eastAsia="仿宋_GB2312"/>
          <w:spacing w:val="5"/>
          <w:kern w:val="0"/>
          <w:sz w:val="30"/>
          <w:szCs w:val="30"/>
          <w:u w:val="single"/>
        </w:rPr>
        <w:t xml:space="preserve"> </w:t>
      </w:r>
      <w:r>
        <w:rPr>
          <w:rFonts w:hint="eastAsia" w:ascii="仿宋_GB2312" w:hAnsi="宋体" w:eastAsia="仿宋_GB2312"/>
          <w:sz w:val="30"/>
          <w:szCs w:val="30"/>
          <w:u w:val="single"/>
        </w:rPr>
        <w:t xml:space="preserve"> </w:t>
      </w:r>
      <w:r>
        <w:rPr>
          <w:rFonts w:hint="eastAsia" w:ascii="仿宋_GB2312" w:hAnsi="楷体" w:eastAsia="仿宋_GB2312"/>
          <w:sz w:val="28"/>
          <w:szCs w:val="28"/>
          <w:u w:val="single"/>
        </w:rPr>
        <w:t xml:space="preserve">    </w:t>
      </w:r>
    </w:p>
    <w:p>
      <w:pPr>
        <w:ind w:left="2125" w:leftChars="1012"/>
        <w:rPr>
          <w:rFonts w:hint="eastAsia" w:ascii="仿宋_GB2312" w:hAnsi="宋体" w:eastAsia="仿宋_GB2312"/>
          <w:spacing w:val="5"/>
          <w:kern w:val="0"/>
          <w:sz w:val="28"/>
          <w:szCs w:val="28"/>
        </w:rPr>
      </w:pPr>
      <w:r>
        <w:rPr>
          <w:rFonts w:hint="eastAsia" w:ascii="仿宋_GB2312" w:hAnsi="宋体" w:eastAsia="仿宋_GB2312"/>
          <w:spacing w:val="5"/>
          <w:kern w:val="0"/>
          <w:sz w:val="28"/>
          <w:szCs w:val="28"/>
        </w:rPr>
        <w:t xml:space="preserve">所在学院 </w:t>
      </w:r>
      <w:r>
        <w:rPr>
          <w:rFonts w:hint="eastAsia" w:ascii="仿宋_GB2312" w:hAnsi="宋体" w:eastAsia="仿宋_GB2312"/>
          <w:spacing w:val="5"/>
          <w:kern w:val="0"/>
          <w:sz w:val="28"/>
          <w:szCs w:val="28"/>
          <w:u w:val="single"/>
        </w:rPr>
        <w:t xml:space="preserve">    软件学院       </w:t>
      </w:r>
    </w:p>
    <w:p>
      <w:pPr>
        <w:ind w:left="2125" w:leftChars="1012"/>
        <w:rPr>
          <w:rFonts w:hint="eastAsia" w:ascii="仿宋_GB2312" w:hAnsi="宋体" w:eastAsia="仿宋_GB2312"/>
          <w:spacing w:val="5"/>
          <w:kern w:val="0"/>
          <w:sz w:val="28"/>
          <w:szCs w:val="28"/>
        </w:rPr>
      </w:pPr>
      <w:r>
        <w:rPr>
          <w:rFonts w:hint="eastAsia" w:ascii="仿宋_GB2312" w:hAnsi="宋体" w:eastAsia="仿宋_GB2312"/>
          <w:spacing w:val="5"/>
          <w:kern w:val="0"/>
          <w:sz w:val="28"/>
          <w:szCs w:val="28"/>
        </w:rPr>
        <w:t xml:space="preserve">提交日期 </w:t>
      </w:r>
      <w:r>
        <w:rPr>
          <w:rFonts w:hint="eastAsia" w:ascii="仿宋_GB2312" w:hAnsi="宋体" w:eastAsia="仿宋_GB2312"/>
          <w:spacing w:val="5"/>
          <w:kern w:val="0"/>
          <w:sz w:val="28"/>
          <w:szCs w:val="28"/>
          <w:u w:val="single"/>
        </w:rPr>
        <w:t xml:space="preserve">   二○一九 年12月  </w:t>
      </w:r>
      <w:r>
        <w:rPr>
          <w:rFonts w:hint="eastAsia" w:ascii="仿宋_GB2312" w:hAnsi="宋体" w:eastAsia="仿宋_GB2312"/>
          <w:spacing w:val="5"/>
          <w:kern w:val="0"/>
          <w:sz w:val="28"/>
          <w:szCs w:val="28"/>
        </w:rPr>
        <w:t xml:space="preserve"> </w:t>
      </w:r>
    </w:p>
    <w:p>
      <w:pPr>
        <w:rPr>
          <w:rFonts w:hint="eastAsia" w:ascii="宋体" w:hAnsi="宋体"/>
          <w:kern w:val="0"/>
          <w:u w:val="single"/>
        </w:rPr>
      </w:pPr>
      <w:r>
        <w:rPr>
          <w:rFonts w:hint="eastAsia" w:ascii="宋体" w:hAnsi="宋体"/>
          <w:kern w:val="0"/>
          <w:u w:val="single"/>
        </w:rPr>
        <w:t xml:space="preserve"> </w:t>
      </w:r>
    </w:p>
    <w:p>
      <w:pPr>
        <w:pStyle w:val="4"/>
        <w:ind w:firstLine="4054" w:firstLineChars="1346"/>
        <w:jc w:val="both"/>
        <w:rPr>
          <w:rFonts w:hint="eastAsia" w:ascii="仿宋_GB2312" w:hAnsi="宋体" w:eastAsia="仿宋_GB2312"/>
          <w:sz w:val="30"/>
          <w:szCs w:val="30"/>
        </w:rPr>
      </w:pPr>
      <w:r>
        <w:rPr>
          <w:rFonts w:hint="eastAsia" w:ascii="仿宋_GB2312" w:hAnsi="宋体" w:eastAsia="仿宋_GB2312"/>
          <w:sz w:val="30"/>
          <w:szCs w:val="30"/>
        </w:rPr>
        <w:t>摘要</w:t>
      </w:r>
    </w:p>
    <w:p>
      <w:pPr>
        <w:pStyle w:val="5"/>
        <w:spacing w:after="0" w:line="360" w:lineRule="auto"/>
        <w:ind w:firstLine="480" w:firstLineChars="200"/>
        <w:rPr>
          <w:rFonts w:hint="eastAsia" w:ascii="仿宋_GB2312" w:eastAsia="仿宋_GB2312"/>
          <w:sz w:val="24"/>
          <w:szCs w:val="24"/>
        </w:rPr>
      </w:pPr>
      <w:r>
        <w:rPr>
          <w:rFonts w:hint="eastAsia" w:ascii="仿宋_GB2312" w:eastAsia="仿宋_GB2312"/>
          <w:sz w:val="24"/>
          <w:szCs w:val="24"/>
        </w:rPr>
        <w:t>本文重点讨论了针对OpenGL着色语言离线编译器的设计方案。在最新的3D图形库（包括OpenGL和OpenGLES）中，提供了可编译的渲染管线，要使用这些管线，自然需要专门的编程语言，这种语言在OpenGL中被称为着色器语言。本文在现有的OpenGL着色语言的基础上，设计并实现了一种针对着色器语言的离线编译器设计方案，用于对离线编译器原型的实现。</w:t>
      </w:r>
    </w:p>
    <w:p>
      <w:pPr>
        <w:pStyle w:val="5"/>
        <w:spacing w:after="0" w:line="360" w:lineRule="auto"/>
        <w:ind w:firstLine="472" w:firstLineChars="196"/>
        <w:rPr>
          <w:rFonts w:hint="eastAsia" w:ascii="仿宋_GB2312" w:hAnsi="宋体" w:eastAsia="仿宋_GB2312"/>
          <w:sz w:val="24"/>
          <w:szCs w:val="24"/>
        </w:rPr>
      </w:pPr>
      <w:r>
        <w:rPr>
          <w:rFonts w:hint="eastAsia" w:ascii="仿宋_GB2312" w:hAnsi="黑体" w:eastAsia="仿宋_GB2312"/>
          <w:b/>
          <w:bCs/>
          <w:sz w:val="24"/>
          <w:szCs w:val="24"/>
        </w:rPr>
        <w:t>关键词</w:t>
      </w:r>
      <w:r>
        <w:rPr>
          <w:rFonts w:hint="eastAsia" w:ascii="仿宋_GB2312" w:hAnsi="宋体" w:eastAsia="仿宋_GB2312"/>
          <w:sz w:val="24"/>
          <w:szCs w:val="24"/>
        </w:rPr>
        <w:t>：OpenGL ES， 着色语言，离线编译器</w:t>
      </w:r>
    </w:p>
    <w:p>
      <w:pPr>
        <w:pStyle w:val="5"/>
        <w:spacing w:after="0"/>
        <w:ind w:firstLine="0" w:firstLineChars="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4"/>
        <w:spacing w:before="0" w:after="0" w:line="360" w:lineRule="auto"/>
        <w:rPr>
          <w:rFonts w:hint="eastAsia" w:ascii="黑体" w:hAnsi="黑体"/>
          <w:sz w:val="30"/>
          <w:szCs w:val="30"/>
        </w:rPr>
      </w:pPr>
      <w:r>
        <w:rPr>
          <w:sz w:val="30"/>
          <w:szCs w:val="30"/>
        </w:rPr>
        <w:t>Abstract</w:t>
      </w:r>
    </w:p>
    <w:p>
      <w:pPr>
        <w:pStyle w:val="5"/>
        <w:spacing w:after="0" w:line="360" w:lineRule="auto"/>
        <w:ind w:firstLineChars="200"/>
        <w:rPr>
          <w:rFonts w:hint="eastAsia"/>
        </w:rPr>
      </w:pPr>
      <w:r>
        <w:t xml:space="preserve">The paper </w:t>
      </w:r>
      <w:r>
        <w:rPr>
          <w:rFonts w:hint="eastAsia"/>
        </w:rPr>
        <w:t xml:space="preserve">focuses on the </w:t>
      </w:r>
      <w:r>
        <w:t>design</w:t>
      </w:r>
      <w:r>
        <w:rPr>
          <w:rFonts w:hint="eastAsia"/>
        </w:rPr>
        <w:t xml:space="preserve"> of an offline compiler for the OpenGL shading language.Compilable rendering pipelines are provided in the latest 3D graphics libraries(including OpenGL and OpenGL ES).To use these pipelines, a</w:t>
      </w:r>
      <w:r>
        <w:t xml:space="preserve"> specialized programming language is naturally required</w:t>
      </w:r>
      <w:r>
        <w:rPr>
          <w:rFonts w:hint="eastAsia"/>
        </w:rPr>
        <w:t>, which is</w:t>
      </w:r>
      <w:r>
        <w:t xml:space="preserve"> called </w:t>
      </w:r>
      <w:r>
        <w:rPr>
          <w:rFonts w:hint="eastAsia"/>
        </w:rPr>
        <w:t>S</w:t>
      </w:r>
      <w:r>
        <w:t>had</w:t>
      </w:r>
      <w:r>
        <w:rPr>
          <w:rFonts w:hint="eastAsia"/>
        </w:rPr>
        <w:t>ing</w:t>
      </w:r>
      <w:r>
        <w:t xml:space="preserve"> language. Based on the existing OpenGL shading language, this paper designs and implements an offline compiler design solution for the shader language, which is used to implement the offline compiler prototype.</w:t>
      </w:r>
    </w:p>
    <w:p>
      <w:pPr>
        <w:pStyle w:val="5"/>
        <w:spacing w:after="0" w:line="360" w:lineRule="auto"/>
        <w:ind w:firstLineChars="0"/>
      </w:pPr>
      <w:r>
        <w:rPr>
          <w:rFonts w:eastAsia="黑体"/>
          <w:b/>
          <w:bCs/>
        </w:rPr>
        <w:t>Keywords</w:t>
      </w:r>
      <w:r>
        <w:rPr>
          <w:rFonts w:ascii="黑体" w:hAnsi="黑体" w:eastAsia="黑体"/>
          <w:b/>
          <w:bCs/>
        </w:rPr>
        <w:t>：</w:t>
      </w:r>
      <w:r>
        <w:rPr>
          <w:rFonts w:hint="eastAsia"/>
        </w:rPr>
        <w:t>OenGL ES   Shading language   Offline compiler</w:t>
      </w:r>
    </w:p>
    <w:p>
      <w:pPr>
        <w:pStyle w:val="5"/>
        <w:spacing w:after="0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4"/>
        <w:spacing w:before="0" w:after="0" w:line="360" w:lineRule="auto"/>
        <w:jc w:val="both"/>
        <w:rPr>
          <w:rFonts w:eastAsia="仿宋_GB2312"/>
          <w:sz w:val="30"/>
          <w:szCs w:val="30"/>
        </w:rPr>
      </w:pPr>
      <w:r>
        <w:rPr>
          <w:rFonts w:eastAsia="仿宋_GB2312"/>
          <w:sz w:val="30"/>
          <w:szCs w:val="30"/>
        </w:rPr>
        <w:t>1</w:t>
      </w:r>
      <w:r>
        <w:rPr>
          <w:rFonts w:ascii="仿宋_GB2312" w:eastAsia="仿宋_GB2312"/>
          <w:sz w:val="30"/>
          <w:szCs w:val="30"/>
        </w:rPr>
        <w:t>引言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OpenGL(Open Graphics Library)是用于渲染2D、3D矢量图形的一种跨语言、跨平台的应用程序编程接口，通过调用各种函数，绘制从简单的图像比特到复杂的三维景象，是一种功能强大且调用方便的底层图形库。针对手机、平板电脑等嵌入式设备，OpenGL还提供了OpenGL ES版本，它是OpenGL的一个子集，在移动设备上进行图形图像处理时，它的优势更能体现出来。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OpenGL Shading Language（GLSL）是OpenGL的着色器语言，它是一种高级的图形编程语言，在OpenGL2.0版本开始成为其底核，具有重要的作用。GLSL源自于应用广泛的C语言，并吸收了包括RendeMan等着色语言的优良特性，完美支持对向量和矩阵的各种操作，通过类型限定符管理输入与输出。同时，它也提供了多种API函数，帮助顶点着色器和片段着色器完成丰富的功能，因此也被称作在线着色器编译语言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在这篇论文中，作者提出了一种基于OpenGL ES 2.0以上版本着色语言的离线编译器实现方案，这种离线编辑器符合OpenGL ES语言的完整规范，为其中的默写GPU生成执行代码，实现离线编译器的功能。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0" w:firstLineChars="0"/>
        <w:textAlignment w:val="auto"/>
        <w:rPr>
          <w:rFonts w:hint="eastAsia" w:eastAsia="仿宋_GB2312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0" w:firstLineChars="0"/>
        <w:textAlignment w:val="auto"/>
        <w:rPr>
          <w:rFonts w:hint="default" w:eastAsia="仿宋_GB2312"/>
          <w:sz w:val="30"/>
          <w:szCs w:val="30"/>
          <w:lang w:val="en-US" w:eastAsia="zh-CN"/>
        </w:rPr>
      </w:pPr>
      <w:r>
        <w:rPr>
          <w:rFonts w:hint="eastAsia" w:eastAsia="仿宋_GB2312"/>
          <w:sz w:val="30"/>
          <w:szCs w:val="30"/>
          <w:lang w:val="en-US" w:eastAsia="zh-CN"/>
        </w:rPr>
        <w:t>2 背景分析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2.1着色器API函数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在OpenGL的着色语言代码的执行过程中，使用专门的API进行编译操作，因此在实现离线着色语言编译器之前，需要详细理解包括API函数，脱机编译原理和二进制格式支持模式等具体内容。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480" w:firstLineChars="200"/>
        <w:textAlignment w:val="auto"/>
        <w:rPr>
          <w:rFonts w:hint="default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在OpenGL2.0及OpenGL ES 2.0规范中，对着色器的使用是通过图形渲染管线实现的，如图2-1所示。图形渲染管线在接收一组3D坐标后，可以通过一系列的处理将它转化为屏幕上显示的2D有色像素输出。管线系统分为两个主要部分：第一部分可以将3D坐标信息转化为对应的2D坐标，称为顶点着色器；第二部分则将2D坐标转换为实际的、有颜色的像素。在处理的过程中通过数个特定的、高度专门化的函数，并行执行处理操作，并通过GPU进行执行。而这些着色器程序正是使用着色器语言编写的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24384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jc w:val="center"/>
        <w:textAlignment w:val="auto"/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kern w:val="2"/>
          <w:sz w:val="21"/>
          <w:szCs w:val="21"/>
          <w:lang w:val="en-US" w:eastAsia="zh-CN" w:bidi="ar-SA"/>
        </w:rPr>
        <w:t>图2-1 OpenGL 2.0图形渲染管线流程图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jc w:val="left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由于OpenGL2.0规范下的两个着色器对象：顶点着色器和片段着色器的对象有诸多共同的特征，因此通常使用着色器语言来处理两者的些许差别，并通过API函数管理两种着色器对象。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jc w:val="left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首先通过glCreateShader函数创建一个着色器对象，并选择vertex或fragment作为要实现的着色器类型，接下来通过一下函数提供需要实现的着色器代码，其中shader代表对象的标示符：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jc w:val="left"/>
        <w:textAlignment w:val="auto"/>
        <w:rPr>
          <w:rFonts w:hint="default" w:eastAsia="仿宋_GB2312"/>
          <w:sz w:val="24"/>
          <w:szCs w:val="24"/>
          <w:lang w:val="en-US" w:eastAsia="zh-CN"/>
        </w:rPr>
      </w:pPr>
      <w:r>
        <w:rPr>
          <w:rFonts w:hint="default" w:eastAsia="仿宋_GB2312"/>
          <w:sz w:val="24"/>
          <w:szCs w:val="24"/>
          <w:lang w:val="en-US" w:eastAsia="zh-CN"/>
        </w:rPr>
        <w:t>void glShaderSource( GLuint shader,GLsizei count, const GLchar** string,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0" w:firstLineChars="0"/>
        <w:jc w:val="left"/>
        <w:textAlignment w:val="auto"/>
        <w:rPr>
          <w:rFonts w:hint="default" w:eastAsia="仿宋_GB2312"/>
          <w:sz w:val="24"/>
          <w:szCs w:val="24"/>
          <w:lang w:val="en-US" w:eastAsia="zh-CN"/>
        </w:rPr>
      </w:pPr>
      <w:r>
        <w:rPr>
          <w:rFonts w:hint="default" w:eastAsia="仿宋_GB2312"/>
          <w:sz w:val="24"/>
          <w:szCs w:val="24"/>
          <w:lang w:val="en-US" w:eastAsia="zh-CN"/>
        </w:rPr>
        <w:t>const GLint* length 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480" w:firstLineChars="200"/>
        <w:jc w:val="left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在得到源代码后，即可通过glCompileShader()函数将给定的着色器对象源代码进行编译，并将其链接到需要使用的函数中。以如上方法分别实现顶点和片段着色器的编译和链接后，即可通过glUseProgram()将连接的着色器对象在当前的程序中执行渲染工作，并最终实现渲染功能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2.2二进制格式支持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480" w:firstLineChars="200"/>
        <w:jc w:val="left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在OpenGL ES 2.0及更高的版本中，系统提供了着色语言的在线编译器帮助程序进行编译。同时，作为其他情况的替代选项，OpenGL也提供了对应的API函数作为对二进制图像的接口，这是本文实现着色语言离线编译器的重要基础。OpenGL通过函数如下函数实现二进制图像的处理：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480" w:firstLineChars="200"/>
        <w:jc w:val="left"/>
        <w:textAlignment w:val="auto"/>
        <w:rPr>
          <w:rFonts w:hint="default" w:eastAsia="仿宋_GB2312"/>
          <w:sz w:val="24"/>
          <w:szCs w:val="24"/>
          <w:lang w:val="en-US" w:eastAsia="zh-CN"/>
        </w:rPr>
      </w:pPr>
      <w:r>
        <w:rPr>
          <w:rFonts w:hint="default" w:eastAsia="仿宋_GB2312"/>
          <w:sz w:val="24"/>
          <w:szCs w:val="24"/>
          <w:lang w:val="en-US" w:eastAsia="zh-CN"/>
        </w:rPr>
        <w:t>void glProgramBinary( GLuint program,GLenum binaryFormat, const void* binary,GLsizei length );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480" w:firstLineChars="200"/>
        <w:jc w:val="left"/>
        <w:textAlignment w:val="auto"/>
        <w:rPr>
          <w:rFonts w:hint="default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其中，program参数指定加载的程序中二进制文件对象的名称，识别需要处理的文件；binaryFormat参数则通过二进制的形式，指定数据的格式；binary参数包含二进制素组存放的地址信息；length参数则控制了该二进制文件所包含的全部字节数量。通过如上接口，即可实现程序对二进制图像的读取，并在内部将其转化为顶点着色器和片段着色器程序的形式，并最终将其转化为GPU上的可执行程序在GPU上实现执行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480" w:firstLineChars="200"/>
        <w:textAlignment w:val="auto"/>
        <w:rPr>
          <w:rFonts w:hint="default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通过如上对API及二进制格式处理的分析，即可得出本文实现着色器语言离线编译系统的具体思路：首先将初始的数据通过处理转化为二进制信息，并将编译得到的结果输入程序中，转化为对应的顶点着色器和片段着色器形式，使之可以最终在GPU上进行执行，输出渲染结果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0" w:firstLineChars="0"/>
        <w:textAlignment w:val="auto"/>
        <w:rPr>
          <w:rFonts w:hint="eastAsia" w:eastAsia="仿宋_GB2312"/>
          <w:sz w:val="30"/>
          <w:szCs w:val="30"/>
          <w:lang w:eastAsia="zh-CN"/>
        </w:rPr>
      </w:pPr>
      <w:r>
        <w:rPr>
          <w:rFonts w:hint="eastAsia" w:eastAsia="仿宋_GB2312"/>
          <w:sz w:val="30"/>
          <w:szCs w:val="30"/>
          <w:lang w:val="en-US" w:eastAsia="zh-CN"/>
        </w:rPr>
        <w:t>3</w:t>
      </w:r>
      <w:r>
        <w:rPr>
          <w:rFonts w:hint="eastAsia" w:ascii="仿宋_GB2312" w:eastAsia="仿宋_GB2312"/>
          <w:sz w:val="30"/>
          <w:szCs w:val="30"/>
          <w:lang w:eastAsia="zh-CN"/>
        </w:rPr>
        <w:t>着色器语言编译器的设计和实现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3.1总体设计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要实现基于OpenGL ES2.0的着色器语言功能，就需要一个支持离线编译的着色语言编译器，在本文中，作者使用的是一些开源的语言编译器，通过现有的这些编译器系统，可以有效的生成出已编译的二进制图像、所有统一的变量位置和其他重要的数据信息。接下来，他们使用自己的特定二进制图像格式作为编译结果，输入运行核心中，通过glProgramBinary()函数解码这些信息，以实现GPU和状态变量的使用。通过如上的操作思路，即可逐步构建出计划中的着色语言编译系统，并在调试的过程中排除错误，提升准确性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3.2 具体实施策略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在具体的实现过程中，作者首先参考了线程的在线编译器模块。对于现有的大部分在线着色语言编译器，通常是在源代码中使用在线的编译器和OpenGL自带函数获取目标二进制图像，并将其存储在主存储器中，并使用同一程序进行执行，通过这种方法，可以最简单高效的进行可行性测试。接下来，将重新使用这些被保存的二进制图像，调用glGetProgramBinary函数，将编译完成的二进制图像存储便于后续检索，同时，这些图像将会在稍后被另一个程序</w:t>
      </w:r>
      <w:bookmarkStart w:id="0" w:name="_GoBack"/>
      <w:r>
        <w:rPr>
          <w:rFonts w:hint="eastAsia" w:eastAsia="仿宋_GB2312"/>
          <w:sz w:val="24"/>
          <w:szCs w:val="24"/>
          <w:lang w:val="en-US" w:eastAsia="zh-CN"/>
        </w:rPr>
        <w:t>使用glProgramBinary函数加载</w:t>
      </w:r>
      <w:bookmarkEnd w:id="0"/>
      <w:r>
        <w:rPr>
          <w:rFonts w:hint="eastAsia" w:eastAsia="仿宋_GB2312"/>
          <w:sz w:val="24"/>
          <w:szCs w:val="24"/>
          <w:lang w:val="en-US" w:eastAsia="zh-CN"/>
        </w:rPr>
        <w:t>，基于此测试，可以验证这些编译完成的二进制图像的可行性。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对于前端的实现，本文通过将顶点着色器和片段着色器的源代码转换为Tungsten代码，实现可用的着色语言编译器前端，虽然这些操作并不符合OpenGL规范，但在一些包括Mesa 3D图形库的商业实现中，允许采用这些中间代码图像，至此完成了离线编译器的前端系统。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在最后的步骤中，通过实现后端GPU代码生成器，与之前完成的前端相结合，即可得到用于OpenGL着色语言的全尺寸离线编译器。在这个离线编译器中，可以实现对每个GPU型号对应的代码生成，从而共同构建出一整套完整的OpenGL着色语言离线编译系统。当然，也可以在此基础上进行代码优化，提升整体的性能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根据以上的分布实施策略，即可从低到高逐层构建完整的编译系统，并通过对每个阶段的全面测试与调试，提升性能，排除错误。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left="0" w:leftChars="0" w:firstLine="0" w:firstLineChars="0"/>
        <w:textAlignment w:val="auto"/>
        <w:rPr>
          <w:rFonts w:hint="eastAsia" w:ascii="仿宋_GB2312" w:eastAsia="仿宋_GB2312"/>
          <w:sz w:val="30"/>
          <w:szCs w:val="30"/>
          <w:lang w:eastAsia="zh-CN"/>
        </w:rPr>
      </w:pPr>
      <w:r>
        <w:rPr>
          <w:rFonts w:hint="eastAsia" w:eastAsia="仿宋_GB2312"/>
          <w:sz w:val="30"/>
          <w:szCs w:val="30"/>
          <w:lang w:val="en-US" w:eastAsia="zh-CN"/>
        </w:rPr>
        <w:t>4</w:t>
      </w:r>
      <w:r>
        <w:rPr>
          <w:rFonts w:hint="eastAsia" w:ascii="仿宋_GB2312" w:eastAsia="仿宋_GB2312"/>
          <w:sz w:val="30"/>
          <w:szCs w:val="30"/>
          <w:lang w:eastAsia="zh-CN"/>
        </w:rPr>
        <w:t>结果及展望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本文的作者团队通过上述步骤的操作，为基于OpenGL的OpenGL ES着色器语言（ESSL）实现了离线编译的功能，通过这些预处理操作，可以处理包括#define，#praga，#version在内的所有ELSL预处理指令，还能针对2.0的全部标准规范，对经过预处理操作的着色器语言代码进行语法和语义的检查，实现对着色器语言语句的完整编译和纠错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eastAsia" w:eastAsia="仿宋_GB2312"/>
          <w:sz w:val="24"/>
          <w:szCs w:val="24"/>
          <w:lang w:val="en-US" w:eastAsia="zh-CN"/>
        </w:rPr>
      </w:pPr>
      <w:r>
        <w:rPr>
          <w:rFonts w:hint="eastAsia" w:eastAsia="仿宋_GB2312"/>
          <w:sz w:val="24"/>
          <w:szCs w:val="24"/>
          <w:lang w:val="en-US" w:eastAsia="zh-CN"/>
        </w:rPr>
        <w:t>除此之外，该团队还对于Ada-like风格的ESSL增加了专门的语义检查程序，在这个过程中使用的是OpenGL ES 2.0一致性测试套件CTS。这些操作的实施最终得到的编译成功率达到约97%，在对离线编译器的测试中，得到了一些结果如下图3-1所示。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240" w:lineRule="auto"/>
        <w:textAlignment w:val="auto"/>
      </w:pPr>
      <w:r>
        <w:drawing>
          <wp:inline distT="0" distB="0" distL="114300" distR="114300">
            <wp:extent cx="1612900" cy="2757170"/>
            <wp:effectExtent l="0" t="0" r="254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09090" cy="2750820"/>
            <wp:effectExtent l="0" t="0" r="635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26235" cy="2780030"/>
            <wp:effectExtent l="0" t="0" r="444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240" w:lineRule="auto"/>
        <w:ind w:firstLine="1470" w:firstLineChars="7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(a)                      (b)                        (c)</w:t>
      </w:r>
    </w:p>
    <w:p>
      <w:pPr>
        <w:jc w:val="center"/>
        <w:rPr>
          <w:rFonts w:hint="eastAsia" w:eastAsia="仿宋_GB2312"/>
          <w:sz w:val="21"/>
          <w:szCs w:val="21"/>
          <w:lang w:val="en-US" w:eastAsia="zh-CN"/>
        </w:rPr>
      </w:pPr>
      <w:r>
        <w:rPr>
          <w:rFonts w:hint="eastAsia" w:eastAsia="仿宋_GB2312"/>
          <w:sz w:val="21"/>
          <w:szCs w:val="21"/>
          <w:lang w:val="en-US" w:eastAsia="zh-CN"/>
        </w:rPr>
        <w:t>图3-1(a)“Taeji”测试程序的屏幕截图，资料来源Rightware</w:t>
      </w:r>
    </w:p>
    <w:p>
      <w:pPr>
        <w:jc w:val="center"/>
        <w:rPr>
          <w:rFonts w:hint="eastAsia" w:eastAsia="仿宋_GB2312"/>
          <w:sz w:val="21"/>
          <w:szCs w:val="21"/>
          <w:lang w:val="en-US" w:eastAsia="zh-CN"/>
        </w:rPr>
      </w:pPr>
      <w:r>
        <w:rPr>
          <w:rFonts w:hint="eastAsia" w:eastAsia="仿宋_GB2312"/>
          <w:sz w:val="21"/>
          <w:szCs w:val="21"/>
          <w:lang w:val="en-US" w:eastAsia="zh-CN"/>
        </w:rPr>
        <w:t>(b)“Hoverjet”测试程序的屏幕截图，资料来源Rightware</w:t>
      </w:r>
    </w:p>
    <w:p>
      <w:pPr>
        <w:jc w:val="center"/>
        <w:rPr>
          <w:rFonts w:hint="eastAsia" w:eastAsia="仿宋_GB2312"/>
          <w:sz w:val="21"/>
          <w:szCs w:val="21"/>
          <w:lang w:val="en-US" w:eastAsia="zh-CN"/>
        </w:rPr>
      </w:pPr>
      <w:r>
        <w:rPr>
          <w:rFonts w:hint="eastAsia" w:eastAsia="仿宋_GB2312"/>
          <w:sz w:val="21"/>
          <w:szCs w:val="21"/>
          <w:lang w:val="en-US" w:eastAsia="zh-CN"/>
        </w:rPr>
        <w:t>(c)“Advanced World”测试程序的屏幕截图，资料来源Rightware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仿宋_GB2312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kern w:val="2"/>
          <w:sz w:val="24"/>
          <w:szCs w:val="24"/>
          <w:lang w:val="en-US" w:eastAsia="zh-CN" w:bidi="ar-SA"/>
        </w:rPr>
        <w:t>得到的离线编译器目前已经实现与现有的应用程序共同使用的功能。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仿宋_GB2312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kern w:val="2"/>
          <w:sz w:val="24"/>
          <w:szCs w:val="24"/>
          <w:lang w:val="en-US" w:eastAsia="zh-CN" w:bidi="ar-SA"/>
        </w:rPr>
        <w:t>在本文中，作者团队旨在实现OpenGL着色语言的离线编译器。目前市面上已经有一些较为成熟的在线编译系统，但是在很多情况下依然需要使用基于OpenGL SC 2.0标准的离线编译器系统，帮助用户更方便</w:t>
      </w:r>
      <w:r>
        <w:rPr>
          <w:rFonts w:hint="eastAsia" w:eastAsia="仿宋_GB2312" w:cs="Times New Roman"/>
          <w:kern w:val="2"/>
          <w:sz w:val="24"/>
          <w:szCs w:val="24"/>
          <w:lang w:val="en-US" w:eastAsia="zh-CN" w:bidi="ar-SA"/>
        </w:rPr>
        <w:t>、</w:t>
      </w:r>
      <w:r>
        <w:rPr>
          <w:rFonts w:hint="eastAsia" w:ascii="Times New Roman" w:hAnsi="Times New Roman" w:eastAsia="仿宋_GB2312" w:cs="Times New Roman"/>
          <w:kern w:val="2"/>
          <w:sz w:val="24"/>
          <w:szCs w:val="24"/>
          <w:lang w:val="en-US" w:eastAsia="zh-CN" w:bidi="ar-SA"/>
        </w:rPr>
        <w:t>更高效的</w:t>
      </w:r>
      <w:r>
        <w:rPr>
          <w:rFonts w:hint="eastAsia" w:eastAsia="仿宋_GB2312" w:cs="Times New Roman"/>
          <w:kern w:val="2"/>
          <w:sz w:val="24"/>
          <w:szCs w:val="24"/>
          <w:lang w:val="en-US" w:eastAsia="zh-CN" w:bidi="ar-SA"/>
        </w:rPr>
        <w:t>在编程和编译过程中</w:t>
      </w:r>
      <w:r>
        <w:rPr>
          <w:rFonts w:hint="eastAsia" w:ascii="Times New Roman" w:hAnsi="Times New Roman" w:eastAsia="仿宋_GB2312" w:cs="Times New Roman"/>
          <w:kern w:val="2"/>
          <w:sz w:val="24"/>
          <w:szCs w:val="24"/>
          <w:lang w:val="en-US" w:eastAsia="zh-CN" w:bidi="ar-SA"/>
        </w:rPr>
        <w:t>OpenGL着色语言的编辑与检查，本文得到的离线编译一同设计步骤，可以切实有效的帮助这种系统的推进与优化，应用在当前的OpenGL编程与设计之中。同时该项目也存在诸多</w:t>
      </w:r>
      <w:r>
        <w:rPr>
          <w:rFonts w:hint="eastAsia" w:eastAsia="仿宋_GB2312" w:cs="Times New Roman"/>
          <w:kern w:val="2"/>
          <w:sz w:val="24"/>
          <w:szCs w:val="24"/>
          <w:lang w:val="en-US" w:eastAsia="zh-CN" w:bidi="ar-SA"/>
        </w:rPr>
        <w:t>缺陷：</w:t>
      </w:r>
      <w:r>
        <w:rPr>
          <w:rFonts w:hint="eastAsia" w:ascii="Times New Roman" w:hAnsi="Times New Roman" w:eastAsia="仿宋_GB2312" w:cs="Times New Roman"/>
          <w:kern w:val="2"/>
          <w:sz w:val="24"/>
          <w:szCs w:val="24"/>
          <w:lang w:val="en-US" w:eastAsia="zh-CN" w:bidi="ar-SA"/>
        </w:rPr>
        <w:t>例如</w:t>
      </w:r>
      <w:r>
        <w:rPr>
          <w:rFonts w:hint="eastAsia" w:eastAsia="仿宋_GB2312" w:cs="Times New Roman"/>
          <w:kern w:val="2"/>
          <w:sz w:val="24"/>
          <w:szCs w:val="24"/>
          <w:lang w:val="en-US" w:eastAsia="zh-CN" w:bidi="ar-SA"/>
        </w:rPr>
        <w:t>对一些较复杂的着色语言程序的编译仍存在一定的错漏，稳定性较成熟的在线编译器仍有一定距离；同时，截止发文，团队并未完成完整的离线编译器实现，距离推广应用仍有需要努力的空间。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line="360" w:lineRule="auto"/>
        <w:ind w:firstLine="480" w:firstLineChars="200"/>
        <w:textAlignment w:val="auto"/>
        <w:rPr>
          <w:rFonts w:hint="default" w:eastAsia="仿宋_GB2312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B7750B"/>
    <w:rsid w:val="00954ED8"/>
    <w:rsid w:val="00987A6E"/>
    <w:rsid w:val="00B7750B"/>
    <w:rsid w:val="00EE22BA"/>
    <w:rsid w:val="0DD937CD"/>
    <w:rsid w:val="13865DA8"/>
    <w:rsid w:val="4A0A1AA0"/>
    <w:rsid w:val="65411351"/>
    <w:rsid w:val="67732284"/>
    <w:rsid w:val="6B890910"/>
    <w:rsid w:val="7ED8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iPriority="99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8"/>
    <w:semiHidden/>
    <w:unhideWhenUsed/>
    <w:qFormat/>
    <w:uiPriority w:val="99"/>
    <w:pPr>
      <w:spacing w:after="120"/>
    </w:pPr>
  </w:style>
  <w:style w:type="paragraph" w:styleId="3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4">
    <w:name w:val="Title"/>
    <w:basedOn w:val="1"/>
    <w:next w:val="5"/>
    <w:link w:val="10"/>
    <w:qFormat/>
    <w:uiPriority w:val="99"/>
    <w:pPr>
      <w:keepLines/>
      <w:pageBreakBefore/>
      <w:spacing w:before="240" w:after="120"/>
      <w:jc w:val="center"/>
      <w:outlineLvl w:val="0"/>
    </w:pPr>
    <w:rPr>
      <w:rFonts w:eastAsia="黑体"/>
      <w:b/>
      <w:bCs/>
      <w:sz w:val="36"/>
      <w:szCs w:val="36"/>
    </w:rPr>
  </w:style>
  <w:style w:type="paragraph" w:styleId="5">
    <w:name w:val="Body Text First Indent"/>
    <w:basedOn w:val="2"/>
    <w:link w:val="9"/>
    <w:unhideWhenUsed/>
    <w:qFormat/>
    <w:uiPriority w:val="99"/>
    <w:pPr>
      <w:spacing w:before="100" w:beforeAutospacing="1"/>
      <w:ind w:firstLine="420" w:firstLineChars="100"/>
    </w:pPr>
  </w:style>
  <w:style w:type="character" w:customStyle="1" w:styleId="8">
    <w:name w:val="正文文本 Char"/>
    <w:basedOn w:val="7"/>
    <w:link w:val="2"/>
    <w:semiHidden/>
    <w:qFormat/>
    <w:uiPriority w:val="99"/>
    <w:rPr>
      <w:rFonts w:ascii="Times New Roman" w:hAnsi="Times New Roman" w:eastAsia="宋体" w:cs="Times New Roman"/>
      <w:szCs w:val="21"/>
    </w:rPr>
  </w:style>
  <w:style w:type="character" w:customStyle="1" w:styleId="9">
    <w:name w:val="正文首行缩进 Char"/>
    <w:basedOn w:val="8"/>
    <w:link w:val="5"/>
    <w:qFormat/>
    <w:uiPriority w:val="99"/>
  </w:style>
  <w:style w:type="character" w:customStyle="1" w:styleId="10">
    <w:name w:val="标题 Char"/>
    <w:basedOn w:val="7"/>
    <w:link w:val="4"/>
    <w:qFormat/>
    <w:uiPriority w:val="99"/>
    <w:rPr>
      <w:rFonts w:ascii="Times New Roman" w:hAnsi="Times New Roman" w:eastAsia="黑体" w:cs="Times New Roman"/>
      <w:b/>
      <w:bCs/>
      <w:sz w:val="36"/>
      <w:szCs w:val="36"/>
    </w:rPr>
  </w:style>
  <w:style w:type="character" w:customStyle="1" w:styleId="11">
    <w:name w:val="批注框文本 Char"/>
    <w:basedOn w:val="7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382</Words>
  <Characters>2184</Characters>
  <Lines>18</Lines>
  <Paragraphs>5</Paragraphs>
  <TotalTime>159</TotalTime>
  <ScaleCrop>false</ScaleCrop>
  <LinksUpToDate>false</LinksUpToDate>
  <CharactersWithSpaces>2561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2019-12-16T05:57:00Z</dcterms:created>
  <dc:creator>Administrator</dc:creator>
  <cp:lastModifiedBy>小朋友的天神</cp:lastModifiedBy>
  <dcterms:modified xsi:type="dcterms:W3CDTF">2019-12-23T12:54:58Z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