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3685"/>
            <w:tcMar>
              <w:top w:w="0" w:type="dxa"/>
              <w:left w:w="0" w:type="dxa"/>
              <w:bottom w:w="0" w:type="dxa"/>
              <w:right w:w="0" w:type="dxa"/>
            </w:tcMar>
            <w:tcBorders>
              <w:top w:val="nil"/>
              <w:left w:val="nil"/>
              <w:bottom w:val="nil"/>
              <w:right w:val="nil"/>
            </w:tcBorders>
          </w:tcPr>
          <w:p>
            <w:pPr>
              <w:spacing w:after="0"/>
              <w:jc w:val="center"/>
            </w:pPr>
            <w:r/>
            <w:r>
              <w:rPr>
                <w:rFonts w:ascii="Times New Roman" w:hAnsi="Times New Roman" w:cs="Times New Roman" w:eastAsia="Times New Roman"/>
                <w:b/>
                <w:i w:val="0"/>
                <w:color w:val="000000"/>
                <w:sz w:val="26"/>
                <w:u w:val="none"/>
              </w:rPr>
              <w:t>VĂN PHÒNG ĐOÀN ĐBQH</w:t>
              <w:br/>
              <w:t>VÀ HĐND TỈNH THANH HÓA</w:t>
            </w:r>
          </w:p>
          <w:p>
            <w:pPr>
              <w:spacing w:before="0" w:after="0" w:line="240" w:lineRule="auto"/>
              <w:ind w:left="995" w:right="995"/>
              <w:jc w:val="center"/>
              <w:pBdr>
                <w:bottom w:val="single" w:sz="6" w:space="1" w:color="000000"/>
              </w:pBdr>
            </w:pPr>
            <w:r>
              <w:rPr>
                <w:rFonts w:ascii="Times New Roman" w:hAnsi="Times New Roman" w:cs="Times New Roman" w:eastAsia="Times New Roman"/>
                <w:b w:val="0"/>
                <w:i w:val="0"/>
                <w:color w:val="000000"/>
                <w:sz w:val="8"/>
                <w:u w:val="none"/>
              </w:rPr>
              <w:t xml:space="preserve"> </w:t>
            </w:r>
          </w:p>
        </w:tc>
        <w:tc>
          <w:tcPr>
            <w:tcW w:type="dxa" w:w="5669"/>
            <w:tcMar>
              <w:top w:w="0" w:type="dxa"/>
              <w:left w:w="0" w:type="dxa"/>
              <w:bottom w:w="0" w:type="dxa"/>
              <w:right w:w="0" w:type="dxa"/>
            </w:tcMar>
            <w:tcBorders>
              <w:top w:val="nil"/>
              <w:left w:val="nil"/>
              <w:bottom w:val="nil"/>
              <w:right w:val="nil"/>
            </w:tcBorders>
          </w:tcPr>
          <w:p>
            <w:pPr>
              <w:spacing w:after="0"/>
              <w:jc w:val="center"/>
            </w:pPr>
            <w:r>
              <w:rPr>
                <w:rFonts w:ascii="Times New Roman" w:hAnsi="Times New Roman" w:cs="Times New Roman" w:eastAsia="Times New Roman"/>
                <w:b/>
                <w:i w:val="0"/>
                <w:color w:val="000000"/>
                <w:sz w:val="24"/>
                <w:u w:val="none"/>
              </w:rPr>
              <w:t>CỘNG HÒA XÃ HỘI CHỦ NGHĨA VIỆT NAM</w:t>
            </w:r>
          </w:p>
          <w:p>
            <w:pPr>
              <w:spacing w:after="0"/>
              <w:jc w:val="center"/>
            </w:pPr>
            <w:r>
              <w:rPr>
                <w:rFonts w:ascii="Times New Roman" w:hAnsi="Times New Roman" w:cs="Times New Roman" w:eastAsia="Times New Roman"/>
                <w:b/>
                <w:i w:val="0"/>
                <w:color w:val="000000"/>
                <w:sz w:val="26"/>
                <w:u w:val="none"/>
              </w:rPr>
              <w:t>Độc lập - Tự do - Hạnh phúc</w:t>
            </w:r>
          </w:p>
          <w:p>
            <w:pPr>
              <w:spacing w:before="0" w:after="0" w:line="240" w:lineRule="auto"/>
              <w:ind w:left="1191" w:right="1191"/>
              <w:jc w:val="center"/>
              <w:pBdr>
                <w:bottom w:val="single" w:sz="6" w:space="1" w:color="000000"/>
              </w:pBdr>
            </w:pPr>
            <w:r>
              <w:rPr>
                <w:rFonts w:ascii="Times New Roman" w:hAnsi="Times New Roman" w:cs="Times New Roman" w:eastAsia="Times New Roman"/>
                <w:b w:val="0"/>
                <w:i w:val="0"/>
                <w:color w:val="000000"/>
                <w:sz w:val="8"/>
                <w:u w:val="none"/>
              </w:rPr>
              <w:t xml:space="preserve"> </w:t>
            </w:r>
          </w:p>
        </w:tc>
      </w:tr>
      <w:tr>
        <w:tc>
          <w:tcPr>
            <w:tcW w:type="dxa" w:w="3685"/>
            <w:tcMar>
              <w:top w:w="0" w:type="dxa"/>
              <w:left w:w="0" w:type="dxa"/>
              <w:bottom w:w="0" w:type="dxa"/>
              <w:right w:w="0" w:type="dxa"/>
            </w:tcMar>
            <w:tcBorders>
              <w:top w:val="nil"/>
              <w:left w:val="nil"/>
              <w:bottom w:val="nil"/>
              <w:right w:val="nil"/>
            </w:tcBorders>
          </w:tcPr>
          <w:p>
            <w:pPr>
              <w:spacing w:before="120"/>
              <w:jc w:val="center"/>
            </w:pPr>
            <w:r>
              <w:rPr>
                <w:rFonts w:ascii="Times New Roman" w:hAnsi="Times New Roman" w:cs="Times New Roman" w:eastAsia="Times New Roman"/>
                <w:b w:val="0"/>
                <w:i w:val="0"/>
                <w:color w:val="000000"/>
                <w:sz w:val="26"/>
                <w:u w:val="none"/>
              </w:rPr>
              <w:t xml:space="preserve">Số: </w:t>
            </w:r>
            <w:r>
              <w:rPr>
                <w:rFonts w:ascii="Times New Roman" w:hAnsi="Times New Roman" w:cs="Times New Roman" w:eastAsia="Times New Roman"/>
                <w:b w:val="0"/>
                <w:i w:val="0"/>
                <w:color w:val="000000"/>
                <w:sz w:val="26"/>
                <w:u w:val="none"/>
              </w:rPr>
              <w:t>…/ĐTYC-VP</w:t>
            </w:r>
          </w:p>
        </w:tc>
        <w:tc>
          <w:tcPr>
            <w:tcW w:type="dxa" w:w="5669"/>
            <w:tcMar>
              <w:top w:w="0" w:type="dxa"/>
              <w:left w:w="0" w:type="dxa"/>
              <w:bottom w:w="0" w:type="dxa"/>
              <w:right w:w="0" w:type="dxa"/>
            </w:tcMar>
            <w:tcBorders>
              <w:top w:val="nil"/>
              <w:left w:val="nil"/>
              <w:bottom w:val="nil"/>
              <w:right w:val="nil"/>
            </w:tcBorders>
          </w:tcPr>
          <w:p>
            <w:pPr>
              <w:spacing w:before="120"/>
              <w:jc w:val="center"/>
            </w:pPr>
            <w:r>
              <w:rPr>
                <w:rFonts w:ascii="Times New Roman" w:hAnsi="Times New Roman" w:cs="Times New Roman" w:eastAsia="Times New Roman"/>
                <w:b w:val="0"/>
                <w:i/>
                <w:color w:val="000000"/>
                <w:sz w:val="26"/>
                <w:u w:val="none"/>
              </w:rPr>
              <w:t>Thanh Hóa, ngày … tháng 7 năm 2026</w:t>
            </w:r>
          </w:p>
        </w:tc>
      </w:tr>
    </w:tbl>
    <w:p>
      <w:pPr>
        <w:spacing w:after="120"/>
      </w:pPr>
    </w:p>
    <w:p>
      <w:pPr>
        <w:spacing w:after="0" w:before="120"/>
        <w:jc w:val="center"/>
      </w:pPr>
      <w:r>
        <w:rPr>
          <w:rFonts w:ascii="Times New Roman" w:hAnsi="Times New Roman" w:cs="Times New Roman" w:eastAsia="Times New Roman"/>
          <w:b/>
          <w:i w:val="0"/>
          <w:color w:val="000000"/>
          <w:sz w:val="28"/>
          <w:u w:val="none"/>
        </w:rPr>
        <w:t>ĐẶC TẢ YÊU CẦU PHẦN MỀM</w:t>
      </w:r>
    </w:p>
    <w:p>
      <w:pPr>
        <w:spacing w:after="0" w:before="0"/>
        <w:jc w:val="center"/>
      </w:pPr>
      <w:r>
        <w:rPr>
          <w:rFonts w:ascii="Times New Roman" w:hAnsi="Times New Roman" w:cs="Times New Roman" w:eastAsia="Times New Roman"/>
          <w:b/>
          <w:i w:val="0"/>
          <w:color w:val="000000"/>
          <w:sz w:val="28"/>
          <w:u w:val="none"/>
        </w:rPr>
        <w:t>Hệ thống theo dõi, đánh giá, xếp loại chất lượng cán bộ, công chức, viên chức, lao động hợp đồng theo KPI</w:t>
      </w:r>
    </w:p>
    <w:p>
      <w:pPr>
        <w:spacing w:before="0" w:after="0" w:line="240" w:lineRule="auto"/>
        <w:ind w:left="3835" w:right="3835"/>
        <w:jc w:val="center"/>
        <w:pBdr>
          <w:bottom w:val="single" w:sz="6" w:space="1" w:color="000000"/>
        </w:pBdr>
      </w:pPr>
      <w:r>
        <w:rPr>
          <w:rFonts w:ascii="Times New Roman" w:hAnsi="Times New Roman" w:cs="Times New Roman" w:eastAsia="Times New Roman"/>
          <w:b w:val="0"/>
          <w:i w:val="0"/>
          <w:color w:val="000000"/>
          <w:sz w:val="8"/>
          <w:u w:val="none"/>
        </w:rPr>
        <w:t xml:space="preserve"> </w:t>
      </w:r>
    </w:p>
    <w:p>
      <w:pPr>
        <w:spacing w:after="120" w:before="0"/>
        <w:ind w:firstLine="567"/>
        <w:jc w:val="both"/>
      </w:pPr>
      <w:r>
        <w:rPr>
          <w:rFonts w:ascii="Times New Roman" w:hAnsi="Times New Roman" w:cs="Times New Roman" w:eastAsia="Times New Roman"/>
          <w:b w:val="0"/>
          <w:i w:val="0"/>
          <w:color w:val="000000"/>
          <w:sz w:val="28"/>
          <w:u w:val="none"/>
        </w:rPr>
        <w:t>(Tài liệu gửi đơn vị phát triển phần mềm; kèm theo file Excel "Engine_tinh_diem_KPI_mo_phong.xlsx" làm chuẩn đối chiếu nghiệm thu)</w:t>
      </w:r>
    </w:p>
    <w:p>
      <w:pPr>
        <w:spacing w:after="0" w:before="120"/>
        <w:jc w:val="center"/>
      </w:pPr>
      <w:r>
        <w:rPr>
          <w:rFonts w:ascii="Times New Roman" w:hAnsi="Times New Roman" w:cs="Times New Roman" w:eastAsia="Times New Roman"/>
          <w:b/>
          <w:i w:val="0"/>
          <w:color w:val="000000"/>
          <w:sz w:val="28"/>
          <w:u w:val="none"/>
        </w:rPr>
        <w:t>Chương I</w:t>
      </w:r>
    </w:p>
    <w:p>
      <w:pPr>
        <w:spacing w:after="0" w:before="0"/>
        <w:jc w:val="center"/>
      </w:pPr>
      <w:r>
        <w:rPr>
          <w:rFonts w:ascii="Times New Roman" w:hAnsi="Times New Roman" w:cs="Times New Roman" w:eastAsia="Times New Roman"/>
          <w:b/>
          <w:i w:val="0"/>
          <w:color w:val="000000"/>
          <w:sz w:val="28"/>
          <w:u w:val="none"/>
        </w:rPr>
        <w:t>GIỚI THIỆU CHUNG</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Mục đích: xây dựng phần mềm phục vụ giao nhiệm vụ, theo dõi, kiểm đếm, chấm điểm, đánh giá, xếp loại chất lượng hằng tháng đối với cán bộ, công chức, viên chức, lao động hợp đồng (CBCCVC) theo phương pháp KPI; thay thế quy trình thủ công bằng quy trình điện tử khép kín từ lập kế hoạch đến công khai kết quả.</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Căn cứ pháp lý và nghiệp vụ: Nghị định số 335/2025/NĐ-CP ngày 21/12/2025 của Chính phủ; Quy định số …-QĐ/TU ngày …/6/2026 của Ban Thường vụ Tỉnh ủy Thanh Hóa (sau đây gọi là Quy định); Hướng dẫn số 02-HD/BTCTW ngày 22/5/2026 của Ban Tổ chức Trung ương; Sổ tay hướng dẫn của Bộ Nội vụ; Nghị định số 13/2023/NĐ-CP về bảo vệ dữ liệu cá nhân.</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Thuật ngữ: KPI là chỉ số đánh giá kết quả thực hiện nhiệm vụ theo số lượng, chất lượng, tiến độ; Sản phẩm/công việc chuẩn là đơn vị đo có hệ số bằng 1,0; Hệ số quy đổi là tỷ lệ điểm của một sản phẩm so với sản phẩm chuẩn; Ba nhóm đối tượng gồm: lãnh đạo, quản lý (LDQL); chuyên môn, nghiệp vụ (CMNV); hỗ trợ, phục vụ (HTPV).</w:t>
      </w:r>
    </w:p>
    <w:p>
      <w:pPr>
        <w:spacing w:after="0" w:before="120"/>
        <w:ind w:firstLine="567"/>
        <w:jc w:val="both"/>
      </w:pPr>
      <w:r>
        <w:rPr>
          <w:rFonts w:ascii="Times New Roman" w:hAnsi="Times New Roman" w:cs="Times New Roman" w:eastAsia="Times New Roman"/>
          <w:b w:val="0"/>
          <w:i w:val="0"/>
          <w:color w:val="000000"/>
          <w:sz w:val="28"/>
          <w:u w:val="none"/>
        </w:rPr>
        <w:t xml:space="preserve">4. </w:t>
      </w:r>
      <w:r>
        <w:rPr>
          <w:rFonts w:ascii="Times New Roman" w:hAnsi="Times New Roman" w:cs="Times New Roman" w:eastAsia="Times New Roman"/>
          <w:b w:val="0"/>
          <w:i w:val="0"/>
          <w:color w:val="000000"/>
          <w:sz w:val="28"/>
          <w:u w:val="none"/>
        </w:rPr>
        <w:t>Nguyên tắc thiết kế xuyên suốt: nhóm đối tượng là thuộc tính của người dùng (gán theo vị trí việc làm), không phải của danh mục; toàn bộ khác biệt giữa ba nhóm chỉ được xử lý tại ba điểm: (i) phần danh mục nhiệm vụ được phép chọn; (ii) mẫu phiếu tiêu chí chung; (iii) công thức tính KPI.</w:t>
      </w:r>
    </w:p>
    <w:p>
      <w:pPr>
        <w:spacing w:after="0" w:before="120"/>
        <w:jc w:val="center"/>
      </w:pPr>
      <w:r>
        <w:rPr>
          <w:rFonts w:ascii="Times New Roman" w:hAnsi="Times New Roman" w:cs="Times New Roman" w:eastAsia="Times New Roman"/>
          <w:b/>
          <w:i w:val="0"/>
          <w:color w:val="000000"/>
          <w:sz w:val="28"/>
          <w:u w:val="none"/>
        </w:rPr>
        <w:t>Chương II</w:t>
      </w:r>
    </w:p>
    <w:p>
      <w:pPr>
        <w:spacing w:after="0" w:before="0"/>
        <w:jc w:val="center"/>
      </w:pPr>
      <w:r>
        <w:rPr>
          <w:rFonts w:ascii="Times New Roman" w:hAnsi="Times New Roman" w:cs="Times New Roman" w:eastAsia="Times New Roman"/>
          <w:b/>
          <w:i w:val="0"/>
          <w:color w:val="000000"/>
          <w:sz w:val="28"/>
          <w:u w:val="none"/>
        </w:rPr>
        <w:t>NGƯỜI DÙNG VÀ PHÂN QUYỀN</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Vai trò người dùng: (a) CBCCVC - lập lịch tuần, cập nhật kết quả, minh chứng, tự chấm điểm, gửi phiếu, kiến nghị; (b) Lãnh đạo phụ trách trực tiếp - giao việc, xác nhận kết quả, nhận xét phiếu tự chấm; (c) Thủ trưởng cơ quan/cấp có thẩm quyền - quyết định xếp loại, phê duyệt danh mục; (d) Bộ phận tổ chức/tổng hợp - quản lý danh mục, tổng hợp, ban hành thông báo công khai; (đ) Quản trị hệ thống - quản lý tài khoản, phân quyền, danh mục dùng chung, nhật ký.</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Cây thẩm quyền đánh giá phải cấu hình được theo đúng 7 khối quy định tại Điều 9 của Quy định (cán bộ diện Ban Thường vụ Tỉnh ủy quản lý; cơ quan tham mưu, giúp việc Tỉnh ủy; các Ban HĐND tỉnh và Văn phòng Đoàn ĐBQH và HĐND tỉnh; cơ quan chuyên môn thuộc UBND tỉnh; Ủy ban MTTQ tỉnh; xã, phường; đảng ủy trực thuộc), bao gồm cả các trường hợp ủy quyền.</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Đăng nhập một lần (SSO) qua VNeID hoặc hệ thống định danh dùng chung của tỉnh; mỗi người dùng gắn duy nhất một hồ sơ CBCCVC.</w:t>
      </w:r>
    </w:p>
    <w:p>
      <w:pPr>
        <w:spacing w:after="0" w:before="120"/>
        <w:jc w:val="center"/>
      </w:pPr>
      <w:r>
        <w:rPr>
          <w:rFonts w:ascii="Times New Roman" w:hAnsi="Times New Roman" w:cs="Times New Roman" w:eastAsia="Times New Roman"/>
          <w:b/>
          <w:i w:val="0"/>
          <w:color w:val="000000"/>
          <w:sz w:val="28"/>
          <w:u w:val="none"/>
        </w:rPr>
        <w:t>Chương III</w:t>
      </w:r>
    </w:p>
    <w:p>
      <w:pPr>
        <w:spacing w:after="0" w:before="0"/>
        <w:jc w:val="center"/>
      </w:pPr>
      <w:r>
        <w:rPr>
          <w:rFonts w:ascii="Times New Roman" w:hAnsi="Times New Roman" w:cs="Times New Roman" w:eastAsia="Times New Roman"/>
          <w:b/>
          <w:i w:val="0"/>
          <w:color w:val="000000"/>
          <w:sz w:val="28"/>
          <w:u w:val="none"/>
        </w:rPr>
        <w:t>YÊU CẦU CHỨC NĂNG</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Quản lý danh mục sản phẩm/công việc: danh mục của từng cơ quan gồm ba phần (I - CMNV, II - LDQL, III - HTPV), mỗi dòng có mã, tên nhiệm vụ, sản phẩm đầu ra kèm đơn vị tính, nhóm độ phức tạp, điểm, hệ số quy đổi; quản lý phiên bản và thời điểm hiệu lực (rà soát định kỳ 06 tháng); quy trình trình - phê duyệt danh mục bởi người đứng đầu cơ quan; nhật ký thay đổi.</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Quản lý hồ sơ nhân sự: mã CBCCVC, vị trí việc làm, nhóm đối tượng (LDQL/CMNV/HTPV), đơn vị, lãnh đạo phụ trách trực tiếp, cấp có thẩm quyền quyết định xếp loại; đồng bộ được với phần mềm quản lý cán bộ, công chức hiện có của tỉnh.</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Lập kế hoạch và giao nhiệm vụ: cơ quan lập kế hoạch công tác tháng; cá nhân lập lịch công tác tuần trình lãnh đạo trực tiếp phê duyệt; mỗi nhiệm vụ giao phải bảo đảm 6 rõ (rõ người, rõ việc, rõ thời gian, rõ trách nhiệm, rõ sản phẩm, rõ thẩm quyền) và gắn với một mã sản phẩm trong danh mục; hỗ trợ nhiệm vụ đột xuất phát sinh (được tính điểm cộng ngoài tổng giao ban đầu) và chuyển việc giữa các cá nhân (nhiệm vụ vẫn tính vào tổng được giao của người chuyển nhưng không tính vào kết quả hoàn thành).</w:t>
      </w:r>
    </w:p>
    <w:p>
      <w:pPr>
        <w:spacing w:after="0" w:before="120"/>
        <w:ind w:firstLine="567"/>
        <w:jc w:val="both"/>
      </w:pPr>
      <w:r>
        <w:rPr>
          <w:rFonts w:ascii="Times New Roman" w:hAnsi="Times New Roman" w:cs="Times New Roman" w:eastAsia="Times New Roman"/>
          <w:b w:val="0"/>
          <w:i w:val="0"/>
          <w:color w:val="000000"/>
          <w:sz w:val="28"/>
          <w:u w:val="none"/>
        </w:rPr>
        <w:t xml:space="preserve">4. </w:t>
      </w:r>
      <w:r>
        <w:rPr>
          <w:rFonts w:ascii="Times New Roman" w:hAnsi="Times New Roman" w:cs="Times New Roman" w:eastAsia="Times New Roman"/>
          <w:b w:val="0"/>
          <w:i w:val="0"/>
          <w:color w:val="000000"/>
          <w:sz w:val="28"/>
          <w:u w:val="none"/>
        </w:rPr>
        <w:t>Cập nhật kết quả và minh chứng: người thực hiện cập nhật số lượng hoàn thành, chất lượng, tiến độ kèm minh chứng (tệp, liên kết văn bản trên hệ thống quản lý văn bản); lãnh đạo trực tiếp xác nhận từng kết quả; hệ thống tự động ghi nhận sản phẩm sai sót lớn phải chỉnh sửa và sản phẩm hoàn thành chậm để áp dụng mức trừ 25% điểm của chính sản phẩm đó.</w:t>
      </w:r>
    </w:p>
    <w:p>
      <w:pPr>
        <w:spacing w:after="0" w:before="120"/>
        <w:ind w:firstLine="567"/>
        <w:jc w:val="both"/>
      </w:pPr>
      <w:r>
        <w:rPr>
          <w:rFonts w:ascii="Times New Roman" w:hAnsi="Times New Roman" w:cs="Times New Roman" w:eastAsia="Times New Roman"/>
          <w:b w:val="0"/>
          <w:i w:val="0"/>
          <w:color w:val="000000"/>
          <w:sz w:val="28"/>
          <w:u w:val="none"/>
        </w:rPr>
        <w:t xml:space="preserve">5. </w:t>
      </w:r>
      <w:r>
        <w:rPr>
          <w:rFonts w:ascii="Times New Roman" w:hAnsi="Times New Roman" w:cs="Times New Roman" w:eastAsia="Times New Roman"/>
          <w:b w:val="0"/>
          <w:i w:val="0"/>
          <w:color w:val="000000"/>
          <w:sz w:val="28"/>
          <w:u w:val="none"/>
        </w:rPr>
        <w:t>Engine tính điểm (chi tiết thuật toán tại Chương VI): tự động tính a, b, c; nhận d, đ, e hai mức 100/50 sinh tự động từ dữ liệu của đơn vị (có cho phép cấp có thẩm quyền hiệu chỉnh kèm lý do); tự động chuyển công thức chia 3 hoặc chia 6 theo nhóm đối tượng; tính tổng điểm, xếp loại 4 mức; kiểm tra các điều kiện phụ tại Điều 8 của Quy định; kiểm soát trần tỷ lệ hoàn thành xuất sắc không quá 20% số hoàn thành tốt theo từng cơ quan và từng nhóm nhiệm vụ tương đồng, có cơ chế nâng trần và cơ chế cơ quan từ 05 người trở xuống được chọn 01 người.</w:t>
      </w:r>
    </w:p>
    <w:p>
      <w:pPr>
        <w:spacing w:after="0" w:before="120"/>
        <w:ind w:firstLine="567"/>
        <w:jc w:val="both"/>
      </w:pPr>
      <w:r>
        <w:rPr>
          <w:rFonts w:ascii="Times New Roman" w:hAnsi="Times New Roman" w:cs="Times New Roman" w:eastAsia="Times New Roman"/>
          <w:b w:val="0"/>
          <w:i w:val="0"/>
          <w:color w:val="000000"/>
          <w:sz w:val="28"/>
          <w:u w:val="none"/>
        </w:rPr>
        <w:t xml:space="preserve">6. </w:t>
      </w:r>
      <w:r>
        <w:rPr>
          <w:rFonts w:ascii="Times New Roman" w:hAnsi="Times New Roman" w:cs="Times New Roman" w:eastAsia="Times New Roman"/>
          <w:b w:val="0"/>
          <w:i w:val="0"/>
          <w:color w:val="000000"/>
          <w:sz w:val="28"/>
          <w:u w:val="none"/>
        </w:rPr>
        <w:t>Quy trình đánh giá 5 bước theo mốc thời gian cố định hằng tháng: tự đánh giá trước ngày 25; lãnh đạo phụ trách nhận xét trước ngày 26; cấp có thẩm quyền quyết định xếp loại trước ngày 28; công khai kết quả trước ngày 05 tháng kế tiếp; riêng tháng 12 hoàn thành trước ngày 15/12. Hệ thống tự động nhắc hạn từng bước, khóa bước quá hạn và cảnh báo người có thẩm quyền; thứ tự tính điểm là từ dưới lên (tính xong cấp dưới mới tính d, đ, e của lãnh đạo) trong khi luồng phê duyệt là từ trên xuống theo phân cấp.</w:t>
      </w:r>
    </w:p>
    <w:p>
      <w:pPr>
        <w:spacing w:after="0" w:before="120"/>
        <w:ind w:firstLine="567"/>
        <w:jc w:val="both"/>
      </w:pPr>
      <w:r>
        <w:rPr>
          <w:rFonts w:ascii="Times New Roman" w:hAnsi="Times New Roman" w:cs="Times New Roman" w:eastAsia="Times New Roman"/>
          <w:b w:val="0"/>
          <w:i w:val="0"/>
          <w:color w:val="000000"/>
          <w:sz w:val="28"/>
          <w:u w:val="none"/>
        </w:rPr>
        <w:t xml:space="preserve">7. </w:t>
      </w:r>
      <w:r>
        <w:rPr>
          <w:rFonts w:ascii="Times New Roman" w:hAnsi="Times New Roman" w:cs="Times New Roman" w:eastAsia="Times New Roman"/>
          <w:b w:val="0"/>
          <w:i w:val="0"/>
          <w:color w:val="000000"/>
          <w:sz w:val="28"/>
          <w:u w:val="none"/>
        </w:rPr>
        <w:t>Giải quyết kiến nghị: CBCCVC không đồng ý mức xếp loại được gửi kiến nghị trên hệ thống; người có thẩm quyền đánh giá trả lời; toàn bộ hồ sơ kiến nghị được lưu vết theo Điều 13 của Quy định.</w:t>
      </w:r>
    </w:p>
    <w:p>
      <w:pPr>
        <w:spacing w:after="0" w:before="120"/>
        <w:ind w:firstLine="567"/>
        <w:jc w:val="both"/>
      </w:pPr>
      <w:r>
        <w:rPr>
          <w:rFonts w:ascii="Times New Roman" w:hAnsi="Times New Roman" w:cs="Times New Roman" w:eastAsia="Times New Roman"/>
          <w:b w:val="0"/>
          <w:i w:val="0"/>
          <w:color w:val="000000"/>
          <w:sz w:val="28"/>
          <w:u w:val="none"/>
        </w:rPr>
        <w:t xml:space="preserve">8. </w:t>
      </w:r>
      <w:r>
        <w:rPr>
          <w:rFonts w:ascii="Times New Roman" w:hAnsi="Times New Roman" w:cs="Times New Roman" w:eastAsia="Times New Roman"/>
          <w:b w:val="0"/>
          <w:i w:val="0"/>
          <w:color w:val="000000"/>
          <w:sz w:val="28"/>
          <w:u w:val="none"/>
        </w:rPr>
        <w:t>Báo cáo và biểu mẫu: tự động sinh Phiếu theo dõi đánh giá theo đúng ba mẫu Phụ lục 01, 02, 03; Danh sách tổng hợp kết quả (Phụ lục 04); Thông báo công khai kết quả (Phụ lục 05) của Quy định; bảng điều hành (dashboard) theo cơ quan, theo nhóm, theo thời gian; xuất tệp định dạng docx, xlsx, pdf đúng thể thức.</w:t>
      </w:r>
    </w:p>
    <w:p>
      <w:pPr>
        <w:spacing w:after="0" w:before="120"/>
        <w:ind w:firstLine="567"/>
        <w:jc w:val="both"/>
      </w:pPr>
      <w:r>
        <w:rPr>
          <w:rFonts w:ascii="Times New Roman" w:hAnsi="Times New Roman" w:cs="Times New Roman" w:eastAsia="Times New Roman"/>
          <w:b w:val="0"/>
          <w:i w:val="0"/>
          <w:color w:val="000000"/>
          <w:sz w:val="28"/>
          <w:u w:val="none"/>
        </w:rPr>
        <w:t xml:space="preserve">9. </w:t>
      </w:r>
      <w:r>
        <w:rPr>
          <w:rFonts w:ascii="Times New Roman" w:hAnsi="Times New Roman" w:cs="Times New Roman" w:eastAsia="Times New Roman"/>
          <w:b w:val="0"/>
          <w:i w:val="0"/>
          <w:color w:val="000000"/>
          <w:sz w:val="28"/>
          <w:u w:val="none"/>
        </w:rPr>
        <w:t>Liên thông, tích hợp: kết nối hệ thống quản lý văn bản và điều hành (lấy nhiệm vụ giao qua văn bản làm nguồn giao việc, lấy văn bản phát hành làm minh chứng); hệ thống một cửa điện tử (đếm hồ sơ thủ tục hành chính đã giải quyết theo cán bộ); phần mềm quản lý cán bộ, công chức; cung cấp API chuẩn REST có xác thực để trao đổi dữ liệu với hệ thống đánh giá của Trung ương khi có yêu cầu.</w:t>
      </w:r>
    </w:p>
    <w:p>
      <w:pPr>
        <w:spacing w:after="0" w:before="120"/>
        <w:jc w:val="center"/>
      </w:pPr>
      <w:r>
        <w:rPr>
          <w:rFonts w:ascii="Times New Roman" w:hAnsi="Times New Roman" w:cs="Times New Roman" w:eastAsia="Times New Roman"/>
          <w:b/>
          <w:i w:val="0"/>
          <w:color w:val="000000"/>
          <w:sz w:val="28"/>
          <w:u w:val="none"/>
        </w:rPr>
        <w:t>Chương IV</w:t>
      </w:r>
    </w:p>
    <w:p>
      <w:pPr>
        <w:spacing w:after="0" w:before="0"/>
        <w:jc w:val="center"/>
      </w:pPr>
      <w:r>
        <w:rPr>
          <w:rFonts w:ascii="Times New Roman" w:hAnsi="Times New Roman" w:cs="Times New Roman" w:eastAsia="Times New Roman"/>
          <w:b/>
          <w:i w:val="0"/>
          <w:color w:val="000000"/>
          <w:sz w:val="28"/>
          <w:u w:val="none"/>
        </w:rPr>
        <w:t>YÊU CẦU PHI CHỨC NĂNG</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An toàn thông tin: phân quyền theo vai trò đến mức chức năng và mức dữ liệu (cá nhân chỉ xem dữ liệu của mình và phạm vi được phân quyền); nhật ký toàn bộ thao tác tạo, sửa, xóa, phê duyệt; mã hóa dữ liệu khi truyền; tuân thủ quy định bảo vệ dữ liệu cá nhân tại Nghị định số 13/2023/NĐ-CP; đáp ứng cấp độ an toàn hệ thống thông tin theo quy định hiện hành.</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Hiệu năng, quy mô: phục vụ đồng thời toàn bộ CBCCVC trong hệ thống chính trị tỉnh; thời gian phản hồi thao tác thông thường không quá 03 giây; chịu tải cao điểm các ngày 24-28 hằng tháng.</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Lưu trữ: toàn bộ tài liệu đánh giá lưu bằng hình thức điện tử theo Điều 12 của Quy định; sao lưu tự động hằng ngày; dữ liệu lưu tối thiểu theo thời hạn hồ sơ cán bộ, công chức.</w:t>
      </w:r>
    </w:p>
    <w:p>
      <w:pPr>
        <w:spacing w:after="0" w:before="120"/>
        <w:ind w:firstLine="567"/>
        <w:jc w:val="both"/>
      </w:pPr>
      <w:r>
        <w:rPr>
          <w:rFonts w:ascii="Times New Roman" w:hAnsi="Times New Roman" w:cs="Times New Roman" w:eastAsia="Times New Roman"/>
          <w:b w:val="0"/>
          <w:i w:val="0"/>
          <w:color w:val="000000"/>
          <w:sz w:val="28"/>
          <w:u w:val="none"/>
        </w:rPr>
        <w:t xml:space="preserve">4. </w:t>
      </w:r>
      <w:r>
        <w:rPr>
          <w:rFonts w:ascii="Times New Roman" w:hAnsi="Times New Roman" w:cs="Times New Roman" w:eastAsia="Times New Roman"/>
          <w:b w:val="0"/>
          <w:i w:val="0"/>
          <w:color w:val="000000"/>
          <w:sz w:val="28"/>
          <w:u w:val="none"/>
        </w:rPr>
        <w:t>Trải nghiệm: giao diện tiếng Việt, dùng được trên máy tính và thiết bị di động; thao tác tự chấm của một cá nhân trong kỳ không quá 10 phút với dữ liệu đã cập nhật trong tháng.</w:t>
      </w:r>
    </w:p>
    <w:p>
      <w:pPr>
        <w:spacing w:after="0" w:before="120"/>
        <w:jc w:val="center"/>
      </w:pPr>
      <w:r>
        <w:rPr>
          <w:rFonts w:ascii="Times New Roman" w:hAnsi="Times New Roman" w:cs="Times New Roman" w:eastAsia="Times New Roman"/>
          <w:b/>
          <w:i w:val="0"/>
          <w:color w:val="000000"/>
          <w:sz w:val="28"/>
          <w:u w:val="none"/>
        </w:rPr>
        <w:t>Chương V</w:t>
      </w:r>
    </w:p>
    <w:p>
      <w:pPr>
        <w:spacing w:after="0" w:before="0"/>
        <w:jc w:val="center"/>
      </w:pPr>
      <w:r>
        <w:rPr>
          <w:rFonts w:ascii="Times New Roman" w:hAnsi="Times New Roman" w:cs="Times New Roman" w:eastAsia="Times New Roman"/>
          <w:b/>
          <w:i w:val="0"/>
          <w:color w:val="000000"/>
          <w:sz w:val="28"/>
          <w:u w:val="none"/>
        </w:rPr>
        <w:t>MÔ HÌNH DỮ LIỆU TỐI THIỂU</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NHAN_SU: ma_cb, ho_ten, vi_tri_viec_lam, nhom_doi_tuong (LDQL/CMNV/HTPV), don_vi, ma_lanh_dao_truc_tiep, cap_tham_quyen_xep_loai, trang_thai.</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DANH_MUC: ma_sp, ten_nhiem_vu, san_pham_dau_ra, don_vi_tinh, phan_ap_dung (I/II/III), nhom_phuc_tap (1-5), diem, he_so_quy_doi, co_quan, phien_ban, hieu_luc_tu, hieu_luc_den, nguoi_phe_duyet.</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GIAO_NHIEM_VU: id, ky_danh_gia, ma_cb, ma_sp, so_luong_giao, han_hoan_thanh, nguon (ke_hoach/dot_xuat/chuyen_viec), nguoi_giao, thoi_diem_giao.</w:t>
      </w:r>
    </w:p>
    <w:p>
      <w:pPr>
        <w:spacing w:after="0" w:before="120"/>
        <w:ind w:firstLine="567"/>
        <w:jc w:val="both"/>
      </w:pPr>
      <w:r>
        <w:rPr>
          <w:rFonts w:ascii="Times New Roman" w:hAnsi="Times New Roman" w:cs="Times New Roman" w:eastAsia="Times New Roman"/>
          <w:b w:val="0"/>
          <w:i w:val="0"/>
          <w:color w:val="000000"/>
          <w:sz w:val="28"/>
          <w:u w:val="none"/>
        </w:rPr>
        <w:t xml:space="preserve">4. </w:t>
      </w:r>
      <w:r>
        <w:rPr>
          <w:rFonts w:ascii="Times New Roman" w:hAnsi="Times New Roman" w:cs="Times New Roman" w:eastAsia="Times New Roman"/>
          <w:b w:val="0"/>
          <w:i w:val="0"/>
          <w:color w:val="000000"/>
          <w:sz w:val="28"/>
          <w:u w:val="none"/>
        </w:rPr>
        <w:t>KET_QUA: id_giao_viec, sl_hoan_thanh, sl_dat_chat_luong_ngay, sl_sai_sot_lon, sl_dung_tien_do, sl_hoan_thanh_cham, minh_chung, nguoi_xac_nhan, thoi_diem_xac_nhan.</w:t>
      </w:r>
    </w:p>
    <w:p>
      <w:pPr>
        <w:spacing w:after="0" w:before="120"/>
        <w:ind w:firstLine="567"/>
        <w:jc w:val="both"/>
      </w:pPr>
      <w:r>
        <w:rPr>
          <w:rFonts w:ascii="Times New Roman" w:hAnsi="Times New Roman" w:cs="Times New Roman" w:eastAsia="Times New Roman"/>
          <w:b w:val="0"/>
          <w:i w:val="0"/>
          <w:color w:val="000000"/>
          <w:sz w:val="28"/>
          <w:u w:val="none"/>
        </w:rPr>
        <w:t xml:space="preserve">5. </w:t>
      </w:r>
      <w:r>
        <w:rPr>
          <w:rFonts w:ascii="Times New Roman" w:hAnsi="Times New Roman" w:cs="Times New Roman" w:eastAsia="Times New Roman"/>
          <w:b w:val="0"/>
          <w:i w:val="0"/>
          <w:color w:val="000000"/>
          <w:sz w:val="28"/>
          <w:u w:val="none"/>
        </w:rPr>
        <w:t>PHIEU_DANH_GIA: ky, ma_cb, diem_tieu_chi_chung (chi tiết theo mẫu phiếu), diem_tru, a, b, c, d, đ, e, diem_kpi, tong_diem, muc_xep_loai, trạng thái từng bước quy trình, ý kiến nhận xét, kiến nghị.</w:t>
      </w:r>
    </w:p>
    <w:p>
      <w:pPr>
        <w:spacing w:after="0" w:before="120"/>
        <w:ind w:firstLine="567"/>
        <w:jc w:val="both"/>
      </w:pPr>
      <w:r>
        <w:rPr>
          <w:rFonts w:ascii="Times New Roman" w:hAnsi="Times New Roman" w:cs="Times New Roman" w:eastAsia="Times New Roman"/>
          <w:b w:val="0"/>
          <w:i w:val="0"/>
          <w:color w:val="000000"/>
          <w:sz w:val="28"/>
          <w:u w:val="none"/>
        </w:rPr>
        <w:t xml:space="preserve">6. </w:t>
      </w:r>
      <w:r>
        <w:rPr>
          <w:rFonts w:ascii="Times New Roman" w:hAnsi="Times New Roman" w:cs="Times New Roman" w:eastAsia="Times New Roman"/>
          <w:b w:val="0"/>
          <w:i w:val="0"/>
          <w:color w:val="000000"/>
          <w:sz w:val="28"/>
          <w:u w:val="none"/>
        </w:rPr>
        <w:t>KY_DANH_GIA: ky, moc_tu_danh_gia, moc_nhan_xet, moc_quyet_dinh, moc_cong_khai, trang_thai_khoa.</w:t>
      </w:r>
    </w:p>
    <w:p>
      <w:pPr>
        <w:spacing w:after="0" w:before="120"/>
        <w:jc w:val="center"/>
      </w:pPr>
      <w:r>
        <w:rPr>
          <w:rFonts w:ascii="Times New Roman" w:hAnsi="Times New Roman" w:cs="Times New Roman" w:eastAsia="Times New Roman"/>
          <w:b/>
          <w:i w:val="0"/>
          <w:color w:val="000000"/>
          <w:sz w:val="28"/>
          <w:u w:val="none"/>
        </w:rPr>
        <w:t>Chương VI</w:t>
      </w:r>
    </w:p>
    <w:p>
      <w:pPr>
        <w:spacing w:after="0" w:before="0"/>
        <w:jc w:val="center"/>
      </w:pPr>
      <w:r>
        <w:rPr>
          <w:rFonts w:ascii="Times New Roman" w:hAnsi="Times New Roman" w:cs="Times New Roman" w:eastAsia="Times New Roman"/>
          <w:b/>
          <w:i w:val="0"/>
          <w:color w:val="000000"/>
          <w:sz w:val="28"/>
          <w:u w:val="none"/>
        </w:rPr>
        <w:t>ĐẶC TẢ THUẬT TOÁN TÍNH ĐIỂM</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Quy đổi: với mỗi dòng giao việc, SL_giao_qd = so_luong_giao × he_so; SL_ht_qd = sl_hoan_thanh × he_so; SL_cl_qd = (sl_dat_chat_luong_ngay + 0,75 × sl_sai_sot_lon) × he_so; SL_td_qd = (sl_dung_tien_do + 0,75 × sl_hoan_thanh_cham) × he_so. Mức trừ 25% áp dụng cho từng sản phẩm bị sai sót hoặc bị chậm, không áp dụng cho cả lô; trường hợp một sản phẩm bị trừ nhiều lần thì mức trừ cộng dồn 25% mỗi lần, tối thiểu bằng 0. Sai sót, chậm do nguyên nhân khách quan được cấp có thẩm quyền xác nhận thì không trừ.</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Ba yếu tố theo kỳ, theo người: a = min(100; ΣSL_ht_qd / ΣSL_giao_qd × 100); b = min(100; ΣSL_cl_qd / ΣSL_giao_qd × 100); c = min(100; ΣSL_td_qd / ΣSL_giao_qd × 100). Nhiệm vụ đột xuất nhận thêm được tính vào cả tử số và mẫu số phát sinh, đồng thời ghi nhận điểm cộng theo quy chế của cơ quan; nhiệm vụ đã chuyển cho người khác giữ nguyên ở mẫu số của người chuyển.</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Tiêu chí bổ sung của lãnh đạo, quản lý (chỉ hai mức 100/50, sinh tự động sau khi chốt điểm cấp dưới): d = 100 nếu 100% CBCCVC thuộc thẩm quyền quản lý xếp loại hoàn thành nhiệm vụ trở lên, bằng 50 nếu có người không hoàn thành; đ = 100 nếu đơn vị hoàn thành đầy đủ nhiệm vụ theo kế hoạch đúng hạn, bằng 50 nếu có tồn tại, chậm trễ kéo dài; e = 100 nếu không phát sinh phản ánh mất đoàn kết, bằng 50 nếu có khiếu nại, phản ánh kéo dài. Cấp phó được xét trong phạm vi lĩnh vực được phân công.</w:t>
      </w:r>
    </w:p>
    <w:p>
      <w:pPr>
        <w:spacing w:after="0" w:before="120"/>
        <w:ind w:firstLine="567"/>
        <w:jc w:val="both"/>
      </w:pPr>
      <w:r>
        <w:rPr>
          <w:rFonts w:ascii="Times New Roman" w:hAnsi="Times New Roman" w:cs="Times New Roman" w:eastAsia="Times New Roman"/>
          <w:b w:val="0"/>
          <w:i w:val="0"/>
          <w:color w:val="000000"/>
          <w:sz w:val="28"/>
          <w:u w:val="none"/>
        </w:rPr>
        <w:t xml:space="preserve">4. </w:t>
      </w:r>
      <w:r>
        <w:rPr>
          <w:rFonts w:ascii="Times New Roman" w:hAnsi="Times New Roman" w:cs="Times New Roman" w:eastAsia="Times New Roman"/>
          <w:b w:val="0"/>
          <w:i w:val="0"/>
          <w:color w:val="000000"/>
          <w:sz w:val="28"/>
          <w:u w:val="none"/>
        </w:rPr>
        <w:t>Công thức KPI theo nhóm: nhóm CMNV và HTPV: KPI = (a + b + c) / 3; nhóm LDQL: KPI = (a + b + c + d + đ + e) / 6.</w:t>
      </w:r>
    </w:p>
    <w:p>
      <w:pPr>
        <w:spacing w:after="0" w:before="120"/>
        <w:ind w:firstLine="567"/>
        <w:jc w:val="both"/>
      </w:pPr>
      <w:r>
        <w:rPr>
          <w:rFonts w:ascii="Times New Roman" w:hAnsi="Times New Roman" w:cs="Times New Roman" w:eastAsia="Times New Roman"/>
          <w:b w:val="0"/>
          <w:i w:val="0"/>
          <w:color w:val="000000"/>
          <w:sz w:val="28"/>
          <w:u w:val="none"/>
        </w:rPr>
        <w:t xml:space="preserve">5. </w:t>
      </w:r>
      <w:r>
        <w:rPr>
          <w:rFonts w:ascii="Times New Roman" w:hAnsi="Times New Roman" w:cs="Times New Roman" w:eastAsia="Times New Roman"/>
          <w:b w:val="0"/>
          <w:i w:val="0"/>
          <w:color w:val="000000"/>
          <w:sz w:val="28"/>
          <w:u w:val="none"/>
        </w:rPr>
        <w:t>Tổng hợp: Tổng điểm kỳ = Điểm tiêu chí chung (tối đa 30, theo mẫu phiếu Phụ lục 01/02/03 tương ứng nhóm) + KPI × 70% − Điểm trừ. Xếp loại: A - Hoàn thành xuất sắc từ 90 điểm; B - Hoàn thành tốt từ 70 đến dưới 90; C - Hoàn thành từ 50 đến dưới 70; D - Không hoàn thành dưới 50 điểm hoặc thuộc các trường hợp quy định tại khoản 4 Điều 8 của Quy định. Kiểm tra tự động các điều kiện phụ của mức A, B, C (tỷ lệ hoàn thành 100%, tối thiểu 30% vượt mức đối với loại A, tỷ lệ chậm không quá 20% đối với loại C) từ dữ liệu giao việc.</w:t>
      </w:r>
    </w:p>
    <w:p>
      <w:pPr>
        <w:spacing w:after="0" w:before="120"/>
        <w:ind w:firstLine="567"/>
        <w:jc w:val="both"/>
      </w:pPr>
      <w:r>
        <w:rPr>
          <w:rFonts w:ascii="Times New Roman" w:hAnsi="Times New Roman" w:cs="Times New Roman" w:eastAsia="Times New Roman"/>
          <w:b w:val="0"/>
          <w:i w:val="0"/>
          <w:color w:val="000000"/>
          <w:sz w:val="28"/>
          <w:u w:val="none"/>
        </w:rPr>
        <w:t xml:space="preserve">6. </w:t>
      </w:r>
      <w:r>
        <w:rPr>
          <w:rFonts w:ascii="Times New Roman" w:hAnsi="Times New Roman" w:cs="Times New Roman" w:eastAsia="Times New Roman"/>
          <w:b w:val="0"/>
          <w:i w:val="0"/>
          <w:color w:val="000000"/>
          <w:sz w:val="28"/>
          <w:u w:val="none"/>
        </w:rPr>
        <w:t>Kiểm soát cơ cấu: số người xếp loại A không vượt quá 20% số người xếp loại B tính theo từng cơ quan và từng nhóm nhiệm vụ tương đồng; khi vượt trần, hệ thống xếp theo điểm từ cao xuống thấp và đưa các trường hợp bằng điểm ra cấp có thẩm quyền quyết định; hỗ trợ cấu hình nâng trần (tối đa 25%) và trường hợp cơ quan từ 05 người trở xuống.</w:t>
      </w:r>
    </w:p>
    <w:p>
      <w:pPr>
        <w:spacing w:after="0" w:before="120"/>
        <w:jc w:val="center"/>
      </w:pPr>
      <w:r>
        <w:rPr>
          <w:rFonts w:ascii="Times New Roman" w:hAnsi="Times New Roman" w:cs="Times New Roman" w:eastAsia="Times New Roman"/>
          <w:b/>
          <w:i w:val="0"/>
          <w:color w:val="000000"/>
          <w:sz w:val="28"/>
          <w:u w:val="none"/>
        </w:rPr>
        <w:t>Chương VII</w:t>
      </w:r>
    </w:p>
    <w:p>
      <w:pPr>
        <w:spacing w:after="0" w:before="0"/>
        <w:jc w:val="center"/>
      </w:pPr>
      <w:r>
        <w:rPr>
          <w:rFonts w:ascii="Times New Roman" w:hAnsi="Times New Roman" w:cs="Times New Roman" w:eastAsia="Times New Roman"/>
          <w:b/>
          <w:i w:val="0"/>
          <w:color w:val="000000"/>
          <w:sz w:val="28"/>
          <w:u w:val="none"/>
        </w:rPr>
        <w:t>LỘ TRÌNH, DỮ LIỆU MẪU VÀ NGHIỆM THU</w:t>
      </w:r>
    </w:p>
    <w:p>
      <w:pPr>
        <w:spacing w:after="0" w:before="120"/>
        <w:ind w:firstLine="567"/>
        <w:jc w:val="both"/>
      </w:pPr>
      <w:r>
        <w:rPr>
          <w:rFonts w:ascii="Times New Roman" w:hAnsi="Times New Roman" w:cs="Times New Roman" w:eastAsia="Times New Roman"/>
          <w:b w:val="0"/>
          <w:i w:val="0"/>
          <w:color w:val="000000"/>
          <w:sz w:val="28"/>
          <w:u w:val="none"/>
        </w:rPr>
        <w:t xml:space="preserve">1. </w:t>
      </w:r>
      <w:r>
        <w:rPr>
          <w:rFonts w:ascii="Times New Roman" w:hAnsi="Times New Roman" w:cs="Times New Roman" w:eastAsia="Times New Roman"/>
          <w:b w:val="0"/>
          <w:i w:val="0"/>
          <w:color w:val="000000"/>
          <w:sz w:val="28"/>
          <w:u w:val="none"/>
        </w:rPr>
        <w:t>Lộ trình khuyến nghị: giai đoạn 1 xây dựng và vận hành thí điểm tại một số cơ quan trong 03 tháng; giai đoạn 2 hoàn thiện theo phản hồi, kết nối liên thông; giai đoạn 3 triển khai diện rộng toàn hệ thống chính trị tỉnh theo chỉ đạo của Ban Thường vụ Tỉnh ủy.</w:t>
      </w:r>
    </w:p>
    <w:p>
      <w:pPr>
        <w:spacing w:after="0" w:before="120"/>
        <w:ind w:firstLine="567"/>
        <w:jc w:val="both"/>
      </w:pPr>
      <w:r>
        <w:rPr>
          <w:rFonts w:ascii="Times New Roman" w:hAnsi="Times New Roman" w:cs="Times New Roman" w:eastAsia="Times New Roman"/>
          <w:b w:val="0"/>
          <w:i w:val="0"/>
          <w:color w:val="000000"/>
          <w:sz w:val="28"/>
          <w:u w:val="none"/>
        </w:rPr>
        <w:t xml:space="preserve">2. </w:t>
      </w:r>
      <w:r>
        <w:rPr>
          <w:rFonts w:ascii="Times New Roman" w:hAnsi="Times New Roman" w:cs="Times New Roman" w:eastAsia="Times New Roman"/>
          <w:b w:val="0"/>
          <w:i w:val="0"/>
          <w:color w:val="000000"/>
          <w:sz w:val="28"/>
          <w:u w:val="none"/>
        </w:rPr>
        <w:t>Dữ liệu mẫu và chuẩn đối chiếu: file Excel "Engine_tinh_diem_KPI_mo_phong.xlsx" kèm theo tài liệu này mô phỏng đầy đủ luồng dữ liệu (danh mục ba phần, nhân sự ba nhóm, giao việc, tiêu chí chung, tính KPI, kiểm soát trần) và là bộ ca kiểm thử (test oracle) bắt buộc: với cùng dữ liệu đầu vào, kết quả tính toán của phần mềm phải trùng khớp kết quả của file Excel đến 02 chữ số thập phân.</w:t>
      </w:r>
    </w:p>
    <w:p>
      <w:pPr>
        <w:spacing w:after="0" w:before="120"/>
        <w:ind w:firstLine="567"/>
        <w:jc w:val="both"/>
      </w:pPr>
      <w:r>
        <w:rPr>
          <w:rFonts w:ascii="Times New Roman" w:hAnsi="Times New Roman" w:cs="Times New Roman" w:eastAsia="Times New Roman"/>
          <w:b w:val="0"/>
          <w:i w:val="0"/>
          <w:color w:val="000000"/>
          <w:sz w:val="28"/>
          <w:u w:val="none"/>
        </w:rPr>
        <w:t xml:space="preserve">3. </w:t>
      </w:r>
      <w:r>
        <w:rPr>
          <w:rFonts w:ascii="Times New Roman" w:hAnsi="Times New Roman" w:cs="Times New Roman" w:eastAsia="Times New Roman"/>
          <w:b w:val="0"/>
          <w:i w:val="0"/>
          <w:color w:val="000000"/>
          <w:sz w:val="28"/>
          <w:u w:val="none"/>
        </w:rPr>
        <w:t>Tiêu chí nghiệm thu chính: tính đúng thuật toán tại Chương VI; chạy đúng quy trình 5 bước với các mốc khóa thời gian; sinh đúng biểu mẫu Phụ lục 01-05 của Quy định; phân quyền đúng cây thẩm quyền Điều 9; đáp ứng yêu cầu phi chức năng Chương IV; có tài liệu hướng dẫn sử dụng, tài liệu quản trị và chuyển giao mã nguồn, cơ sở dữ liệu theo hợp đồng./.</w:t>
      </w:r>
      <w:r>
        <w:rPr>
          <w:rFonts w:ascii="Times New Roman" w:hAnsi="Times New Roman" w:cs="Times New Roman" w:eastAsia="Times New Roman"/>
          <w:b w:val="0"/>
          <w:i w:val="0"/>
          <w:color w:val="000000"/>
          <w:sz w:val="28"/>
          <w:u w:val="none"/>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864"/>
            <w:tcMar>
              <w:top w:w="0" w:type="dxa"/>
              <w:left w:w="0" w:type="dxa"/>
              <w:bottom w:w="0" w:type="dxa"/>
              <w:right w:w="0" w:type="dxa"/>
            </w:tcMar>
            <w:tcBorders>
              <w:top w:val="nil"/>
              <w:left w:val="nil"/>
              <w:bottom w:val="nil"/>
              <w:right w:val="nil"/>
            </w:tcBorders>
          </w:tcPr>
          <w:p>
            <w:pPr>
              <w:spacing w:after="0"/>
            </w:pPr>
            <w:r>
              <w:rPr>
                <w:rFonts w:ascii="Times New Roman" w:hAnsi="Times New Roman" w:cs="Times New Roman" w:eastAsia="Times New Roman"/>
                <w:b/>
                <w:i/>
                <w:color w:val="000000"/>
                <w:sz w:val="24"/>
                <w:u w:val="none"/>
              </w:rPr>
              <w:t>Nơi nhận:</w:t>
            </w:r>
          </w:p>
          <w:p>
            <w:pPr>
              <w:spacing w:after="0"/>
            </w:pPr>
            <w:r>
              <w:rPr>
                <w:rFonts w:ascii="Times New Roman" w:hAnsi="Times New Roman" w:cs="Times New Roman" w:eastAsia="Times New Roman"/>
                <w:b w:val="0"/>
                <w:i w:val="0"/>
                <w:color w:val="000000"/>
                <w:sz w:val="22"/>
                <w:u w:val="none"/>
              </w:rPr>
              <w:t>- Đơn vị phát triển phần mềm;</w:t>
            </w:r>
          </w:p>
          <w:p>
            <w:pPr>
              <w:spacing w:after="0"/>
            </w:pPr>
            <w:r>
              <w:rPr>
                <w:rFonts w:ascii="Times New Roman" w:hAnsi="Times New Roman" w:cs="Times New Roman" w:eastAsia="Times New Roman"/>
                <w:b w:val="0"/>
                <w:i w:val="0"/>
                <w:color w:val="000000"/>
                <w:sz w:val="22"/>
                <w:u w:val="none"/>
              </w:rPr>
              <w:t>- Sở Khoa học và Công nghệ (để phối hợp);</w:t>
            </w:r>
          </w:p>
          <w:p>
            <w:pPr>
              <w:spacing w:after="0"/>
            </w:pPr>
            <w:r>
              <w:rPr>
                <w:rFonts w:ascii="Times New Roman" w:hAnsi="Times New Roman" w:cs="Times New Roman" w:eastAsia="Times New Roman"/>
                <w:b w:val="0"/>
                <w:i w:val="0"/>
                <w:color w:val="000000"/>
                <w:sz w:val="22"/>
                <w:u w:val="none"/>
              </w:rPr>
              <w:t>- Ban Tổ chức Tỉnh ủy, Sở Nội vụ (để báo cáo);</w:t>
            </w:r>
          </w:p>
          <w:p>
            <w:pPr>
              <w:spacing w:after="0"/>
            </w:pPr>
            <w:r>
              <w:rPr>
                <w:rFonts w:ascii="Times New Roman" w:hAnsi="Times New Roman" w:cs="Times New Roman" w:eastAsia="Times New Roman"/>
                <w:b w:val="0"/>
                <w:i w:val="0"/>
                <w:color w:val="000000"/>
                <w:sz w:val="22"/>
                <w:u w:val="none"/>
              </w:rPr>
              <w:t>- Lãnh đạo Văn phòng;</w:t>
            </w:r>
          </w:p>
          <w:p>
            <w:pPr>
              <w:spacing w:after="0"/>
            </w:pPr>
            <w:r>
              <w:rPr>
                <w:rFonts w:ascii="Times New Roman" w:hAnsi="Times New Roman" w:cs="Times New Roman" w:eastAsia="Times New Roman"/>
                <w:b w:val="0"/>
                <w:i w:val="0"/>
                <w:color w:val="000000"/>
                <w:sz w:val="22"/>
                <w:u w:val="none"/>
              </w:rPr>
              <w:t>Lưu: VT, HC-TC-QT.</w:t>
            </w:r>
          </w:p>
        </w:tc>
        <w:tc>
          <w:tcPr>
            <w:tcW w:type="dxa" w:w="4490"/>
            <w:tcMar>
              <w:top w:w="0" w:type="dxa"/>
              <w:left w:w="0" w:type="dxa"/>
              <w:bottom w:w="0" w:type="dxa"/>
              <w:right w:w="0" w:type="dxa"/>
            </w:tcMar>
            <w:tcBorders>
              <w:top w:val="nil"/>
              <w:left w:val="nil"/>
              <w:bottom w:val="nil"/>
              <w:right w:val="nil"/>
            </w:tcBorders>
          </w:tcPr>
          <w:p>
            <w:pPr>
              <w:spacing w:after="0"/>
              <w:jc w:val="center"/>
            </w:pPr>
            <w:r>
              <w:rPr>
                <w:rFonts w:ascii="Times New Roman" w:hAnsi="Times New Roman" w:cs="Times New Roman" w:eastAsia="Times New Roman"/>
                <w:b/>
                <w:i w:val="0"/>
                <w:color w:val="000000"/>
                <w:sz w:val="28"/>
                <w:u w:val="none"/>
              </w:rPr>
              <w:t>CHÁNH VĂN PHÒNG</w:t>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val="0"/>
                <w:i w:val="0"/>
                <w:color w:val="000000"/>
                <w:sz w:val="28"/>
                <w:u w:val="none"/>
              </w:rPr>
            </w:r>
          </w:p>
          <w:p>
            <w:pPr>
              <w:spacing w:after="0"/>
              <w:jc w:val="center"/>
            </w:pPr>
            <w:r>
              <w:rPr>
                <w:rFonts w:ascii="Times New Roman" w:hAnsi="Times New Roman" w:cs="Times New Roman" w:eastAsia="Times New Roman"/>
                <w:b/>
                <w:i w:val="0"/>
                <w:color w:val="000000"/>
                <w:sz w:val="28"/>
                <w:u w:val="none"/>
              </w:rPr>
              <w:t>……………………</w:t>
            </w:r>
          </w:p>
        </w:tc>
      </w:tr>
    </w:tbl>
    <w:sectPr w:rsidR="00FC693F" w:rsidRPr="0006063C" w:rsidSect="00034616">
      <w:head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val="0"/>
        <w:color w:val="000000"/>
        <w:sz w:val="26"/>
        <w:u w:val="none"/>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