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082"/>
          </w:tcPr>
          <w:p>
            <w:pPr>
              <w:jc w:val="center"/>
            </w:pPr>
            <w:r>
              <w:rPr>
                <w:rFonts w:ascii="Times New Roman" w:hAnsi="Times New Roman" w:cs="Times New Roman" w:eastAsia="Times New Roman"/>
                <w:b w:val="0"/>
                <w:i w:val="0"/>
                <w:sz w:val="28"/>
              </w:rPr>
              <w:t>TỈNH ỦY THANH HÓA</w:t>
            </w:r>
          </w:p>
          <w:p>
            <w:pPr>
              <w:jc w:val="center"/>
            </w:pPr>
            <w:r>
              <w:rPr>
                <w:rFonts w:ascii="Times New Roman" w:hAnsi="Times New Roman" w:cs="Times New Roman" w:eastAsia="Times New Roman"/>
                <w:b/>
                <w:i w:val="0"/>
                <w:sz w:val="28"/>
              </w:rPr>
              <w:t>VĂN PHÒNG</w:t>
            </w:r>
          </w:p>
          <w:p>
            <w:pPr>
              <w:jc w:val="center"/>
            </w:pPr>
            <w:r>
              <w:rPr>
                <w:rFonts w:ascii="Times New Roman" w:hAnsi="Times New Roman" w:cs="Times New Roman" w:eastAsia="Times New Roman"/>
                <w:b/>
                <w:i w:val="0"/>
                <w:sz w:val="28"/>
              </w:rPr>
              <w:t>*</w:t>
            </w:r>
          </w:p>
          <w:p>
            <w:pPr>
              <w:spacing w:before="80"/>
              <w:jc w:val="center"/>
            </w:pPr>
            <w:r>
              <w:rPr>
                <w:rFonts w:ascii="Times New Roman" w:hAnsi="Times New Roman" w:cs="Times New Roman" w:eastAsia="Times New Roman"/>
                <w:b w:val="0"/>
                <w:i w:val="0"/>
                <w:sz w:val="28"/>
              </w:rPr>
              <w:t>Số …-QĐ/VPTU</w:t>
            </w:r>
          </w:p>
        </w:tc>
        <w:tc>
          <w:tcPr>
            <w:tcW w:type="dxa" w:w="5272"/>
          </w:tcPr>
          <w:p>
            <w:pPr>
              <w:jc w:val="center"/>
              <w:pBdr>
                <w:bottom w:val="single" w:sz="8" w:space="1" w:color="000000"/>
              </w:pBdr>
            </w:pPr>
            <w:r>
              <w:rPr>
                <w:rFonts w:ascii="Times New Roman" w:hAnsi="Times New Roman" w:cs="Times New Roman" w:eastAsia="Times New Roman"/>
                <w:b/>
                <w:i w:val="0"/>
                <w:sz w:val="30"/>
              </w:rPr>
              <w:t>ĐẢNG CỘNG SẢN VIỆT NAM</w:t>
            </w:r>
          </w:p>
          <w:p>
            <w:pPr>
              <w:spacing w:before="120"/>
              <w:jc w:val="center"/>
            </w:pPr>
            <w:r>
              <w:rPr>
                <w:rFonts w:ascii="Times New Roman" w:hAnsi="Times New Roman" w:cs="Times New Roman" w:eastAsia="Times New Roman"/>
                <w:b w:val="0"/>
                <w:i/>
                <w:sz w:val="28"/>
              </w:rPr>
              <w:t>Thanh Hóa, ngày … tháng 7 năm 2026</w:t>
            </w:r>
          </w:p>
        </w:tc>
      </w:tr>
    </w:tbl>
    <w:p>
      <w:pPr>
        <w:spacing w:before="280" w:after="0"/>
        <w:jc w:val="center"/>
      </w:pPr>
      <w:r>
        <w:rPr>
          <w:rFonts w:ascii="Times New Roman" w:hAnsi="Times New Roman" w:cs="Times New Roman" w:eastAsia="Times New Roman"/>
          <w:b/>
          <w:i w:val="0"/>
          <w:sz w:val="32"/>
        </w:rPr>
        <w:t>QUYẾT ĐỊNH</w:t>
      </w:r>
    </w:p>
    <w:p>
      <w:pPr>
        <w:spacing w:before="0" w:after="0"/>
        <w:jc w:val="center"/>
      </w:pPr>
      <w:r>
        <w:rPr>
          <w:rFonts w:ascii="Times New Roman" w:hAnsi="Times New Roman" w:cs="Times New Roman" w:eastAsia="Times New Roman"/>
          <w:b/>
          <w:i w:val="0"/>
          <w:sz w:val="28"/>
        </w:rPr>
        <w:t>ban hành Danh mục sản phẩm/công việc, Đơn vị sản phẩm/công việc chuẩn</w:t>
      </w:r>
    </w:p>
    <w:p>
      <w:pPr>
        <w:spacing w:before="0" w:after="0"/>
        <w:jc w:val="center"/>
      </w:pPr>
      <w:r>
        <w:rPr>
          <w:rFonts w:ascii="Times New Roman" w:hAnsi="Times New Roman" w:cs="Times New Roman" w:eastAsia="Times New Roman"/>
          <w:b/>
          <w:i w:val="0"/>
          <w:sz w:val="28"/>
        </w:rPr>
        <w:t>và Danh mục sản phẩm/công việc quy đổi phục vụ theo dõi, đánh giá,</w:t>
      </w:r>
    </w:p>
    <w:p>
      <w:pPr>
        <w:spacing w:before="0" w:after="0"/>
        <w:jc w:val="center"/>
      </w:pPr>
      <w:r>
        <w:rPr>
          <w:rFonts w:ascii="Times New Roman" w:hAnsi="Times New Roman" w:cs="Times New Roman" w:eastAsia="Times New Roman"/>
          <w:b/>
          <w:i w:val="0"/>
          <w:sz w:val="28"/>
        </w:rPr>
        <w:t>xếp loại chất lượng cán bộ, công chức, lao động hợp đồng theo KPI</w:t>
      </w:r>
    </w:p>
    <w:p>
      <w:pPr>
        <w:spacing w:before="0" w:after="160"/>
        <w:jc w:val="center"/>
      </w:pPr>
      <w:r>
        <w:rPr>
          <w:rFonts w:ascii="Times New Roman" w:hAnsi="Times New Roman" w:cs="Times New Roman" w:eastAsia="Times New Roman"/>
          <w:b/>
          <w:i w:val="0"/>
          <w:sz w:val="28"/>
        </w:rPr>
        <w:t>-----</w:t>
      </w:r>
    </w:p>
    <w:p>
      <w:pPr>
        <w:spacing w:before="0" w:after="80"/>
        <w:ind w:firstLine="567"/>
        <w:jc w:val="both"/>
      </w:pPr>
      <w:r>
        <w:rPr>
          <w:rFonts w:ascii="Times New Roman" w:hAnsi="Times New Roman" w:cs="Times New Roman" w:eastAsia="Times New Roman"/>
          <w:b w:val="0"/>
          <w:i/>
          <w:sz w:val="28"/>
        </w:rPr>
        <w:t>- Căn cứ Quy định của Ban Thường vụ Tỉnh ủy về chức năng, nhiệm vụ, quyền hạn, tổ chức bộ máy của Văn phòng Tỉnh ủy;</w:t>
      </w:r>
    </w:p>
    <w:p>
      <w:pPr>
        <w:spacing w:before="0" w:after="80"/>
        <w:ind w:firstLine="567"/>
        <w:jc w:val="both"/>
      </w:pPr>
      <w:r>
        <w:rPr>
          <w:rFonts w:ascii="Times New Roman" w:hAnsi="Times New Roman" w:cs="Times New Roman" w:eastAsia="Times New Roman"/>
          <w:b w:val="0"/>
          <w:i/>
          <w:sz w:val="28"/>
        </w:rPr>
        <w:t>- Căn cứ Quy định số …-QĐ/TU ngày …/6/2026 của Ban Thường vụ Tỉnh ủy Thanh Hóa về đánh giá, xếp loại chất lượng cán bộ, công chức, viên chức, lao động hợp đồng gắn với đo lường, đánh giá kết quả, hiệu quả công việc trong hệ thống chính trị tỉnh Thanh Hóa;</w:t>
      </w:r>
    </w:p>
    <w:p>
      <w:pPr>
        <w:spacing w:before="0" w:after="80"/>
        <w:ind w:firstLine="567"/>
        <w:jc w:val="both"/>
      </w:pPr>
      <w:r>
        <w:rPr>
          <w:rFonts w:ascii="Times New Roman" w:hAnsi="Times New Roman" w:cs="Times New Roman" w:eastAsia="Times New Roman"/>
          <w:b w:val="0"/>
          <w:i/>
          <w:sz w:val="28"/>
        </w:rPr>
        <w:t>- Căn cứ Nghị định số 335/2025/NĐ-CP ngày 21/12/2025 của Chính phủ quy định về đánh giá, xếp loại chất lượng đối với cơ quan hành chính nhà nước và công chức;</w:t>
      </w:r>
    </w:p>
    <w:p>
      <w:pPr>
        <w:spacing w:before="0" w:after="80"/>
        <w:ind w:firstLine="567"/>
        <w:jc w:val="both"/>
      </w:pPr>
      <w:r>
        <w:rPr>
          <w:rFonts w:ascii="Times New Roman" w:hAnsi="Times New Roman" w:cs="Times New Roman" w:eastAsia="Times New Roman"/>
          <w:b w:val="0"/>
          <w:i/>
          <w:sz w:val="28"/>
        </w:rPr>
        <w:t>- Thực hiện Hướng dẫn số 02-HD/BTCTW ngày 22/5/2026 của Ban Tổ chức Trung ương và Sổ tay hướng dẫn của Bộ Nội vụ;</w:t>
      </w:r>
    </w:p>
    <w:p>
      <w:pPr>
        <w:spacing w:before="0" w:after="80"/>
        <w:ind w:firstLine="567"/>
        <w:jc w:val="both"/>
      </w:pPr>
      <w:r>
        <w:rPr>
          <w:rFonts w:ascii="Times New Roman" w:hAnsi="Times New Roman" w:cs="Times New Roman" w:eastAsia="Times New Roman"/>
          <w:b w:val="0"/>
          <w:i/>
          <w:sz w:val="28"/>
        </w:rPr>
        <w:t>- Xét đề nghị của Trưởng phòng Hành chính - Quản trị,</w:t>
      </w:r>
    </w:p>
    <w:p>
      <w:pPr>
        <w:spacing w:before="160" w:after="0"/>
        <w:jc w:val="center"/>
      </w:pPr>
      <w:r>
        <w:rPr>
          <w:rFonts w:ascii="Times New Roman" w:hAnsi="Times New Roman" w:cs="Times New Roman" w:eastAsia="Times New Roman"/>
          <w:b/>
          <w:i w:val="0"/>
          <w:sz w:val="28"/>
        </w:rPr>
        <w:t>CHÁNH VĂN PHÒNG TỈNH ỦY</w:t>
      </w:r>
    </w:p>
    <w:p>
      <w:pPr>
        <w:spacing w:before="0" w:after="160"/>
        <w:jc w:val="center"/>
      </w:pPr>
      <w:r>
        <w:rPr>
          <w:rFonts w:ascii="Times New Roman" w:hAnsi="Times New Roman" w:cs="Times New Roman" w:eastAsia="Times New Roman"/>
          <w:b/>
          <w:i w:val="0"/>
          <w:sz w:val="28"/>
        </w:rPr>
        <w:t>QUYẾT ĐỊNH:</w:t>
      </w:r>
    </w:p>
    <w:p>
      <w:pPr>
        <w:spacing w:before="0" w:after="80"/>
        <w:ind w:firstLine="567"/>
        <w:jc w:val="both"/>
      </w:pPr>
      <w:r>
        <w:rPr>
          <w:rFonts w:ascii="Times New Roman" w:hAnsi="Times New Roman" w:cs="Times New Roman" w:eastAsia="Times New Roman"/>
          <w:b/>
          <w:i w:val="0"/>
          <w:sz w:val="28"/>
        </w:rPr>
        <w:t xml:space="preserve">Điều 1. </w:t>
      </w:r>
      <w:r>
        <w:rPr>
          <w:rFonts w:ascii="Times New Roman" w:hAnsi="Times New Roman" w:cs="Times New Roman" w:eastAsia="Times New Roman"/>
          <w:b w:val="0"/>
          <w:i w:val="0"/>
          <w:sz w:val="28"/>
        </w:rPr>
        <w:t>Ban hành kèm theo Quyết định này:</w:t>
      </w:r>
    </w:p>
    <w:p>
      <w:pPr>
        <w:spacing w:before="0" w:after="80"/>
        <w:ind w:firstLine="567"/>
        <w:jc w:val="both"/>
      </w:pPr>
      <w:r>
        <w:rPr>
          <w:rFonts w:ascii="Times New Roman" w:hAnsi="Times New Roman" w:cs="Times New Roman" w:eastAsia="Times New Roman"/>
          <w:b w:val="0"/>
          <w:i w:val="0"/>
          <w:sz w:val="28"/>
        </w:rPr>
        <w:t>1. Đơn vị sản phẩm/công việc chuẩn của cơ quan (Phụ lục I).</w:t>
      </w:r>
    </w:p>
    <w:p>
      <w:pPr>
        <w:spacing w:before="0" w:after="80"/>
        <w:ind w:firstLine="567"/>
        <w:jc w:val="both"/>
      </w:pPr>
      <w:r>
        <w:rPr>
          <w:rFonts w:ascii="Times New Roman" w:hAnsi="Times New Roman" w:cs="Times New Roman" w:eastAsia="Times New Roman"/>
          <w:b w:val="0"/>
          <w:i w:val="0"/>
          <w:sz w:val="28"/>
        </w:rPr>
        <w:t>2. Danh mục sản phẩm/công việc và Danh mục sản phẩm/công việc quy đổi, phân theo ba nhóm đối tượng: lãnh đạo, quản lý; chuyên môn, nghiệp vụ; hỗ trợ, phục vụ (Phụ lục II).</w:t>
      </w:r>
    </w:p>
    <w:p>
      <w:pPr>
        <w:spacing w:before="0" w:after="80"/>
        <w:ind w:firstLine="567"/>
        <w:jc w:val="both"/>
      </w:pPr>
      <w:r>
        <w:rPr>
          <w:rFonts w:ascii="Times New Roman" w:hAnsi="Times New Roman" w:cs="Times New Roman" w:eastAsia="Times New Roman"/>
          <w:b/>
          <w:i w:val="0"/>
          <w:sz w:val="28"/>
        </w:rPr>
        <w:t xml:space="preserve">Điều 2. </w:t>
      </w:r>
      <w:r>
        <w:rPr>
          <w:rFonts w:ascii="Times New Roman" w:hAnsi="Times New Roman" w:cs="Times New Roman" w:eastAsia="Times New Roman"/>
          <w:b w:val="0"/>
          <w:i w:val="0"/>
          <w:sz w:val="28"/>
        </w:rPr>
        <w:t>Nguyên tắc áp dụng:</w:t>
      </w:r>
    </w:p>
    <w:p>
      <w:pPr>
        <w:spacing w:before="0" w:after="80"/>
        <w:ind w:firstLine="567"/>
        <w:jc w:val="both"/>
      </w:pPr>
      <w:r>
        <w:rPr>
          <w:rFonts w:ascii="Times New Roman" w:hAnsi="Times New Roman" w:cs="Times New Roman" w:eastAsia="Times New Roman"/>
          <w:b w:val="0"/>
          <w:i w:val="0"/>
          <w:sz w:val="28"/>
        </w:rPr>
        <w:t>1. Cán bộ, công chức, lao động hợp đồng được xác định thuộc một trong ba nhóm đối tượng theo vị trí việc làm; áp dụng phần Danh mục, phiếu tiêu chí chung và công thức tính điểm KPI tương ứng với nhóm theo Quy định số …-QĐ/TU của Ban Thường vụ Tỉnh ủy.</w:t>
      </w:r>
    </w:p>
    <w:p>
      <w:pPr>
        <w:spacing w:before="0" w:after="80"/>
        <w:ind w:firstLine="567"/>
        <w:jc w:val="both"/>
      </w:pPr>
      <w:r>
        <w:rPr>
          <w:rFonts w:ascii="Times New Roman" w:hAnsi="Times New Roman" w:cs="Times New Roman" w:eastAsia="Times New Roman"/>
          <w:b w:val="0"/>
          <w:i w:val="0"/>
          <w:sz w:val="28"/>
        </w:rPr>
        <w:t>2. Cán bộ lãnh đạo, quản lý được kiểm đếm nhiệm vụ tại Phần I (khi trực tiếp thực hiện) và Phần II của Danh mục; ba tiêu chí d, đ, e chấm theo hai mức 100%/50% từ kết quả của đơn vị, không quy đổi theo Danh mục.</w:t>
      </w:r>
    </w:p>
    <w:p>
      <w:pPr>
        <w:spacing w:before="0" w:after="80"/>
        <w:ind w:firstLine="567"/>
        <w:jc w:val="both"/>
      </w:pPr>
      <w:r>
        <w:rPr>
          <w:rFonts w:ascii="Times New Roman" w:hAnsi="Times New Roman" w:cs="Times New Roman" w:eastAsia="Times New Roman"/>
          <w:b w:val="0"/>
          <w:i w:val="0"/>
          <w:sz w:val="28"/>
        </w:rPr>
        <w:t>3. Nhiệm vụ phát sinh chưa có trong Danh mục do lãnh đạo phụ trách trực tiếp xác định nhóm độ phức tạp, hệ số quy đổi tương đương; Danh mục được rà soát, điều chỉnh định kỳ 06 tháng một lần.</w:t>
      </w:r>
    </w:p>
    <w:p>
      <w:pPr>
        <w:spacing w:before="0" w:after="80"/>
        <w:ind w:firstLine="567"/>
        <w:jc w:val="both"/>
      </w:pPr>
      <w:r>
        <w:rPr>
          <w:rFonts w:ascii="Times New Roman" w:hAnsi="Times New Roman" w:cs="Times New Roman" w:eastAsia="Times New Roman"/>
          <w:b/>
          <w:i w:val="0"/>
          <w:sz w:val="28"/>
        </w:rPr>
        <w:t xml:space="preserve">Điều 3. </w:t>
      </w:r>
      <w:r>
        <w:rPr>
          <w:rFonts w:ascii="Times New Roman" w:hAnsi="Times New Roman" w:cs="Times New Roman" w:eastAsia="Times New Roman"/>
          <w:b w:val="0"/>
          <w:i w:val="0"/>
          <w:sz w:val="28"/>
        </w:rPr>
        <w:t>Quyết định này có hiệu lực kể từ ngày ký. Trưởng phòng Hành chính - Quản trị, trưởng các phòng và toàn thể cán bộ, công chức, lao động hợp đồng thuộc cơ quan chịu trách nhiệm thi hành Quyết định này./.</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535"/>
          </w:tcPr>
          <w:p>
            <w:r>
              <w:rPr>
                <w:rFonts w:ascii="Times New Roman" w:hAnsi="Times New Roman" w:cs="Times New Roman" w:eastAsia="Times New Roman"/>
                <w:b/>
                <w:i/>
                <w:sz w:val="28"/>
              </w:rPr>
              <w:t>Nơi nhận:</w:t>
            </w:r>
          </w:p>
          <w:p>
            <w:r>
              <w:rPr>
                <w:rFonts w:ascii="Times New Roman" w:hAnsi="Times New Roman" w:cs="Times New Roman" w:eastAsia="Times New Roman"/>
                <w:b w:val="0"/>
                <w:i w:val="0"/>
                <w:sz w:val="24"/>
              </w:rPr>
              <w:t>- Như Điều 3;</w:t>
            </w:r>
          </w:p>
          <w:p>
            <w:r>
              <w:rPr>
                <w:rFonts w:ascii="Times New Roman" w:hAnsi="Times New Roman" w:cs="Times New Roman" w:eastAsia="Times New Roman"/>
                <w:b w:val="0"/>
                <w:i w:val="0"/>
                <w:sz w:val="24"/>
              </w:rPr>
              <w:t>- Thường trực Tỉnh ủy (để báo cáo);</w:t>
            </w:r>
          </w:p>
          <w:p>
            <w:r>
              <w:rPr>
                <w:rFonts w:ascii="Times New Roman" w:hAnsi="Times New Roman" w:cs="Times New Roman" w:eastAsia="Times New Roman"/>
                <w:b w:val="0"/>
                <w:i w:val="0"/>
                <w:sz w:val="24"/>
              </w:rPr>
              <w:t>- Ban Tổ chức Tỉnh ủy (để báo cáo);</w:t>
            </w:r>
          </w:p>
          <w:p>
            <w:r>
              <w:rPr>
                <w:rFonts w:ascii="Times New Roman" w:hAnsi="Times New Roman" w:cs="Times New Roman" w:eastAsia="Times New Roman"/>
                <w:b w:val="0"/>
                <w:i w:val="0"/>
                <w:sz w:val="24"/>
              </w:rPr>
              <w:t>- Lãnh đạo Văn phòng Tỉnh ủy;</w:t>
            </w:r>
          </w:p>
          <w:p>
            <w:r>
              <w:rPr>
                <w:rFonts w:ascii="Times New Roman" w:hAnsi="Times New Roman" w:cs="Times New Roman" w:eastAsia="Times New Roman"/>
                <w:b w:val="0"/>
                <w:i w:val="0"/>
                <w:sz w:val="24"/>
              </w:rPr>
              <w:t>- Lưu Văn phòng Tỉnh ủy.</w:t>
            </w:r>
          </w:p>
        </w:tc>
        <w:tc>
          <w:tcPr>
            <w:tcW w:type="dxa" w:w="4819"/>
          </w:tcPr>
          <w:p>
            <w:pPr>
              <w:jc w:val="center"/>
            </w:pPr>
            <w:r>
              <w:rPr>
                <w:rFonts w:ascii="Times New Roman" w:hAnsi="Times New Roman" w:cs="Times New Roman" w:eastAsia="Times New Roman"/>
                <w:b/>
                <w:i w:val="0"/>
                <w:sz w:val="28"/>
              </w:rPr>
              <w:t>CHÁNH VĂN PHÒNG</w:t>
            </w:r>
          </w:p>
          <w:p/>
          <w:p/>
          <w:p/>
          <w:p/>
          <w:p>
            <w:pPr>
              <w:jc w:val="center"/>
            </w:pPr>
            <w:r>
              <w:rPr>
                <w:rFonts w:ascii="Times New Roman" w:hAnsi="Times New Roman" w:cs="Times New Roman" w:eastAsia="Times New Roman"/>
                <w:b/>
                <w:i w:val="0"/>
                <w:sz w:val="28"/>
              </w:rPr>
              <w:t>……………………</w:t>
            </w:r>
          </w:p>
        </w:tc>
      </w:tr>
    </w:tbl>
    <w:p>
      <w:pPr>
        <w:sectPr>
          <w:headerReference w:type="default" r:id="rId9"/>
          <w:pgSz w:w="11906" w:h="16838"/>
          <w:pgMar w:top="1134" w:right="850" w:bottom="1134" w:left="1701" w:header="720" w:footer="720" w:gutter="0"/>
          <w:cols w:space="720"/>
          <w:titlePg/>
          <w:docGrid w:linePitch="360"/>
        </w:sectPr>
      </w:pPr>
    </w:p>
    <w:p>
      <w:pPr>
        <w:spacing w:before="0" w:after="0"/>
        <w:jc w:val="center"/>
      </w:pPr>
      <w:r>
        <w:rPr>
          <w:rFonts w:ascii="Times New Roman" w:hAnsi="Times New Roman" w:cs="Times New Roman" w:eastAsia="Times New Roman"/>
          <w:b/>
          <w:i w:val="0"/>
          <w:sz w:val="28"/>
        </w:rPr>
        <w:t>Phụ lục I</w:t>
      </w:r>
    </w:p>
    <w:p>
      <w:pPr>
        <w:spacing w:before="0" w:after="0"/>
        <w:jc w:val="center"/>
      </w:pPr>
      <w:r>
        <w:rPr>
          <w:rFonts w:ascii="Times New Roman" w:hAnsi="Times New Roman" w:cs="Times New Roman" w:eastAsia="Times New Roman"/>
          <w:b/>
          <w:i w:val="0"/>
          <w:sz w:val="28"/>
        </w:rPr>
        <w:t>ĐƠN VỊ SẢN PHẨM/CÔNG VIỆC CHUẨN</w:t>
      </w:r>
    </w:p>
    <w:p>
      <w:pPr>
        <w:spacing w:before="0" w:after="0"/>
        <w:jc w:val="center"/>
      </w:pPr>
      <w:r>
        <w:rPr>
          <w:rFonts w:ascii="Times New Roman" w:hAnsi="Times New Roman" w:cs="Times New Roman" w:eastAsia="Times New Roman"/>
          <w:b/>
          <w:i w:val="0"/>
          <w:sz w:val="26"/>
        </w:rPr>
        <w:t>CỦA VĂN PHÒNG TỈNH ỦY THANH HÓA</w:t>
      </w:r>
    </w:p>
    <w:p>
      <w:pPr>
        <w:spacing w:before="0" w:after="160"/>
        <w:jc w:val="center"/>
      </w:pPr>
      <w:r>
        <w:rPr>
          <w:rFonts w:ascii="Times New Roman" w:hAnsi="Times New Roman" w:cs="Times New Roman" w:eastAsia="Times New Roman"/>
          <w:b w:val="0"/>
          <w:i/>
          <w:sz w:val="26"/>
        </w:rPr>
        <w:t>(Kèm theo Quyết định số …-QĐ/VPTU ngày …/7/2026 của Chánh Văn phòng Tỉnh ủy Thanh Hóa)</w:t>
      </w:r>
    </w:p>
    <w:tbl>
      <w:tblPr>
        <w:tblStyle w:val="TableGrid"/>
        <w:tblW w:type="auto" w:w="0"/>
        <w:tblLook w:firstColumn="1" w:firstRow="1" w:lastColumn="0" w:lastRow="0" w:noHBand="0" w:noVBand="1" w:val="04A0"/>
      </w:tblPr>
      <w:tblGrid>
        <w:gridCol w:w="3713"/>
        <w:gridCol w:w="3713"/>
        <w:gridCol w:w="3713"/>
        <w:gridCol w:w="3713"/>
      </w:tblGrid>
      <w:tr>
        <w:tc>
          <w:tcPr>
            <w:tcW w:type="dxa" w:w="6520"/>
            <w:vAlign w:val="center"/>
          </w:tcPr>
          <w:p>
            <w:pPr>
              <w:spacing w:before="40" w:after="40"/>
              <w:jc w:val="center"/>
            </w:pPr>
            <w:r>
              <w:rPr>
                <w:rFonts w:ascii="Times New Roman" w:hAnsi="Times New Roman" w:cs="Times New Roman" w:eastAsia="Times New Roman"/>
                <w:b/>
                <w:i w:val="0"/>
                <w:sz w:val="24"/>
              </w:rPr>
              <w:t>Đơn vị sản phẩm/công việc chuẩn</w:t>
            </w:r>
          </w:p>
        </w:tc>
        <w:tc>
          <w:tcPr>
            <w:tcW w:type="dxa" w:w="5102"/>
            <w:vAlign w:val="center"/>
          </w:tcPr>
          <w:p>
            <w:pPr>
              <w:spacing w:before="40" w:after="40"/>
              <w:jc w:val="center"/>
            </w:pPr>
            <w:r>
              <w:rPr>
                <w:rFonts w:ascii="Times New Roman" w:hAnsi="Times New Roman" w:cs="Times New Roman" w:eastAsia="Times New Roman"/>
                <w:b/>
                <w:i w:val="0"/>
                <w:sz w:val="24"/>
              </w:rPr>
              <w:t>Đặc điểm</w:t>
            </w:r>
          </w:p>
        </w:tc>
        <w:tc>
          <w:tcPr>
            <w:tcW w:type="dxa" w:w="1474"/>
            <w:vAlign w:val="center"/>
          </w:tcPr>
          <w:p>
            <w:pPr>
              <w:spacing w:before="40" w:after="40"/>
              <w:jc w:val="center"/>
            </w:pPr>
            <w:r>
              <w:rPr>
                <w:rFonts w:ascii="Times New Roman" w:hAnsi="Times New Roman" w:cs="Times New Roman" w:eastAsia="Times New Roman"/>
                <w:b/>
                <w:i w:val="0"/>
                <w:sz w:val="24"/>
              </w:rPr>
              <w:t>Điểm chuẩn</w:t>
            </w:r>
          </w:p>
        </w:tc>
        <w:tc>
          <w:tcPr>
            <w:tcW w:type="dxa" w:w="1644"/>
            <w:vAlign w:val="center"/>
          </w:tcPr>
          <w:p>
            <w:pPr>
              <w:spacing w:before="40" w:after="40"/>
              <w:jc w:val="center"/>
            </w:pPr>
            <w:r>
              <w:rPr>
                <w:rFonts w:ascii="Times New Roman" w:hAnsi="Times New Roman" w:cs="Times New Roman" w:eastAsia="Times New Roman"/>
                <w:b/>
                <w:i w:val="0"/>
                <w:sz w:val="24"/>
              </w:rPr>
              <w:t>Hệ số quy đổi</w:t>
            </w:r>
          </w:p>
        </w:tc>
      </w:tr>
      <w:tr>
        <w:tc>
          <w:tcPr>
            <w:tcW w:type="dxa" w:w="6520"/>
            <w:vAlign w:val="center"/>
          </w:tcPr>
          <w:p>
            <w:pPr>
              <w:spacing w:before="40" w:after="40"/>
              <w:jc w:val="left"/>
            </w:pPr>
            <w:r>
              <w:rPr>
                <w:rFonts w:ascii="Times New Roman" w:hAnsi="Times New Roman" w:cs="Times New Roman" w:eastAsia="Times New Roman"/>
                <w:b w:val="0"/>
                <w:i w:val="0"/>
                <w:sz w:val="24"/>
              </w:rPr>
              <w:t>01 văn bản hành chính thông thường (công văn, thông báo, giấy mời, tờ trình nội dung đơn giản) được soạn thảo hoàn chỉnh, trình lãnh đạo Văn phòng ký ban hành đúng thể thức văn bản của Đảng</w:t>
            </w:r>
          </w:p>
        </w:tc>
        <w:tc>
          <w:tcPr>
            <w:tcW w:type="dxa" w:w="5102"/>
            <w:vAlign w:val="center"/>
          </w:tcPr>
          <w:p>
            <w:pPr>
              <w:spacing w:before="40" w:after="40"/>
              <w:jc w:val="left"/>
            </w:pPr>
            <w:r>
              <w:rPr>
                <w:rFonts w:ascii="Times New Roman" w:hAnsi="Times New Roman" w:cs="Times New Roman" w:eastAsia="Times New Roman"/>
                <w:b w:val="0"/>
                <w:i w:val="0"/>
                <w:sz w:val="24"/>
              </w:rPr>
              <w:t>Là công việc thường xuyên theo chức năng, nhiệm vụ của cơ quan; có quy trình xử lý và đầu ra rõ ràng; có thể so sánh, kiểm đếm, lượng hóa được; không phụ thuộc yếu tố biến động, ngoại lệ</w:t>
            </w:r>
          </w:p>
        </w:tc>
        <w:tc>
          <w:tcPr>
            <w:tcW w:type="dxa" w:w="1474"/>
            <w:vAlign w:val="center"/>
          </w:tcPr>
          <w:p>
            <w:pPr>
              <w:spacing w:before="40" w:after="40"/>
              <w:jc w:val="center"/>
            </w:pPr>
            <w:r>
              <w:rPr>
                <w:rFonts w:ascii="Times New Roman" w:hAnsi="Times New Roman" w:cs="Times New Roman" w:eastAsia="Times New Roman"/>
                <w:b w:val="0"/>
                <w:i w:val="0"/>
                <w:sz w:val="24"/>
              </w:rPr>
              <w:t>100</w:t>
            </w:r>
          </w:p>
        </w:tc>
        <w:tc>
          <w:tcPr>
            <w:tcW w:type="dxa" w:w="1644"/>
            <w:vAlign w:val="center"/>
          </w:tcPr>
          <w:p>
            <w:pPr>
              <w:spacing w:before="40" w:after="40"/>
              <w:jc w:val="center"/>
            </w:pPr>
            <w:r>
              <w:rPr>
                <w:rFonts w:ascii="Times New Roman" w:hAnsi="Times New Roman" w:cs="Times New Roman" w:eastAsia="Times New Roman"/>
                <w:b w:val="0"/>
                <w:i w:val="0"/>
                <w:sz w:val="24"/>
              </w:rPr>
              <w:t>1,0</w:t>
            </w:r>
          </w:p>
        </w:tc>
      </w:tr>
    </w:tbl>
    <w:p>
      <w:pPr>
        <w:spacing w:before="160" w:after="0"/>
        <w:jc w:val="left"/>
      </w:pPr>
      <w:r>
        <w:rPr>
          <w:rFonts w:ascii="Times New Roman" w:hAnsi="Times New Roman" w:cs="Times New Roman" w:eastAsia="Times New Roman"/>
          <w:b w:val="0"/>
          <w:i/>
          <w:sz w:val="24"/>
        </w:rPr>
        <w:t>Khung nhóm độ phức tạp: Nhóm 1: đến 100 điểm (hệ số đến 1,0); Nhóm 2: trên 100 - 120 điểm (1,0 - 1,2); Nhóm 3: trên 120 - 150 điểm (1,2 - 1,5); Nhóm 4: trên 150 - 180 điểm (1,5 - 1,8); Nhóm 5: trên 180 - 200 điểm (1,8 - 2,0).</w:t>
      </w:r>
    </w:p>
    <w:p>
      <w:r>
        <w:br w:type="page"/>
      </w:r>
    </w:p>
    <w:p>
      <w:pPr>
        <w:spacing w:before="0" w:after="0"/>
        <w:jc w:val="center"/>
      </w:pPr>
      <w:r>
        <w:rPr>
          <w:rFonts w:ascii="Times New Roman" w:hAnsi="Times New Roman" w:cs="Times New Roman" w:eastAsia="Times New Roman"/>
          <w:b/>
          <w:i w:val="0"/>
          <w:sz w:val="28"/>
        </w:rPr>
        <w:t>Phụ lục II</w:t>
      </w:r>
    </w:p>
    <w:p>
      <w:pPr>
        <w:spacing w:before="0" w:after="0"/>
        <w:jc w:val="center"/>
      </w:pPr>
      <w:r>
        <w:rPr>
          <w:rFonts w:ascii="Times New Roman" w:hAnsi="Times New Roman" w:cs="Times New Roman" w:eastAsia="Times New Roman"/>
          <w:b/>
          <w:i w:val="0"/>
          <w:sz w:val="28"/>
        </w:rPr>
        <w:t>DANH MỤC SẢN PHẨM/CÔNG VIỆC VÀ DANH MỤC SẢN PHẨM/CÔNG VIỆC QUY ĐỔI</w:t>
      </w:r>
    </w:p>
    <w:p>
      <w:pPr>
        <w:spacing w:before="0" w:after="0"/>
        <w:jc w:val="center"/>
      </w:pPr>
      <w:r>
        <w:rPr>
          <w:rFonts w:ascii="Times New Roman" w:hAnsi="Times New Roman" w:cs="Times New Roman" w:eastAsia="Times New Roman"/>
          <w:b/>
          <w:i w:val="0"/>
          <w:sz w:val="26"/>
        </w:rPr>
        <w:t>(Phân theo nhóm đối tượng: lãnh đạo, quản lý; chuyên môn, nghiệp vụ; hỗ trợ, phục vụ)</w:t>
      </w:r>
    </w:p>
    <w:p>
      <w:pPr>
        <w:spacing w:before="0" w:after="0"/>
        <w:jc w:val="center"/>
      </w:pPr>
      <w:r>
        <w:rPr>
          <w:rFonts w:ascii="Times New Roman" w:hAnsi="Times New Roman" w:cs="Times New Roman" w:eastAsia="Times New Roman"/>
          <w:b/>
          <w:i w:val="0"/>
          <w:sz w:val="26"/>
        </w:rPr>
        <w:t>CỦA VĂN PHÒNG TỈNH ỦY THANH HÓA</w:t>
      </w:r>
    </w:p>
    <w:p>
      <w:pPr>
        <w:spacing w:before="0" w:after="160"/>
        <w:jc w:val="center"/>
      </w:pPr>
      <w:r>
        <w:rPr>
          <w:rFonts w:ascii="Times New Roman" w:hAnsi="Times New Roman" w:cs="Times New Roman" w:eastAsia="Times New Roman"/>
          <w:b w:val="0"/>
          <w:i/>
          <w:sz w:val="26"/>
        </w:rPr>
        <w:t>(Kèm theo Quyết định số …-QĐ/VPTU ngày …/7/2026 của Chánh Văn phòng Tỉnh ủy Thanh Hóa)</w:t>
      </w:r>
    </w:p>
    <w:p>
      <w:pPr>
        <w:spacing w:before="120" w:after="0"/>
        <w:jc w:val="left"/>
      </w:pPr>
      <w:r>
        <w:rPr>
          <w:rFonts w:ascii="Times New Roman" w:hAnsi="Times New Roman" w:cs="Times New Roman" w:eastAsia="Times New Roman"/>
          <w:b/>
          <w:i w:val="0"/>
          <w:sz w:val="26"/>
        </w:rPr>
        <w:t>PHẦN I. DANH MỤC NHIỆM VỤ CHUYÊN MÔN, NGHIỆP VỤ</w:t>
      </w:r>
    </w:p>
    <w:p>
      <w:pPr>
        <w:spacing w:before="0" w:after="0"/>
        <w:jc w:val="left"/>
      </w:pPr>
      <w:r>
        <w:rPr>
          <w:rFonts w:ascii="Times New Roman" w:hAnsi="Times New Roman" w:cs="Times New Roman" w:eastAsia="Times New Roman"/>
          <w:b w:val="0"/>
          <w:i/>
          <w:sz w:val="24"/>
        </w:rPr>
        <w:t>Đối tượng áp dụng: công chức, viên chức chuyên môn, nghiệp vụ; cán bộ lãnh đạo, quản lý khi được giao trực tiếp thực hiện nhiệm vụ</w:t>
      </w:r>
    </w:p>
    <w:p>
      <w:pPr>
        <w:spacing w:before="0" w:after="80"/>
        <w:jc w:val="left"/>
      </w:pPr>
      <w:r>
        <w:rPr>
          <w:rFonts w:ascii="Times New Roman" w:hAnsi="Times New Roman" w:cs="Times New Roman" w:eastAsia="Times New Roman"/>
          <w:b w:val="0"/>
          <w:i/>
          <w:sz w:val="24"/>
        </w:rPr>
        <w:t>Mã nhóm (dùng cho phần mềm): CMNV — KPI = (a+b+c)/3; phiếu tiêu chí chung: Phụ lục 01</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A. THAM MƯU, TỔNG HỢP PHỤC VỤ TỈNH ỦY, BAN THƯỜNG VỤ, THƯỜNG TRỰC TỈNH ỦY</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Xây dựng chương trình công tác năm, chương trình kiểm tra, giám sát hằng năm của Tỉnh ủy, Ban Thường vụ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chương trình</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Xây dựng chương trình công tác tháng của Ban Thường vụ, lịch công tác tuần của Thường trực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chương trình/lịch</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Dự thảo nghị quyết, chỉ thị, quy định, kết luận của Tỉnh ủy, Ban Thường vụ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dự thảo</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Dự thảo báo cáo sơ kết, tổng kết việc thực hiện nghị quyết, chỉ thị của Trung ương, của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Báo cáo định kỳ tháng, quý, 6 tháng, năm về tình hình thực hiện nhiệm vụ chính trị của Đảng bộ tỉnh</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Báo cáo chuyên đề, đột xuất phục vụ lãnh đạo, chỉ đạo của Thường trực, Ban Thường vụ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150</w:t>
            </w:r>
          </w:p>
        </w:tc>
        <w:tc>
          <w:tcPr>
            <w:tcW w:type="dxa" w:w="1134"/>
            <w:vAlign w:val="center"/>
          </w:tcPr>
          <w:p>
            <w:pPr>
              <w:spacing w:before="40" w:after="40"/>
              <w:jc w:val="center"/>
            </w:pPr>
            <w:r>
              <w:rPr>
                <w:rFonts w:ascii="Times New Roman" w:hAnsi="Times New Roman" w:cs="Times New Roman" w:eastAsia="Times New Roman"/>
                <w:b w:val="0"/>
                <w:i w:val="0"/>
                <w:sz w:val="24"/>
              </w:rPr>
              <w:t>1,5</w:t>
            </w:r>
          </w:p>
        </w:tc>
      </w:tr>
      <w:tr>
        <w:tc>
          <w:tcPr>
            <w:tcW w:type="dxa" w:w="624"/>
            <w:vAlign w:val="center"/>
          </w:tcPr>
          <w:p>
            <w:pPr>
              <w:spacing w:before="40" w:after="40"/>
              <w:jc w:val="center"/>
            </w:pPr>
            <w:r>
              <w:rPr>
                <w:rFonts w:ascii="Times New Roman" w:hAnsi="Times New Roman" w:cs="Times New Roman" w:eastAsia="Times New Roman"/>
                <w:b w:val="0"/>
                <w:i w:val="0"/>
                <w:sz w:val="24"/>
              </w:rPr>
              <w:t>7</w:t>
            </w:r>
          </w:p>
        </w:tc>
        <w:tc>
          <w:tcPr>
            <w:tcW w:type="dxa" w:w="7143"/>
            <w:vAlign w:val="center"/>
          </w:tcPr>
          <w:p>
            <w:pPr>
              <w:spacing w:before="40" w:after="40"/>
              <w:jc w:val="left"/>
            </w:pPr>
            <w:r>
              <w:rPr>
                <w:rFonts w:ascii="Times New Roman" w:hAnsi="Times New Roman" w:cs="Times New Roman" w:eastAsia="Times New Roman"/>
                <w:b w:val="0"/>
                <w:i w:val="0"/>
                <w:sz w:val="24"/>
              </w:rPr>
              <w:t>Tham mưu chương trình, nội dung, thẩm định tài liệu trình hội nghị Tỉnh ủy, Ban Thường vụ, Thường trực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hội nghị/nội dung</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170</w:t>
            </w:r>
          </w:p>
        </w:tc>
        <w:tc>
          <w:tcPr>
            <w:tcW w:type="dxa" w:w="1134"/>
            <w:vAlign w:val="center"/>
          </w:tcPr>
          <w:p>
            <w:pPr>
              <w:spacing w:before="40" w:after="40"/>
              <w:jc w:val="center"/>
            </w:pPr>
            <w:r>
              <w:rPr>
                <w:rFonts w:ascii="Times New Roman" w:hAnsi="Times New Roman" w:cs="Times New Roman" w:eastAsia="Times New Roman"/>
                <w:b w:val="0"/>
                <w:i w:val="0"/>
                <w:sz w:val="24"/>
              </w:rPr>
              <w:t>1,7</w:t>
            </w:r>
          </w:p>
        </w:tc>
      </w:tr>
      <w:tr>
        <w:tc>
          <w:tcPr>
            <w:tcW w:type="dxa" w:w="624"/>
            <w:vAlign w:val="center"/>
          </w:tcPr>
          <w:p>
            <w:pPr>
              <w:spacing w:before="40" w:after="40"/>
              <w:jc w:val="center"/>
            </w:pPr>
            <w:r>
              <w:rPr>
                <w:rFonts w:ascii="Times New Roman" w:hAnsi="Times New Roman" w:cs="Times New Roman" w:eastAsia="Times New Roman"/>
                <w:b w:val="0"/>
                <w:i w:val="0"/>
                <w:sz w:val="24"/>
              </w:rPr>
              <w:t>8</w:t>
            </w:r>
          </w:p>
        </w:tc>
        <w:tc>
          <w:tcPr>
            <w:tcW w:type="dxa" w:w="7143"/>
            <w:vAlign w:val="center"/>
          </w:tcPr>
          <w:p>
            <w:pPr>
              <w:spacing w:before="40" w:after="40"/>
              <w:jc w:val="left"/>
            </w:pPr>
            <w:r>
              <w:rPr>
                <w:rFonts w:ascii="Times New Roman" w:hAnsi="Times New Roman" w:cs="Times New Roman" w:eastAsia="Times New Roman"/>
                <w:b w:val="0"/>
                <w:i w:val="0"/>
                <w:sz w:val="24"/>
              </w:rPr>
              <w:t>Ghi biên bản hội nghị Ban Thường vụ, giao ban Thường trực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biên bản</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9</w:t>
            </w:r>
          </w:p>
        </w:tc>
        <w:tc>
          <w:tcPr>
            <w:tcW w:type="dxa" w:w="7143"/>
            <w:vAlign w:val="center"/>
          </w:tcPr>
          <w:p>
            <w:pPr>
              <w:spacing w:before="40" w:after="40"/>
              <w:jc w:val="left"/>
            </w:pPr>
            <w:r>
              <w:rPr>
                <w:rFonts w:ascii="Times New Roman" w:hAnsi="Times New Roman" w:cs="Times New Roman" w:eastAsia="Times New Roman"/>
                <w:b w:val="0"/>
                <w:i w:val="0"/>
                <w:sz w:val="24"/>
              </w:rPr>
              <w:t>Dự thảo thông báo kết luận của Ban Thường vụ, Thường trực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thông báo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150</w:t>
            </w:r>
          </w:p>
        </w:tc>
        <w:tc>
          <w:tcPr>
            <w:tcW w:type="dxa" w:w="1134"/>
            <w:vAlign w:val="center"/>
          </w:tcPr>
          <w:p>
            <w:pPr>
              <w:spacing w:before="40" w:after="40"/>
              <w:jc w:val="center"/>
            </w:pPr>
            <w:r>
              <w:rPr>
                <w:rFonts w:ascii="Times New Roman" w:hAnsi="Times New Roman" w:cs="Times New Roman" w:eastAsia="Times New Roman"/>
                <w:b w:val="0"/>
                <w:i w:val="0"/>
                <w:sz w:val="24"/>
              </w:rPr>
              <w:t>1,5</w:t>
            </w:r>
          </w:p>
        </w:tc>
      </w:tr>
      <w:tr>
        <w:tc>
          <w:tcPr>
            <w:tcW w:type="dxa" w:w="624"/>
            <w:vAlign w:val="center"/>
          </w:tcPr>
          <w:p>
            <w:pPr>
              <w:spacing w:before="40" w:after="40"/>
              <w:jc w:val="center"/>
            </w:pPr>
            <w:r>
              <w:rPr>
                <w:rFonts w:ascii="Times New Roman" w:hAnsi="Times New Roman" w:cs="Times New Roman" w:eastAsia="Times New Roman"/>
                <w:b w:val="0"/>
                <w:i w:val="0"/>
                <w:sz w:val="24"/>
              </w:rPr>
              <w:t>10</w:t>
            </w:r>
          </w:p>
        </w:tc>
        <w:tc>
          <w:tcPr>
            <w:tcW w:type="dxa" w:w="7143"/>
            <w:vAlign w:val="center"/>
          </w:tcPr>
          <w:p>
            <w:pPr>
              <w:spacing w:before="40" w:after="40"/>
              <w:jc w:val="left"/>
            </w:pPr>
            <w:r>
              <w:rPr>
                <w:rFonts w:ascii="Times New Roman" w:hAnsi="Times New Roman" w:cs="Times New Roman" w:eastAsia="Times New Roman"/>
                <w:b w:val="0"/>
                <w:i w:val="0"/>
                <w:sz w:val="24"/>
              </w:rPr>
              <w:t>Theo dõi, đôn đốc, tổng hợp báo cáo kết quả thực hiện các kết luận, chỉ đạo</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11</w:t>
            </w:r>
          </w:p>
        </w:tc>
        <w:tc>
          <w:tcPr>
            <w:tcW w:type="dxa" w:w="7143"/>
            <w:vAlign w:val="center"/>
          </w:tcPr>
          <w:p>
            <w:pPr>
              <w:spacing w:before="40" w:after="40"/>
              <w:jc w:val="left"/>
            </w:pPr>
            <w:r>
              <w:rPr>
                <w:rFonts w:ascii="Times New Roman" w:hAnsi="Times New Roman" w:cs="Times New Roman" w:eastAsia="Times New Roman"/>
                <w:b w:val="0"/>
                <w:i w:val="0"/>
                <w:sz w:val="24"/>
              </w:rPr>
              <w:t>Rà soát, thẩm định thể thức, kỹ thuật trình bày văn bản trước khi trình ký ban hành</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12</w:t>
            </w:r>
          </w:p>
        </w:tc>
        <w:tc>
          <w:tcPr>
            <w:tcW w:type="dxa" w:w="7143"/>
            <w:vAlign w:val="center"/>
          </w:tcPr>
          <w:p>
            <w:pPr>
              <w:spacing w:before="40" w:after="40"/>
              <w:jc w:val="left"/>
            </w:pPr>
            <w:r>
              <w:rPr>
                <w:rFonts w:ascii="Times New Roman" w:hAnsi="Times New Roman" w:cs="Times New Roman" w:eastAsia="Times New Roman"/>
                <w:b w:val="0"/>
                <w:i w:val="0"/>
                <w:sz w:val="24"/>
              </w:rPr>
              <w:t>Soạn thảo văn bản hành chính thông thường - đơn vị sản phẩm/công việc chuẩn</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B. TIẾP CÔNG DÂN, XỬ LÝ ĐƠN THƯ GỬI TỈNH ỦY</w:t>
            </w:r>
          </w:p>
        </w:tc>
      </w:tr>
      <w:tr>
        <w:tc>
          <w:tcPr>
            <w:tcW w:type="dxa" w:w="624"/>
            <w:vAlign w:val="center"/>
          </w:tcPr>
          <w:p>
            <w:pPr>
              <w:spacing w:before="40" w:after="40"/>
              <w:jc w:val="center"/>
            </w:pPr>
            <w:r>
              <w:rPr>
                <w:rFonts w:ascii="Times New Roman" w:hAnsi="Times New Roman" w:cs="Times New Roman" w:eastAsia="Times New Roman"/>
                <w:b w:val="0"/>
                <w:i w:val="0"/>
                <w:sz w:val="24"/>
              </w:rPr>
              <w:t>13</w:t>
            </w:r>
          </w:p>
        </w:tc>
        <w:tc>
          <w:tcPr>
            <w:tcW w:type="dxa" w:w="7143"/>
            <w:vAlign w:val="center"/>
          </w:tcPr>
          <w:p>
            <w:pPr>
              <w:spacing w:before="40" w:after="40"/>
              <w:jc w:val="left"/>
            </w:pPr>
            <w:r>
              <w:rPr>
                <w:rFonts w:ascii="Times New Roman" w:hAnsi="Times New Roman" w:cs="Times New Roman" w:eastAsia="Times New Roman"/>
                <w:b w:val="0"/>
                <w:i w:val="0"/>
                <w:sz w:val="24"/>
              </w:rPr>
              <w:t>Tiếp nhận, phân loại, đề xuất hướng xử lý đơn gửi Tỉnh ủy, Thường trực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đơn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14</w:t>
            </w:r>
          </w:p>
        </w:tc>
        <w:tc>
          <w:tcPr>
            <w:tcW w:type="dxa" w:w="7143"/>
            <w:vAlign w:val="center"/>
          </w:tcPr>
          <w:p>
            <w:pPr>
              <w:spacing w:before="40" w:after="40"/>
              <w:jc w:val="left"/>
            </w:pPr>
            <w:r>
              <w:rPr>
                <w:rFonts w:ascii="Times New Roman" w:hAnsi="Times New Roman" w:cs="Times New Roman" w:eastAsia="Times New Roman"/>
                <w:b w:val="0"/>
                <w:i w:val="0"/>
                <w:sz w:val="24"/>
              </w:rPr>
              <w:t>Dự thảo văn bản chuyển đơn, đôn đốc giải quyết đơn</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15</w:t>
            </w:r>
          </w:p>
        </w:tc>
        <w:tc>
          <w:tcPr>
            <w:tcW w:type="dxa" w:w="7143"/>
            <w:vAlign w:val="center"/>
          </w:tcPr>
          <w:p>
            <w:pPr>
              <w:spacing w:before="40" w:after="40"/>
              <w:jc w:val="left"/>
            </w:pPr>
            <w:r>
              <w:rPr>
                <w:rFonts w:ascii="Times New Roman" w:hAnsi="Times New Roman" w:cs="Times New Roman" w:eastAsia="Times New Roman"/>
                <w:b w:val="0"/>
                <w:i w:val="0"/>
                <w:sz w:val="24"/>
              </w:rPr>
              <w:t>Tham mưu, phục vụ tiếp công dân định kỳ của đồng chí Bí thư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buổi tiếp</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16</w:t>
            </w:r>
          </w:p>
        </w:tc>
        <w:tc>
          <w:tcPr>
            <w:tcW w:type="dxa" w:w="7143"/>
            <w:vAlign w:val="center"/>
          </w:tcPr>
          <w:p>
            <w:pPr>
              <w:spacing w:before="40" w:after="40"/>
              <w:jc w:val="left"/>
            </w:pPr>
            <w:r>
              <w:rPr>
                <w:rFonts w:ascii="Times New Roman" w:hAnsi="Times New Roman" w:cs="Times New Roman" w:eastAsia="Times New Roman"/>
                <w:b w:val="0"/>
                <w:i w:val="0"/>
                <w:sz w:val="24"/>
              </w:rPr>
              <w:t>Báo cáo định kỳ công tác tiếp công dân, xử lý đơn thư</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C. NGHIỆP VỤ VĂN THƯ, LƯU TRỮ, CƠ YẾU, BẢO MẬT</w:t>
            </w:r>
          </w:p>
        </w:tc>
      </w:tr>
      <w:tr>
        <w:tc>
          <w:tcPr>
            <w:tcW w:type="dxa" w:w="624"/>
            <w:vAlign w:val="center"/>
          </w:tcPr>
          <w:p>
            <w:pPr>
              <w:spacing w:before="40" w:after="40"/>
              <w:jc w:val="center"/>
            </w:pPr>
            <w:r>
              <w:rPr>
                <w:rFonts w:ascii="Times New Roman" w:hAnsi="Times New Roman" w:cs="Times New Roman" w:eastAsia="Times New Roman"/>
                <w:b w:val="0"/>
                <w:i w:val="0"/>
                <w:sz w:val="24"/>
              </w:rPr>
              <w:t>17</w:t>
            </w:r>
          </w:p>
        </w:tc>
        <w:tc>
          <w:tcPr>
            <w:tcW w:type="dxa" w:w="7143"/>
            <w:vAlign w:val="center"/>
          </w:tcPr>
          <w:p>
            <w:pPr>
              <w:spacing w:before="40" w:after="40"/>
              <w:jc w:val="left"/>
            </w:pPr>
            <w:r>
              <w:rPr>
                <w:rFonts w:ascii="Times New Roman" w:hAnsi="Times New Roman" w:cs="Times New Roman" w:eastAsia="Times New Roman"/>
                <w:b w:val="0"/>
                <w:i w:val="0"/>
                <w:sz w:val="24"/>
              </w:rPr>
              <w:t>Tiếp nhận, đăng ký, trình chuyển văn bản đến; làm thủ tục phát hành văn bản đi</w:t>
            </w:r>
          </w:p>
        </w:tc>
        <w:tc>
          <w:tcPr>
            <w:tcW w:type="dxa" w:w="3402"/>
            <w:vAlign w:val="center"/>
          </w:tcPr>
          <w:p>
            <w:pPr>
              <w:spacing w:before="40" w:after="40"/>
              <w:jc w:val="center"/>
            </w:pPr>
            <w:r>
              <w:rPr>
                <w:rFonts w:ascii="Times New Roman" w:hAnsi="Times New Roman" w:cs="Times New Roman" w:eastAsia="Times New Roman"/>
                <w:b w:val="0"/>
                <w:i w:val="0"/>
                <w:sz w:val="24"/>
              </w:rPr>
              <w:t>10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18</w:t>
            </w:r>
          </w:p>
        </w:tc>
        <w:tc>
          <w:tcPr>
            <w:tcW w:type="dxa" w:w="7143"/>
            <w:vAlign w:val="center"/>
          </w:tcPr>
          <w:p>
            <w:pPr>
              <w:spacing w:before="40" w:after="40"/>
              <w:jc w:val="left"/>
            </w:pPr>
            <w:r>
              <w:rPr>
                <w:rFonts w:ascii="Times New Roman" w:hAnsi="Times New Roman" w:cs="Times New Roman" w:eastAsia="Times New Roman"/>
                <w:b w:val="0"/>
                <w:i w:val="0"/>
                <w:sz w:val="24"/>
              </w:rPr>
              <w:t>Phát hành văn bản của Tỉnh ủy, Ban Thường vụ Tỉnh ủy (kiểm tra thể thức, nhân bản, đóng dấu, gửi)</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19</w:t>
            </w:r>
          </w:p>
        </w:tc>
        <w:tc>
          <w:tcPr>
            <w:tcW w:type="dxa" w:w="7143"/>
            <w:vAlign w:val="center"/>
          </w:tcPr>
          <w:p>
            <w:pPr>
              <w:spacing w:before="40" w:after="40"/>
              <w:jc w:val="left"/>
            </w:pPr>
            <w:r>
              <w:rPr>
                <w:rFonts w:ascii="Times New Roman" w:hAnsi="Times New Roman" w:cs="Times New Roman" w:eastAsia="Times New Roman"/>
                <w:b w:val="0"/>
                <w:i w:val="0"/>
                <w:sz w:val="24"/>
              </w:rPr>
              <w:t>Lập hồ sơ công việc, nộp lưu hồ sơ vào lưu trữ cơ quan</w:t>
            </w:r>
          </w:p>
        </w:tc>
        <w:tc>
          <w:tcPr>
            <w:tcW w:type="dxa" w:w="3402"/>
            <w:vAlign w:val="center"/>
          </w:tcPr>
          <w:p>
            <w:pPr>
              <w:spacing w:before="40" w:after="40"/>
              <w:jc w:val="center"/>
            </w:pPr>
            <w:r>
              <w:rPr>
                <w:rFonts w:ascii="Times New Roman" w:hAnsi="Times New Roman" w:cs="Times New Roman" w:eastAsia="Times New Roman"/>
                <w:b w:val="0"/>
                <w:i w:val="0"/>
                <w:sz w:val="24"/>
              </w:rPr>
              <w:t>01 hồ sơ</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20</w:t>
            </w:r>
          </w:p>
        </w:tc>
        <w:tc>
          <w:tcPr>
            <w:tcW w:type="dxa" w:w="7143"/>
            <w:vAlign w:val="center"/>
          </w:tcPr>
          <w:p>
            <w:pPr>
              <w:spacing w:before="40" w:after="40"/>
              <w:jc w:val="left"/>
            </w:pPr>
            <w:r>
              <w:rPr>
                <w:rFonts w:ascii="Times New Roman" w:hAnsi="Times New Roman" w:cs="Times New Roman" w:eastAsia="Times New Roman"/>
                <w:b w:val="0"/>
                <w:i w:val="0"/>
                <w:sz w:val="24"/>
              </w:rPr>
              <w:t>Chỉnh lý, số hóa tài liệu lưu trữ của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hồ sơ/đơn vị bảo quản</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21</w:t>
            </w:r>
          </w:p>
        </w:tc>
        <w:tc>
          <w:tcPr>
            <w:tcW w:type="dxa" w:w="7143"/>
            <w:vAlign w:val="center"/>
          </w:tcPr>
          <w:p>
            <w:pPr>
              <w:spacing w:before="40" w:after="40"/>
              <w:jc w:val="left"/>
            </w:pPr>
            <w:r>
              <w:rPr>
                <w:rFonts w:ascii="Times New Roman" w:hAnsi="Times New Roman" w:cs="Times New Roman" w:eastAsia="Times New Roman"/>
                <w:b w:val="0"/>
                <w:i w:val="0"/>
                <w:sz w:val="24"/>
              </w:rPr>
              <w:t>Mã hóa, giải mã, chuyển nhận điện mật</w:t>
            </w:r>
          </w:p>
        </w:tc>
        <w:tc>
          <w:tcPr>
            <w:tcW w:type="dxa" w:w="3402"/>
            <w:vAlign w:val="center"/>
          </w:tcPr>
          <w:p>
            <w:pPr>
              <w:spacing w:before="40" w:after="40"/>
              <w:jc w:val="center"/>
            </w:pPr>
            <w:r>
              <w:rPr>
                <w:rFonts w:ascii="Times New Roman" w:hAnsi="Times New Roman" w:cs="Times New Roman" w:eastAsia="Times New Roman"/>
                <w:b w:val="0"/>
                <w:i w:val="0"/>
                <w:sz w:val="24"/>
              </w:rPr>
              <w:t>01 bức điện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D. NGHIỆP VỤ TÀI CHÍNH ĐẢNG, CÔNG NGHỆ THÔNG TIN</w:t>
            </w:r>
          </w:p>
        </w:tc>
      </w:tr>
      <w:tr>
        <w:tc>
          <w:tcPr>
            <w:tcW w:type="dxa" w:w="624"/>
            <w:vAlign w:val="center"/>
          </w:tcPr>
          <w:p>
            <w:pPr>
              <w:spacing w:before="40" w:after="40"/>
              <w:jc w:val="center"/>
            </w:pPr>
            <w:r>
              <w:rPr>
                <w:rFonts w:ascii="Times New Roman" w:hAnsi="Times New Roman" w:cs="Times New Roman" w:eastAsia="Times New Roman"/>
                <w:b w:val="0"/>
                <w:i w:val="0"/>
                <w:sz w:val="24"/>
              </w:rPr>
              <w:t>22</w:t>
            </w:r>
          </w:p>
        </w:tc>
        <w:tc>
          <w:tcPr>
            <w:tcW w:type="dxa" w:w="7143"/>
            <w:vAlign w:val="center"/>
          </w:tcPr>
          <w:p>
            <w:pPr>
              <w:spacing w:before="40" w:after="40"/>
              <w:jc w:val="left"/>
            </w:pPr>
            <w:r>
              <w:rPr>
                <w:rFonts w:ascii="Times New Roman" w:hAnsi="Times New Roman" w:cs="Times New Roman" w:eastAsia="Times New Roman"/>
                <w:b w:val="0"/>
                <w:i w:val="0"/>
                <w:sz w:val="24"/>
              </w:rPr>
              <w:t>Lập dự toán, quyết toán ngân sách đảng của Đảng bộ tỉnh</w:t>
            </w:r>
          </w:p>
        </w:tc>
        <w:tc>
          <w:tcPr>
            <w:tcW w:type="dxa" w:w="3402"/>
            <w:vAlign w:val="center"/>
          </w:tcPr>
          <w:p>
            <w:pPr>
              <w:spacing w:before="40" w:after="40"/>
              <w:jc w:val="center"/>
            </w:pPr>
            <w:r>
              <w:rPr>
                <w:rFonts w:ascii="Times New Roman" w:hAnsi="Times New Roman" w:cs="Times New Roman" w:eastAsia="Times New Roman"/>
                <w:b w:val="0"/>
                <w:i w:val="0"/>
                <w:sz w:val="24"/>
              </w:rPr>
              <w:t>01 bộ dự toán/quyết toán</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23</w:t>
            </w:r>
          </w:p>
        </w:tc>
        <w:tc>
          <w:tcPr>
            <w:tcW w:type="dxa" w:w="7143"/>
            <w:vAlign w:val="center"/>
          </w:tcPr>
          <w:p>
            <w:pPr>
              <w:spacing w:before="40" w:after="40"/>
              <w:jc w:val="left"/>
            </w:pPr>
            <w:r>
              <w:rPr>
                <w:rFonts w:ascii="Times New Roman" w:hAnsi="Times New Roman" w:cs="Times New Roman" w:eastAsia="Times New Roman"/>
                <w:b w:val="0"/>
                <w:i w:val="0"/>
                <w:sz w:val="24"/>
              </w:rPr>
              <w:t>Thẩm định dự toán, quyết toán của các đơn vị dự toán trực thuộc</w:t>
            </w:r>
          </w:p>
        </w:tc>
        <w:tc>
          <w:tcPr>
            <w:tcW w:type="dxa" w:w="3402"/>
            <w:vAlign w:val="center"/>
          </w:tcPr>
          <w:p>
            <w:pPr>
              <w:spacing w:before="40" w:after="40"/>
              <w:jc w:val="center"/>
            </w:pPr>
            <w:r>
              <w:rPr>
                <w:rFonts w:ascii="Times New Roman" w:hAnsi="Times New Roman" w:cs="Times New Roman" w:eastAsia="Times New Roman"/>
                <w:b w:val="0"/>
                <w:i w:val="0"/>
                <w:sz w:val="24"/>
              </w:rPr>
              <w:t>01 đơn vị</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24</w:t>
            </w:r>
          </w:p>
        </w:tc>
        <w:tc>
          <w:tcPr>
            <w:tcW w:type="dxa" w:w="7143"/>
            <w:vAlign w:val="center"/>
          </w:tcPr>
          <w:p>
            <w:pPr>
              <w:spacing w:before="40" w:after="40"/>
              <w:jc w:val="left"/>
            </w:pPr>
            <w:r>
              <w:rPr>
                <w:rFonts w:ascii="Times New Roman" w:hAnsi="Times New Roman" w:cs="Times New Roman" w:eastAsia="Times New Roman"/>
                <w:b w:val="0"/>
                <w:i w:val="0"/>
                <w:sz w:val="24"/>
              </w:rPr>
              <w:t>Lập, kiểm soát chứng từ kế toán, thanh toán</w:t>
            </w:r>
          </w:p>
        </w:tc>
        <w:tc>
          <w:tcPr>
            <w:tcW w:type="dxa" w:w="3402"/>
            <w:vAlign w:val="center"/>
          </w:tcPr>
          <w:p>
            <w:pPr>
              <w:spacing w:before="40" w:after="40"/>
              <w:jc w:val="center"/>
            </w:pPr>
            <w:r>
              <w:rPr>
                <w:rFonts w:ascii="Times New Roman" w:hAnsi="Times New Roman" w:cs="Times New Roman" w:eastAsia="Times New Roman"/>
                <w:b w:val="0"/>
                <w:i w:val="0"/>
                <w:sz w:val="24"/>
              </w:rPr>
              <w:t>01 bộ chứng từ</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25</w:t>
            </w:r>
          </w:p>
        </w:tc>
        <w:tc>
          <w:tcPr>
            <w:tcW w:type="dxa" w:w="7143"/>
            <w:vAlign w:val="center"/>
          </w:tcPr>
          <w:p>
            <w:pPr>
              <w:spacing w:before="40" w:after="40"/>
              <w:jc w:val="left"/>
            </w:pPr>
            <w:r>
              <w:rPr>
                <w:rFonts w:ascii="Times New Roman" w:hAnsi="Times New Roman" w:cs="Times New Roman" w:eastAsia="Times New Roman"/>
                <w:b w:val="0"/>
                <w:i w:val="0"/>
                <w:sz w:val="24"/>
              </w:rPr>
              <w:t>Quản trị, vận hành hệ thống thông tin điều hành tác nghiệp, phần mềm đánh giá KPI của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tháng vận hành</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26</w:t>
            </w:r>
          </w:p>
        </w:tc>
        <w:tc>
          <w:tcPr>
            <w:tcW w:type="dxa" w:w="7143"/>
            <w:vAlign w:val="center"/>
          </w:tcPr>
          <w:p>
            <w:pPr>
              <w:spacing w:before="40" w:after="40"/>
              <w:jc w:val="left"/>
            </w:pPr>
            <w:r>
              <w:rPr>
                <w:rFonts w:ascii="Times New Roman" w:hAnsi="Times New Roman" w:cs="Times New Roman" w:eastAsia="Times New Roman"/>
                <w:b w:val="0"/>
                <w:i w:val="0"/>
                <w:sz w:val="24"/>
              </w:rPr>
              <w:t>Hỗ trợ kỹ thuật, xử lý sự cố công nghệ thông tin</w:t>
            </w:r>
          </w:p>
        </w:tc>
        <w:tc>
          <w:tcPr>
            <w:tcW w:type="dxa" w:w="3402"/>
            <w:vAlign w:val="center"/>
          </w:tcPr>
          <w:p>
            <w:pPr>
              <w:spacing w:before="40" w:after="40"/>
              <w:jc w:val="center"/>
            </w:pPr>
            <w:r>
              <w:rPr>
                <w:rFonts w:ascii="Times New Roman" w:hAnsi="Times New Roman" w:cs="Times New Roman" w:eastAsia="Times New Roman"/>
                <w:b w:val="0"/>
                <w:i w:val="0"/>
                <w:sz w:val="24"/>
              </w:rPr>
              <w:t>01 vụ việc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bl>
    <w:p>
      <w:pPr>
        <w:spacing w:before="0" w:after="80"/>
        <w:jc w:val="center"/>
      </w:pPr>
    </w:p>
    <w:p>
      <w:pPr>
        <w:spacing w:before="120" w:after="0"/>
        <w:jc w:val="left"/>
      </w:pPr>
      <w:r>
        <w:rPr>
          <w:rFonts w:ascii="Times New Roman" w:hAnsi="Times New Roman" w:cs="Times New Roman" w:eastAsia="Times New Roman"/>
          <w:b/>
          <w:i w:val="0"/>
          <w:sz w:val="26"/>
        </w:rPr>
        <w:t>PHẦN II. DANH MỤC NHIỆM VỤ LÃNH ĐẠO, QUẢN LÝ (CHỈ ĐẠO, ĐIỀU HÀNH)</w:t>
      </w:r>
    </w:p>
    <w:p>
      <w:pPr>
        <w:spacing w:before="0" w:after="0"/>
        <w:jc w:val="left"/>
      </w:pPr>
      <w:r>
        <w:rPr>
          <w:rFonts w:ascii="Times New Roman" w:hAnsi="Times New Roman" w:cs="Times New Roman" w:eastAsia="Times New Roman"/>
          <w:b w:val="0"/>
          <w:i/>
          <w:sz w:val="24"/>
        </w:rPr>
        <w:t>Đối tượng áp dụng: cán bộ giữ chức vụ lãnh đạo, quản lý (đánh giá theo phiếu Phụ lục 03 Quy định số …-QĐ/TU; công thức KPI chia 6)</w:t>
      </w:r>
    </w:p>
    <w:p>
      <w:pPr>
        <w:spacing w:before="0" w:after="80"/>
        <w:jc w:val="left"/>
      </w:pPr>
      <w:r>
        <w:rPr>
          <w:rFonts w:ascii="Times New Roman" w:hAnsi="Times New Roman" w:cs="Times New Roman" w:eastAsia="Times New Roman"/>
          <w:b w:val="0"/>
          <w:i/>
          <w:sz w:val="24"/>
        </w:rPr>
        <w:t>Mã nhóm (dùng cho phần mềm): LDQL — KPI = (a+b+c+d+đ+e)/6; phiếu tiêu chí chung: Phụ lục 03</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Chỉ đạo xây dựng, phê duyệt kế hoạch công tác tháng, quý của cơ quan/đơn vị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 được phê duyệt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Chủ trì họp giao ban, phân công, giao nhiệm vụ gắn với sản phẩm đầu ra cho tập thể, cá nhân</w:t>
            </w:r>
          </w:p>
        </w:tc>
        <w:tc>
          <w:tcPr>
            <w:tcW w:type="dxa" w:w="3402"/>
            <w:vAlign w:val="center"/>
          </w:tcPr>
          <w:p>
            <w:pPr>
              <w:spacing w:before="40" w:after="40"/>
              <w:jc w:val="center"/>
            </w:pPr>
            <w:r>
              <w:rPr>
                <w:rFonts w:ascii="Times New Roman" w:hAnsi="Times New Roman" w:cs="Times New Roman" w:eastAsia="Times New Roman"/>
                <w:b w:val="0"/>
                <w:i w:val="0"/>
                <w:sz w:val="24"/>
              </w:rPr>
              <w:t>01 cuộc họp</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Kiểm tra, cho ý kiến, duyệt/ký văn bản, đề án do cấp dưới trình</w:t>
            </w:r>
          </w:p>
        </w:tc>
        <w:tc>
          <w:tcPr>
            <w:tcW w:type="dxa" w:w="3402"/>
            <w:vAlign w:val="center"/>
          </w:tcPr>
          <w:p>
            <w:pPr>
              <w:spacing w:before="40" w:after="40"/>
              <w:jc w:val="center"/>
            </w:pPr>
            <w:r>
              <w:rPr>
                <w:rFonts w:ascii="Times New Roman" w:hAnsi="Times New Roman" w:cs="Times New Roman" w:eastAsia="Times New Roman"/>
                <w:b w:val="0"/>
                <w:i w:val="0"/>
                <w:sz w:val="24"/>
              </w:rPr>
              <w:t>01 văn bản/đề án được duyệt</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Chỉ đạo giải quyết vướng mắc, vấn đề phát sinh trong phạm vi lĩnh vực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vụ việc được giải quyết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Theo dõi, giám sát tiến độ, chất lượng nhiệm vụ của các phòng, đơn vị trực thuộc; đôn đốc, cảnh báo nhiệm vụ chậm tiến độ</w:t>
            </w:r>
          </w:p>
        </w:tc>
        <w:tc>
          <w:tcPr>
            <w:tcW w:type="dxa" w:w="3402"/>
            <w:vAlign w:val="center"/>
          </w:tcPr>
          <w:p>
            <w:pPr>
              <w:spacing w:before="40" w:after="40"/>
              <w:jc w:val="center"/>
            </w:pPr>
            <w:r>
              <w:rPr>
                <w:rFonts w:ascii="Times New Roman" w:hAnsi="Times New Roman" w:cs="Times New Roman" w:eastAsia="Times New Roman"/>
                <w:b w:val="0"/>
                <w:i w:val="0"/>
                <w:sz w:val="24"/>
              </w:rPr>
              <w:t>01 lượt rà soát/báo cáo</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Nhận xét, đánh giá, quyết định xếp loại KPI hằng tháng đối với cán bộ, công chức thuộc thẩm quyền</w:t>
            </w:r>
          </w:p>
        </w:tc>
        <w:tc>
          <w:tcPr>
            <w:tcW w:type="dxa" w:w="3402"/>
            <w:vAlign w:val="center"/>
          </w:tcPr>
          <w:p>
            <w:pPr>
              <w:spacing w:before="40" w:after="40"/>
              <w:jc w:val="center"/>
            </w:pPr>
            <w:r>
              <w:rPr>
                <w:rFonts w:ascii="Times New Roman" w:hAnsi="Times New Roman" w:cs="Times New Roman" w:eastAsia="Times New Roman"/>
                <w:b w:val="0"/>
                <w:i w:val="0"/>
                <w:sz w:val="24"/>
              </w:rPr>
              <w:t>01 kỳ đánh giá hoàn thành đúng hạn</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7</w:t>
            </w:r>
          </w:p>
        </w:tc>
        <w:tc>
          <w:tcPr>
            <w:tcW w:type="dxa" w:w="7143"/>
            <w:vAlign w:val="center"/>
          </w:tcPr>
          <w:p>
            <w:pPr>
              <w:spacing w:before="40" w:after="40"/>
              <w:jc w:val="left"/>
            </w:pPr>
            <w:r>
              <w:rPr>
                <w:rFonts w:ascii="Times New Roman" w:hAnsi="Times New Roman" w:cs="Times New Roman" w:eastAsia="Times New Roman"/>
                <w:b w:val="0"/>
                <w:i w:val="0"/>
                <w:sz w:val="24"/>
              </w:rPr>
              <w:t>Đại diện cơ quan làm việc, phối hợp với cơ quan, tổ chức khác theo phân công</w:t>
            </w:r>
          </w:p>
        </w:tc>
        <w:tc>
          <w:tcPr>
            <w:tcW w:type="dxa" w:w="3402"/>
            <w:vAlign w:val="center"/>
          </w:tcPr>
          <w:p>
            <w:pPr>
              <w:spacing w:before="40" w:after="40"/>
              <w:jc w:val="center"/>
            </w:pPr>
            <w:r>
              <w:rPr>
                <w:rFonts w:ascii="Times New Roman" w:hAnsi="Times New Roman" w:cs="Times New Roman" w:eastAsia="Times New Roman"/>
                <w:b w:val="0"/>
                <w:i w:val="0"/>
                <w:sz w:val="24"/>
              </w:rPr>
              <w:t>01 cuộc làm việc</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8</w:t>
            </w:r>
          </w:p>
        </w:tc>
        <w:tc>
          <w:tcPr>
            <w:tcW w:type="dxa" w:w="7143"/>
            <w:vAlign w:val="center"/>
          </w:tcPr>
          <w:p>
            <w:pPr>
              <w:spacing w:before="40" w:after="40"/>
              <w:jc w:val="left"/>
            </w:pPr>
            <w:r>
              <w:rPr>
                <w:rFonts w:ascii="Times New Roman" w:hAnsi="Times New Roman" w:cs="Times New Roman" w:eastAsia="Times New Roman"/>
                <w:b w:val="0"/>
                <w:i w:val="0"/>
                <w:sz w:val="24"/>
              </w:rPr>
              <w:t>Chủ trì sơ kết, tổng kết, rút kinh nghiệm chuyên đề thuộc lĩnh vực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hội nghị/báo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bl>
    <w:p>
      <w:pPr>
        <w:spacing w:before="0" w:after="80"/>
        <w:jc w:val="center"/>
      </w:pPr>
    </w:p>
    <w:p>
      <w:pPr>
        <w:spacing w:before="120" w:after="0"/>
        <w:jc w:val="left"/>
      </w:pPr>
      <w:r>
        <w:rPr>
          <w:rFonts w:ascii="Times New Roman" w:hAnsi="Times New Roman" w:cs="Times New Roman" w:eastAsia="Times New Roman"/>
          <w:b/>
          <w:i w:val="0"/>
          <w:sz w:val="26"/>
        </w:rPr>
        <w:t>PHẦN III. DANH MỤC CÔNG VIỆC HỖ TRỢ, PHỤC VỤ</w:t>
      </w:r>
    </w:p>
    <w:p>
      <w:pPr>
        <w:spacing w:before="0" w:after="0"/>
        <w:jc w:val="left"/>
      </w:pPr>
      <w:r>
        <w:rPr>
          <w:rFonts w:ascii="Times New Roman" w:hAnsi="Times New Roman" w:cs="Times New Roman" w:eastAsia="Times New Roman"/>
          <w:b w:val="0"/>
          <w:i/>
          <w:sz w:val="24"/>
        </w:rPr>
        <w:t>Đối tượng áp dụng: lao động hợp đồng, vị trí việc làm hỗ trợ, phục vụ (đánh giá theo phiếu Phụ lục 02 Quy định số …-QĐ/TU; công thức KPI chia 3)</w:t>
      </w:r>
    </w:p>
    <w:p>
      <w:pPr>
        <w:spacing w:before="0" w:after="80"/>
        <w:jc w:val="left"/>
      </w:pPr>
      <w:r>
        <w:rPr>
          <w:rFonts w:ascii="Times New Roman" w:hAnsi="Times New Roman" w:cs="Times New Roman" w:eastAsia="Times New Roman"/>
          <w:b w:val="0"/>
          <w:i/>
          <w:sz w:val="24"/>
        </w:rPr>
        <w:t>Mã nhóm (dùng cho phần mềm): HTPV — KPI = (a+b+c)/3; phiếu tiêu chí chung: Phụ lục 02</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Phục vụ hậu cần hội nghị, cuộc họp (chuẩn bị phòng họp, tài liệu, nước uống, âm thanh)</w:t>
            </w:r>
          </w:p>
        </w:tc>
        <w:tc>
          <w:tcPr>
            <w:tcW w:type="dxa" w:w="3402"/>
            <w:vAlign w:val="center"/>
          </w:tcPr>
          <w:p>
            <w:pPr>
              <w:spacing w:before="40" w:after="40"/>
              <w:jc w:val="center"/>
            </w:pPr>
            <w:r>
              <w:rPr>
                <w:rFonts w:ascii="Times New Roman" w:hAnsi="Times New Roman" w:cs="Times New Roman" w:eastAsia="Times New Roman"/>
                <w:b w:val="0"/>
                <w:i w:val="0"/>
                <w:sz w:val="24"/>
              </w:rPr>
              <w:t>01 cuộc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Lái xe phục vụ lãnh đạo, đoàn công tác bảo đảm an toàn, đúng giờ</w:t>
            </w:r>
          </w:p>
        </w:tc>
        <w:tc>
          <w:tcPr>
            <w:tcW w:type="dxa" w:w="3402"/>
            <w:vAlign w:val="center"/>
          </w:tcPr>
          <w:p>
            <w:pPr>
              <w:spacing w:before="40" w:after="40"/>
              <w:jc w:val="center"/>
            </w:pPr>
            <w:r>
              <w:rPr>
                <w:rFonts w:ascii="Times New Roman" w:hAnsi="Times New Roman" w:cs="Times New Roman" w:eastAsia="Times New Roman"/>
                <w:b w:val="0"/>
                <w:i w:val="0"/>
                <w:sz w:val="24"/>
              </w:rPr>
              <w:t>01 chuyến công tác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Trực bảo vệ cơ quan theo ca, bảo đảm an ninh trật tự, phòng cháy chữa cháy</w:t>
            </w:r>
          </w:p>
        </w:tc>
        <w:tc>
          <w:tcPr>
            <w:tcW w:type="dxa" w:w="3402"/>
            <w:vAlign w:val="center"/>
          </w:tcPr>
          <w:p>
            <w:pPr>
              <w:spacing w:before="40" w:after="40"/>
              <w:jc w:val="center"/>
            </w:pPr>
            <w:r>
              <w:rPr>
                <w:rFonts w:ascii="Times New Roman" w:hAnsi="Times New Roman" w:cs="Times New Roman" w:eastAsia="Times New Roman"/>
                <w:b w:val="0"/>
                <w:i w:val="0"/>
                <w:sz w:val="24"/>
              </w:rPr>
              <w:t>01 ca trực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Vệ sinh trụ sở, chăm sóc khuôn viên bảo đảm sạch đẹp</w:t>
            </w:r>
          </w:p>
        </w:tc>
        <w:tc>
          <w:tcPr>
            <w:tcW w:type="dxa" w:w="3402"/>
            <w:vAlign w:val="center"/>
          </w:tcPr>
          <w:p>
            <w:pPr>
              <w:spacing w:before="40" w:after="40"/>
              <w:jc w:val="center"/>
            </w:pPr>
            <w:r>
              <w:rPr>
                <w:rFonts w:ascii="Times New Roman" w:hAnsi="Times New Roman" w:cs="Times New Roman" w:eastAsia="Times New Roman"/>
                <w:b w:val="0"/>
                <w:i w:val="0"/>
                <w:sz w:val="24"/>
              </w:rPr>
              <w:t>01 ngày công theo định mức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Sửa chữa nhỏ, bảo trì điện, nước, thiết bị văn phòng</w:t>
            </w:r>
          </w:p>
        </w:tc>
        <w:tc>
          <w:tcPr>
            <w:tcW w:type="dxa" w:w="3402"/>
            <w:vAlign w:val="center"/>
          </w:tcPr>
          <w:p>
            <w:pPr>
              <w:spacing w:before="40" w:after="40"/>
              <w:jc w:val="center"/>
            </w:pPr>
            <w:r>
              <w:rPr>
                <w:rFonts w:ascii="Times New Roman" w:hAnsi="Times New Roman" w:cs="Times New Roman" w:eastAsia="Times New Roman"/>
                <w:b w:val="0"/>
                <w:i w:val="0"/>
                <w:sz w:val="24"/>
              </w:rPr>
              <w:t>01 vụ việc hoàn thành</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Phục vụ lễ tân, khánh tiết, đón tiếp khách</w:t>
            </w:r>
          </w:p>
        </w:tc>
        <w:tc>
          <w:tcPr>
            <w:tcW w:type="dxa" w:w="3402"/>
            <w:vAlign w:val="center"/>
          </w:tcPr>
          <w:p>
            <w:pPr>
              <w:spacing w:before="40" w:after="40"/>
              <w:jc w:val="center"/>
            </w:pPr>
            <w:r>
              <w:rPr>
                <w:rFonts w:ascii="Times New Roman" w:hAnsi="Times New Roman" w:cs="Times New Roman" w:eastAsia="Times New Roman"/>
                <w:b w:val="0"/>
                <w:i w:val="0"/>
                <w:sz w:val="24"/>
              </w:rPr>
              <w:t>01 lượt/sự kiện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bl>
    <w:p>
      <w:pPr>
        <w:spacing w:before="160" w:after="0"/>
        <w:jc w:val="left"/>
      </w:pPr>
      <w:r>
        <w:rPr>
          <w:rFonts w:ascii="Times New Roman" w:hAnsi="Times New Roman" w:cs="Times New Roman" w:eastAsia="Times New Roman"/>
          <w:b w:val="0"/>
          <w:i/>
          <w:sz w:val="24"/>
        </w:rPr>
        <w:t>Ghi chú: (1) Cán bộ lãnh đạo, quản lý được đánh giá bằng nhiệm vụ tại Phần I (khi được giao trực tiếp thực hiện) và Phần II (nhiệm vụ chỉ đạo, điều hành); ba tiêu chí bổ sung d, đ, e tại khoản 2 Điều 7 Quy định số …-QĐ/TU (kết quả hoạt động của đơn vị; khả năng tổ chức triển khai; năng lực tập hợp, đoàn kết) KHÔNG quy đổi theo Danh mục này mà chấm theo hai mức 100%/50% từ dữ liệu của đơn vị. (2) Công thức tính KPI: nhóm CMNV và HTPV áp dụng (a+b+c)/3; nhóm LĐQL áp dụng (a+b+c+d+đ+e)/6. (3) Điểm và hệ số quy đổi mang tính khuyến nghị ban đầu, được rà soát, hiệu chỉnh qua thực tiễn áp dụng theo Hướng dẫn số 02-HD/BTCTW.</w:t>
      </w:r>
    </w:p>
    <w:sectPr w:rsidR="00FC693F" w:rsidRPr="0006063C" w:rsidSect="00034616">
      <w:pgSz w:w="16838" w:h="11906" w:orient="landscape"/>
      <w:pgMar w:top="1134" w:right="85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val="0"/>
        <w:sz w:val="28"/>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