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jc w:val="center"/>
      </w:pPr>
      <w:r>
        <w:rPr>
          <w:rFonts w:ascii="Times New Roman" w:cs="Times New Roman" w:eastAsia="Times New Roman" w:hAnsi="Times New Roman"/>
          <w:b/>
          <w:bCs/>
          <w:sz w:val="26"/>
          <w:szCs w:val="26"/>
        </w:rPr>
        <w:t xml:space="preserve">CỘNG HÒA XÃ HỘI CHỦ NGHĨA VIỆT NAM</w:t>
      </w:r>
    </w:p>
    <w:p>
      <w:pPr>
        <w:spacing w:after="60" w:line="276"/>
        <w:jc w:val="center"/>
      </w:pPr>
      <w:r>
        <w:rPr>
          <w:rFonts w:ascii="Times New Roman" w:cs="Times New Roman" w:eastAsia="Times New Roman" w:hAnsi="Times New Roman"/>
          <w:b/>
          <w:bCs/>
          <w:sz w:val="26"/>
          <w:szCs w:val="26"/>
        </w:rPr>
        <w:t xml:space="preserve">Độc lập - Tự do - Hạnh phúc</w:t>
      </w:r>
    </w:p>
    <w:p>
      <w:pPr>
        <w:spacing w:after="200"/>
        <w:jc w:val="center"/>
      </w:pPr>
      <w:r>
        <w:rPr>
          <w:rFonts w:ascii="Times New Roman" w:cs="Times New Roman" w:eastAsia="Times New Roman" w:hAnsi="Times New Roman"/>
          <w:sz w:val="22"/>
          <w:szCs w:val="22"/>
        </w:rPr>
        <w:t xml:space="preserve">------------------------</w:t>
      </w:r>
    </w:p>
    <w:p>
      <w:pPr>
        <w:spacing w:after="60" w:before="0" w:line="312"/>
        <w:jc w:val="center"/>
      </w:pPr>
      <w:r>
        <w:rPr>
          <w:rFonts w:ascii="Times New Roman" w:cs="Times New Roman" w:eastAsia="Times New Roman" w:hAnsi="Times New Roman"/>
          <w:b/>
          <w:bCs/>
          <w:i w:val="false"/>
          <w:iCs w:val="false"/>
          <w:sz w:val="34"/>
          <w:szCs w:val="34"/>
        </w:rPr>
        <w:t xml:space="preserve">BÁO CÁO MÔ TẢ SÁNG KIẾN</w:t>
      </w:r>
    </w:p>
    <w:p>
      <w:pPr>
        <w:spacing w:after="240" w:before="0" w:line="312"/>
        <w:jc w:val="center"/>
      </w:pPr>
      <w:r>
        <w:rPr>
          <w:rFonts w:ascii="Times New Roman" w:cs="Times New Roman" w:eastAsia="Times New Roman" w:hAnsi="Times New Roman"/>
          <w:b/>
          <w:bCs/>
          <w:i w:val="false"/>
          <w:iCs w:val="false"/>
          <w:sz w:val="28"/>
          <w:szCs w:val="28"/>
        </w:rPr>
        <w:t xml:space="preserve">Tên sáng kiến: </w:t>
      </w:r>
      <w:r>
        <w:rPr>
          <w:rFonts w:ascii="Times New Roman" w:cs="Times New Roman" w:eastAsia="Times New Roman" w:hAnsi="Times New Roman"/>
          <w:b w:val="false"/>
          <w:bCs w:val="false"/>
          <w:i/>
          <w:iCs/>
          <w:sz w:val="28"/>
          <w:szCs w:val="28"/>
        </w:rPr>
        <w:t xml:space="preserve">“Xây dựng phần mềm đánh giá, xếp loại cán bộ, công chức, người lao động theo OKR/KPI, tích hợp ba mô hình tiêu chí và chuyển đổi số công tác đánh giá tại Văn phòng Đoàn ĐBQH và HĐND tỉnh Thanh Hóa”</w:t>
      </w:r>
    </w:p>
    <w:p>
      <w:pPr>
        <w:spacing w:after="120" w:before="200" w:line="312"/>
        <w:jc w:val="left"/>
      </w:pPr>
      <w:r>
        <w:rPr>
          <w:rFonts w:ascii="Times New Roman" w:cs="Times New Roman" w:eastAsia="Times New Roman" w:hAnsi="Times New Roman"/>
          <w:b/>
          <w:bCs/>
          <w:i w:val="false"/>
          <w:iCs w:val="false"/>
          <w:sz w:val="27"/>
          <w:szCs w:val="27"/>
        </w:rPr>
        <w:t xml:space="preserve">I. THÔNG TIN CHUNG VỀ SÁNG KIẾN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999999" w:sz="4"/>
              <w:left w:val="single" w:color="999999" w:sz="4"/>
              <w:bottom w:val="single" w:color="999999" w:sz="4"/>
              <w:right w:val="single" w:color="999999" w:sz="4"/>
            </w:tcBorders>
            <w:shd w:fill="EEF2F7"/>
            <w:tcMar>
              <w:top w:type="dxa" w:w="40"/>
              <w:left w:type="dxa" w:w="80"/>
              <w:bottom w:type="dxa" w:w="40"/>
              <w:right w:type="dxa" w:w="80"/>
            </w:tcMar>
            <w:vAlign w:val="center"/>
          </w:tcPr>
          <w:p>
            <w:pPr>
              <w:spacing w:line="276"/>
              <w:jc w:val="left"/>
            </w:pPr>
            <w:r>
              <w:rPr>
                <w:rFonts w:ascii="Times New Roman" w:cs="Times New Roman" w:eastAsia="Times New Roman" w:hAnsi="Times New Roman"/>
                <w:b/>
                <w:bCs/>
                <w:i w:val="false"/>
                <w:iCs w:val="false"/>
                <w:sz w:val="24"/>
                <w:szCs w:val="24"/>
              </w:rPr>
              <w:t xml:space="preserve">1. Tên sáng kiến</w:t>
            </w:r>
          </w:p>
        </w:tc>
        <w:tc>
          <w:tcPr>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line="276"/>
              <w:jc w:val="left"/>
            </w:pPr>
            <w:r>
              <w:rPr>
                <w:rFonts w:ascii="Times New Roman" w:cs="Times New Roman" w:eastAsia="Times New Roman" w:hAnsi="Times New Roman"/>
                <w:b w:val="false"/>
                <w:bCs w:val="false"/>
                <w:i w:val="false"/>
                <w:iCs w:val="false"/>
                <w:sz w:val="24"/>
                <w:szCs w:val="24"/>
              </w:rPr>
              <w:t xml:space="preserve">Phần mềm đánh giá, xếp loại cán bộ, công chức, người lao động theo OKR/KPI (tích hợp 3 mô hình tiêu chí: theo QĐ 1053-QĐ/TU, mô hình Cải tiến và mô hình tham khảo quốc tế).</w:t>
            </w:r>
          </w:p>
        </w:tc>
      </w:tr>
      <w:tr>
        <w:tc>
          <w:tcPr>
            <w:tcBorders>
              <w:top w:val="single" w:color="999999" w:sz="4"/>
              <w:left w:val="single" w:color="999999" w:sz="4"/>
              <w:bottom w:val="single" w:color="999999" w:sz="4"/>
              <w:right w:val="single" w:color="999999" w:sz="4"/>
            </w:tcBorders>
            <w:shd w:fill="EEF2F7"/>
            <w:tcMar>
              <w:top w:type="dxa" w:w="40"/>
              <w:left w:type="dxa" w:w="80"/>
              <w:bottom w:type="dxa" w:w="40"/>
              <w:right w:type="dxa" w:w="80"/>
            </w:tcMar>
            <w:vAlign w:val="center"/>
          </w:tcPr>
          <w:p>
            <w:pPr>
              <w:spacing w:line="276"/>
              <w:jc w:val="left"/>
            </w:pPr>
            <w:r>
              <w:rPr>
                <w:rFonts w:ascii="Times New Roman" w:cs="Times New Roman" w:eastAsia="Times New Roman" w:hAnsi="Times New Roman"/>
                <w:b/>
                <w:bCs/>
                <w:i w:val="false"/>
                <w:iCs w:val="false"/>
                <w:sz w:val="24"/>
                <w:szCs w:val="24"/>
              </w:rPr>
              <w:t xml:space="preserve">2. Lĩnh vực áp dụng</w:t>
            </w:r>
          </w:p>
        </w:tc>
        <w:tc>
          <w:tcPr>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line="276"/>
              <w:jc w:val="left"/>
            </w:pPr>
            <w:r>
              <w:rPr>
                <w:rFonts w:ascii="Times New Roman" w:cs="Times New Roman" w:eastAsia="Times New Roman" w:hAnsi="Times New Roman"/>
                <w:b w:val="false"/>
                <w:bCs w:val="false"/>
                <w:i w:val="false"/>
                <w:iCs w:val="false"/>
                <w:sz w:val="24"/>
                <w:szCs w:val="24"/>
              </w:rPr>
              <w:t xml:space="preserve">Cải cách hành chính; chuyển đổi số; quản lý, đánh giá cán bộ, công chức, người lao động.</w:t>
            </w:r>
          </w:p>
        </w:tc>
      </w:tr>
      <w:tr>
        <w:tc>
          <w:tcPr>
            <w:tcBorders>
              <w:top w:val="single" w:color="999999" w:sz="4"/>
              <w:left w:val="single" w:color="999999" w:sz="4"/>
              <w:bottom w:val="single" w:color="999999" w:sz="4"/>
              <w:right w:val="single" w:color="999999" w:sz="4"/>
            </w:tcBorders>
            <w:shd w:fill="EEF2F7"/>
            <w:tcMar>
              <w:top w:type="dxa" w:w="40"/>
              <w:left w:type="dxa" w:w="80"/>
              <w:bottom w:type="dxa" w:w="40"/>
              <w:right w:type="dxa" w:w="80"/>
            </w:tcMar>
            <w:vAlign w:val="center"/>
          </w:tcPr>
          <w:p>
            <w:pPr>
              <w:spacing w:line="276"/>
              <w:jc w:val="left"/>
            </w:pPr>
            <w:r>
              <w:rPr>
                <w:rFonts w:ascii="Times New Roman" w:cs="Times New Roman" w:eastAsia="Times New Roman" w:hAnsi="Times New Roman"/>
                <w:b/>
                <w:bCs/>
                <w:i w:val="false"/>
                <w:iCs w:val="false"/>
                <w:sz w:val="24"/>
                <w:szCs w:val="24"/>
              </w:rPr>
              <w:t xml:space="preserve">3. Tác giả</w:t>
            </w:r>
          </w:p>
        </w:tc>
        <w:tc>
          <w:tcPr>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line="276"/>
              <w:jc w:val="left"/>
            </w:pPr>
            <w:r>
              <w:rPr>
                <w:rFonts w:ascii="Times New Roman" w:cs="Times New Roman" w:eastAsia="Times New Roman" w:hAnsi="Times New Roman"/>
                <w:b w:val="false"/>
                <w:bCs w:val="false"/>
                <w:i w:val="false"/>
                <w:iCs w:val="false"/>
                <w:sz w:val="24"/>
                <w:szCs w:val="24"/>
              </w:rPr>
              <w:t xml:space="preserve">Hà Ngọc Sơn — Phó Chánh Văn phòng.</w:t>
            </w:r>
          </w:p>
        </w:tc>
      </w:tr>
      <w:tr>
        <w:tc>
          <w:tcPr>
            <w:tcBorders>
              <w:top w:val="single" w:color="999999" w:sz="4"/>
              <w:left w:val="single" w:color="999999" w:sz="4"/>
              <w:bottom w:val="single" w:color="999999" w:sz="4"/>
              <w:right w:val="single" w:color="999999" w:sz="4"/>
            </w:tcBorders>
            <w:shd w:fill="EEF2F7"/>
            <w:tcMar>
              <w:top w:type="dxa" w:w="40"/>
              <w:left w:type="dxa" w:w="80"/>
              <w:bottom w:type="dxa" w:w="40"/>
              <w:right w:type="dxa" w:w="80"/>
            </w:tcMar>
            <w:vAlign w:val="center"/>
          </w:tcPr>
          <w:p>
            <w:pPr>
              <w:spacing w:line="276"/>
              <w:jc w:val="left"/>
            </w:pPr>
            <w:r>
              <w:rPr>
                <w:rFonts w:ascii="Times New Roman" w:cs="Times New Roman" w:eastAsia="Times New Roman" w:hAnsi="Times New Roman"/>
                <w:b/>
                <w:bCs/>
                <w:i w:val="false"/>
                <w:iCs w:val="false"/>
                <w:sz w:val="24"/>
                <w:szCs w:val="24"/>
              </w:rPr>
              <w:t xml:space="preserve">4. Đơn vị công tác</w:t>
            </w:r>
          </w:p>
        </w:tc>
        <w:tc>
          <w:tcPr>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line="276"/>
              <w:jc w:val="left"/>
            </w:pPr>
            <w:r>
              <w:rPr>
                <w:rFonts w:ascii="Times New Roman" w:cs="Times New Roman" w:eastAsia="Times New Roman" w:hAnsi="Times New Roman"/>
                <w:b w:val="false"/>
                <w:bCs w:val="false"/>
                <w:i w:val="false"/>
                <w:iCs w:val="false"/>
                <w:sz w:val="24"/>
                <w:szCs w:val="24"/>
              </w:rPr>
              <w:t xml:space="preserve">Văn phòng Đoàn đại biểu Quốc hội và Hội đồng nhân dân tỉnh Thanh Hóa.</w:t>
            </w:r>
          </w:p>
        </w:tc>
      </w:tr>
      <w:tr>
        <w:tc>
          <w:tcPr>
            <w:tcBorders>
              <w:top w:val="single" w:color="999999" w:sz="4"/>
              <w:left w:val="single" w:color="999999" w:sz="4"/>
              <w:bottom w:val="single" w:color="999999" w:sz="4"/>
              <w:right w:val="single" w:color="999999" w:sz="4"/>
            </w:tcBorders>
            <w:shd w:fill="EEF2F7"/>
            <w:tcMar>
              <w:top w:type="dxa" w:w="40"/>
              <w:left w:type="dxa" w:w="80"/>
              <w:bottom w:type="dxa" w:w="40"/>
              <w:right w:type="dxa" w:w="80"/>
            </w:tcMar>
            <w:vAlign w:val="center"/>
          </w:tcPr>
          <w:p>
            <w:pPr>
              <w:spacing w:line="276"/>
              <w:jc w:val="left"/>
            </w:pPr>
            <w:r>
              <w:rPr>
                <w:rFonts w:ascii="Times New Roman" w:cs="Times New Roman" w:eastAsia="Times New Roman" w:hAnsi="Times New Roman"/>
                <w:b/>
                <w:bCs/>
                <w:i w:val="false"/>
                <w:iCs w:val="false"/>
                <w:sz w:val="24"/>
                <w:szCs w:val="24"/>
              </w:rPr>
              <w:t xml:space="preserve">5. Thời điểm áp dụng</w:t>
            </w:r>
          </w:p>
        </w:tc>
        <w:tc>
          <w:tcPr>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line="276"/>
              <w:jc w:val="left"/>
            </w:pPr>
            <w:r>
              <w:rPr>
                <w:rFonts w:ascii="Times New Roman" w:cs="Times New Roman" w:eastAsia="Times New Roman" w:hAnsi="Times New Roman"/>
                <w:b w:val="false"/>
                <w:bCs w:val="false"/>
                <w:i w:val="false"/>
                <w:iCs w:val="false"/>
                <w:sz w:val="24"/>
                <w:szCs w:val="24"/>
              </w:rPr>
              <w:t xml:space="preserve">Năm 2026 (triển khai thử nghiệm nội bộ).</w:t>
            </w:r>
          </w:p>
        </w:tc>
      </w:tr>
      <w:tr>
        <w:tc>
          <w:tcPr>
            <w:tcBorders>
              <w:top w:val="single" w:color="999999" w:sz="4"/>
              <w:left w:val="single" w:color="999999" w:sz="4"/>
              <w:bottom w:val="single" w:color="999999" w:sz="4"/>
              <w:right w:val="single" w:color="999999" w:sz="4"/>
            </w:tcBorders>
            <w:shd w:fill="EEF2F7"/>
            <w:tcMar>
              <w:top w:type="dxa" w:w="40"/>
              <w:left w:type="dxa" w:w="80"/>
              <w:bottom w:type="dxa" w:w="40"/>
              <w:right w:type="dxa" w:w="80"/>
            </w:tcMar>
            <w:vAlign w:val="center"/>
          </w:tcPr>
          <w:p>
            <w:pPr>
              <w:spacing w:line="276"/>
              <w:jc w:val="left"/>
            </w:pPr>
            <w:r>
              <w:rPr>
                <w:rFonts w:ascii="Times New Roman" w:cs="Times New Roman" w:eastAsia="Times New Roman" w:hAnsi="Times New Roman"/>
                <w:b/>
                <w:bCs/>
                <w:i w:val="false"/>
                <w:iCs w:val="false"/>
                <w:sz w:val="24"/>
                <w:szCs w:val="24"/>
              </w:rPr>
              <w:t xml:space="preserve">6. Hình thức</w:t>
            </w:r>
          </w:p>
        </w:tc>
        <w:tc>
          <w:tcPr>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line="276"/>
              <w:jc w:val="left"/>
            </w:pPr>
            <w:r>
              <w:rPr>
                <w:rFonts w:ascii="Times New Roman" w:cs="Times New Roman" w:eastAsia="Times New Roman" w:hAnsi="Times New Roman"/>
                <w:b w:val="false"/>
                <w:bCs w:val="false"/>
                <w:i w:val="false"/>
                <w:iCs w:val="false"/>
                <w:sz w:val="24"/>
                <w:szCs w:val="24"/>
              </w:rPr>
              <w:t xml:space="preserve">Phần mềm ứng dụng nền web (chạy trên trình duyệt, đa thiết bị), bản thử nghiệm nội bộ tại địa chỉ hdndthkpi.vercel.app.</w:t>
            </w:r>
          </w:p>
        </w:tc>
      </w:tr>
    </w:tbl>
    <w:p>
      <w:pPr>
        <w:spacing w:after="120" w:before="0" w:line="312"/>
        <w:jc w:val="both"/>
      </w:pPr>
      <w:r>
        <w:rPr>
          <w:rFonts w:ascii="Times New Roman" w:cs="Times New Roman" w:eastAsia="Times New Roman" w:hAnsi="Times New Roman"/>
          <w:b w:val="false"/>
          <w:bCs w:val="false"/>
          <w:i w:val="false"/>
          <w:iCs w:val="false"/>
          <w:sz w:val="26"/>
          <w:szCs w:val="26"/>
        </w:rPr>
        <w:t xml:space="preserve"/>
      </w:r>
    </w:p>
    <w:p>
      <w:pPr>
        <w:spacing w:after="120" w:before="200" w:line="312"/>
        <w:jc w:val="left"/>
      </w:pPr>
      <w:r>
        <w:rPr>
          <w:rFonts w:ascii="Times New Roman" w:cs="Times New Roman" w:eastAsia="Times New Roman" w:hAnsi="Times New Roman"/>
          <w:b/>
          <w:bCs/>
          <w:i w:val="false"/>
          <w:iCs w:val="false"/>
          <w:sz w:val="27"/>
          <w:szCs w:val="27"/>
        </w:rPr>
        <w:t xml:space="preserve">II. THỰC TRẠNG VÀ SỰ CẦN THIẾT CỦA SÁNG KIẾN</w:t>
      </w:r>
    </w:p>
    <w:p>
      <w:pPr>
        <w:spacing w:after="60" w:before="0" w:line="312"/>
        <w:jc w:val="both"/>
      </w:pPr>
      <w:r>
        <w:rPr>
          <w:rFonts w:ascii="Times New Roman" w:cs="Times New Roman" w:eastAsia="Times New Roman" w:hAnsi="Times New Roman"/>
          <w:b/>
          <w:bCs/>
          <w:i w:val="false"/>
          <w:iCs w:val="false"/>
          <w:sz w:val="26"/>
          <w:szCs w:val="26"/>
        </w:rPr>
        <w:t xml:space="preserve">1. Thực trạng trước khi có sáng kiến</w:t>
      </w:r>
    </w:p>
    <w:p>
      <w:pPr>
        <w:spacing w:after="120" w:before="0" w:line="312"/>
        <w:ind w:firstLine="480"/>
        <w:jc w:val="both"/>
      </w:pPr>
      <w:r>
        <w:rPr>
          <w:rFonts w:ascii="Times New Roman" w:cs="Times New Roman" w:eastAsia="Times New Roman" w:hAnsi="Times New Roman"/>
          <w:b w:val="false"/>
          <w:bCs w:val="false"/>
          <w:i w:val="false"/>
          <w:iCs w:val="false"/>
          <w:sz w:val="26"/>
          <w:szCs w:val="26"/>
        </w:rPr>
        <w:t xml:space="preserve">Công tác đánh giá, xếp loại cán bộ, công chức, người lao động hằng tháng tại cơ quan trước đây chủ yếu thực hiện thủ công trên giấy hoặc trên các bảng tính rời rạc. Cách làm này bộc lộ một số hạn chế:</w:t>
      </w:r>
    </w:p>
    <w:p>
      <w:pPr>
        <w:pStyle w:val="ListParagraph"/>
        <w:numPr>
          <w:ilvl w:val="0"/>
          <w:numId w:val="2"/>
        </w:numPr>
        <w:spacing w:after="60" w:line="312"/>
        <w:jc w:val="both"/>
      </w:pPr>
      <w:r>
        <w:rPr>
          <w:rFonts w:ascii="Times New Roman" w:cs="Times New Roman" w:eastAsia="Times New Roman" w:hAnsi="Times New Roman"/>
          <w:sz w:val="26"/>
          <w:szCs w:val="26"/>
        </w:rPr>
        <w:t xml:space="preserve">Tốn nhiều thời gian tổng hợp, dễ sai sót khi cộng điểm, chuyển mức xếp loại;</w:t>
      </w:r>
    </w:p>
    <w:p>
      <w:pPr>
        <w:pStyle w:val="ListParagraph"/>
        <w:numPr>
          <w:ilvl w:val="0"/>
          <w:numId w:val="2"/>
        </w:numPr>
        <w:spacing w:after="60" w:line="312"/>
        <w:jc w:val="both"/>
      </w:pPr>
      <w:r>
        <w:rPr>
          <w:rFonts w:ascii="Times New Roman" w:cs="Times New Roman" w:eastAsia="Times New Roman" w:hAnsi="Times New Roman"/>
          <w:sz w:val="26"/>
          <w:szCs w:val="26"/>
        </w:rPr>
        <w:t xml:space="preserve">Tiêu chí định tính, chấm điểm còn cảm tính, thiếu căn cứ định lượng thống nhất giữa người tự đánh giá và cấp có thẩm quyền;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Khó liên kết kết quả công việc của cá nhân với mục tiêu chung của cơ quan; khó theo dõi tiến độ theo thời gian;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Khó lưu trữ, tra cứu, so sánh giữa các kỳ và giữa các phòng, bộ phận; thiếu công cụ trực quan phục vụ lãnh đạo ra quyết định.</w:t>
      </w:r>
    </w:p>
    <w:p>
      <w:pPr>
        <w:spacing w:after="60" w:before="80" w:line="312"/>
        <w:jc w:val="both"/>
      </w:pPr>
      <w:r>
        <w:rPr>
          <w:rFonts w:ascii="Times New Roman" w:cs="Times New Roman" w:eastAsia="Times New Roman" w:hAnsi="Times New Roman"/>
          <w:b/>
          <w:bCs/>
          <w:i w:val="false"/>
          <w:iCs w:val="false"/>
          <w:sz w:val="26"/>
          <w:szCs w:val="26"/>
        </w:rPr>
        <w:t xml:space="preserve">2. Yêu cầu đặt ra</w:t>
      </w:r>
    </w:p>
    <w:p>
      <w:pPr>
        <w:spacing w:after="120" w:before="0" w:line="312"/>
        <w:ind w:firstLine="480"/>
        <w:jc w:val="both"/>
      </w:pPr>
      <w:r>
        <w:rPr>
          <w:rFonts w:ascii="Times New Roman" w:cs="Times New Roman" w:eastAsia="Times New Roman" w:hAnsi="Times New Roman"/>
          <w:b w:val="false"/>
          <w:bCs w:val="false"/>
          <w:i w:val="false"/>
          <w:iCs w:val="false"/>
          <w:sz w:val="26"/>
          <w:szCs w:val="26"/>
        </w:rPr>
        <w:t xml:space="preserve">Việc đánh giá phải bám sát các quy định hiện hành (Quyết định số 1053-QĐ/TU của Tỉnh ủy Thanh Hóa; Nghị định số 90/2020/NĐ-CP, Nghị định số 48/2023/NĐ-CP và Nghị định số 335/2025/NĐ-CP về đánh giá, xếp loại chất lượng cán bộ, công chức), đồng thời đáp ứng yêu cầu chuyển đổi số, ứng dụng công nghệ thông tin và trí tuệ nhân tạo (Nghị quyết số 57-NQ/TW). Từ đó đặt ra yêu cầu cấp thiết phải có một công cụ số hóa toàn bộ quy trình đánh giá, vừa đúng quy định, vừa khách quan, minh bạch và dễ sử dụng.</w:t>
      </w:r>
    </w:p>
    <w:p>
      <w:pPr>
        <w:spacing w:after="120" w:before="200" w:line="312"/>
        <w:jc w:val="left"/>
      </w:pPr>
      <w:r>
        <w:rPr>
          <w:rFonts w:ascii="Times New Roman" w:cs="Times New Roman" w:eastAsia="Times New Roman" w:hAnsi="Times New Roman"/>
          <w:b/>
          <w:bCs/>
          <w:i w:val="false"/>
          <w:iCs w:val="false"/>
          <w:sz w:val="27"/>
          <w:szCs w:val="27"/>
        </w:rPr>
        <w:t xml:space="preserve">III. MỤC TIÊU CỦA SÁNG KIẾN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Số hóa toàn bộ quy trình đánh giá, xếp loại hằng tháng; tự động tính điểm và xếp loại đúng quy định, hạn chế sai sót và cảm tính;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Tách bạch và minh bạch giữa phần tự đánh giá của cán bộ và phần thẩm định của cấp có thẩm quyền;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Gắn kết quả công việc của cá nhân với mục tiêu (OKR) của cơ quan; trực quan hóa kết quả phục vụ công tác lãnh đạo, chỉ đạo;</w:t>
      </w:r>
    </w:p>
    <w:p>
      <w:pPr>
        <w:pStyle w:val="ListParagraph"/>
        <w:numPr>
          <w:ilvl w:val="0"/>
          <w:numId w:val="2"/>
        </w:numPr>
        <w:spacing w:after="60" w:line="312"/>
        <w:jc w:val="both"/>
      </w:pPr>
      <w:r>
        <w:rPr>
          <w:rFonts w:ascii="Times New Roman" w:cs="Times New Roman" w:eastAsia="Times New Roman" w:hAnsi="Times New Roman"/>
          <w:sz w:val="26"/>
          <w:szCs w:val="26"/>
        </w:rPr>
        <w:t xml:space="preserve">Tiết kiệm thời gian, công sức; lưu trữ, tra cứu, so sánh thuận lợi theo kỳ và theo đơn vị;</w:t>
      </w:r>
    </w:p>
    <w:p>
      <w:pPr>
        <w:pStyle w:val="ListParagraph"/>
        <w:numPr>
          <w:ilvl w:val="0"/>
          <w:numId w:val="2"/>
        </w:numPr>
        <w:spacing w:after="60" w:line="312"/>
        <w:jc w:val="both"/>
      </w:pPr>
      <w:r>
        <w:rPr>
          <w:rFonts w:ascii="Times New Roman" w:cs="Times New Roman" w:eastAsia="Times New Roman" w:hAnsi="Times New Roman"/>
          <w:sz w:val="26"/>
          <w:szCs w:val="26"/>
        </w:rPr>
        <w:t xml:space="preserve">Tiếp thu, tham khảo có chọn lọc mô hình quản lý hiệu suất tiên tiến để nâng cao chất lượng đánh giá.</w:t>
      </w:r>
    </w:p>
    <w:p>
      <w:pPr>
        <w:spacing w:after="120" w:before="200" w:line="312"/>
        <w:jc w:val="left"/>
      </w:pPr>
      <w:r>
        <w:rPr>
          <w:rFonts w:ascii="Times New Roman" w:cs="Times New Roman" w:eastAsia="Times New Roman" w:hAnsi="Times New Roman"/>
          <w:b/>
          <w:bCs/>
          <w:i w:val="false"/>
          <w:iCs w:val="false"/>
          <w:sz w:val="27"/>
          <w:szCs w:val="27"/>
        </w:rPr>
        <w:t xml:space="preserve">IV. MÔ TẢ CỤ THỂ NỘI DUNG SÁNG KIẾN</w:t>
      </w:r>
    </w:p>
    <w:p>
      <w:pPr>
        <w:spacing w:after="60" w:before="0" w:line="312"/>
        <w:jc w:val="both"/>
      </w:pPr>
      <w:r>
        <w:rPr>
          <w:rFonts w:ascii="Times New Roman" w:cs="Times New Roman" w:eastAsia="Times New Roman" w:hAnsi="Times New Roman"/>
          <w:b/>
          <w:bCs/>
          <w:i w:val="false"/>
          <w:iCs w:val="false"/>
          <w:sz w:val="26"/>
          <w:szCs w:val="26"/>
        </w:rPr>
        <w:t xml:space="preserve">1. Tổng quan giải pháp và công nghệ</w:t>
      </w:r>
    </w:p>
    <w:p>
      <w:pPr>
        <w:spacing w:after="120" w:before="0" w:line="312"/>
        <w:ind w:firstLine="480"/>
        <w:jc w:val="both"/>
      </w:pPr>
      <w:r>
        <w:rPr>
          <w:rFonts w:ascii="Times New Roman" w:cs="Times New Roman" w:eastAsia="Times New Roman" w:hAnsi="Times New Roman"/>
          <w:b w:val="false"/>
          <w:bCs w:val="false"/>
          <w:i w:val="false"/>
          <w:iCs w:val="false"/>
          <w:sz w:val="26"/>
          <w:szCs w:val="26"/>
        </w:rPr>
        <w:t xml:space="preserve">Sáng kiến là một phần mềm ứng dụng nền web, xây dựng bằng React + Vite + TailwindCSS (giao diện), Supabase/PostgreSQL (cơ sở dữ liệu và xác thực), triển khai trên nền tảng Vercel. Phần mềm chạy trực tiếp trên trình duyệt, không cần cài đặt, dùng được trên máy tính, máy tính bảng và điện thoại; dữ liệu được lưu trên đám mây theo từng kỳ (tháng/năm) và đồng bộ đa máy. Toàn bộ giao diện bằng tiếng Việt, có phân quyền theo vai trò (Cán bộ / Trưởng phòng / Quản trị) và tài khoản khách để xem, trải nghiệm.</w:t>
      </w:r>
    </w:p>
    <w:p>
      <w:pPr>
        <w:spacing w:after="60" w:before="80" w:line="312"/>
        <w:jc w:val="both"/>
      </w:pPr>
      <w:r>
        <w:rPr>
          <w:rFonts w:ascii="Times New Roman" w:cs="Times New Roman" w:eastAsia="Times New Roman" w:hAnsi="Times New Roman"/>
          <w:b/>
          <w:bCs/>
          <w:i w:val="false"/>
          <w:iCs w:val="false"/>
          <w:sz w:val="26"/>
          <w:szCs w:val="26"/>
        </w:rPr>
        <w:t xml:space="preserve">2. Bộ tiêu chí và phương pháp tính điểm</w:t>
      </w:r>
    </w:p>
    <w:p>
      <w:pPr>
        <w:spacing w:after="120" w:before="0" w:line="312"/>
        <w:ind w:firstLine="480"/>
        <w:jc w:val="both"/>
      </w:pPr>
      <w:r>
        <w:rPr>
          <w:rFonts w:ascii="Times New Roman" w:cs="Times New Roman" w:eastAsia="Times New Roman" w:hAnsi="Times New Roman"/>
          <w:b w:val="false"/>
          <w:bCs w:val="false"/>
          <w:i w:val="false"/>
          <w:iCs w:val="false"/>
          <w:sz w:val="26"/>
          <w:szCs w:val="26"/>
        </w:rPr>
        <w:t xml:space="preserve">Phần mềm chuẩn hóa thang điểm 100, gồm hai nhóm tiêu chí:</w:t>
      </w:r>
    </w:p>
    <w:p>
      <w:pPr>
        <w:pStyle w:val="ListParagraph"/>
        <w:numPr>
          <w:ilvl w:val="0"/>
          <w:numId w:val="2"/>
        </w:numPr>
        <w:spacing w:after="60" w:line="312"/>
        <w:jc w:val="both"/>
      </w:pPr>
      <w:r>
        <w:rPr>
          <w:rFonts w:ascii="Times New Roman" w:cs="Times New Roman" w:eastAsia="Times New Roman" w:hAnsi="Times New Roman"/>
          <w:sz w:val="26"/>
          <w:szCs w:val="26"/>
        </w:rPr>
        <w:t xml:space="preserve">Nhóm I — Tiêu chí chung (chất lượng, phẩm chất): tối đa 30 điểm, theo 5 nhóm đối tượng (Mẫu 01–05: đại biểu HĐND chuyên trách, đại biểu Quốc hội chuyên trách, lãnh đạo - quản lý, công chức, lao động hợp đồng);</w:t>
      </w:r>
    </w:p>
    <w:p>
      <w:pPr>
        <w:pStyle w:val="ListParagraph"/>
        <w:numPr>
          <w:ilvl w:val="0"/>
          <w:numId w:val="2"/>
        </w:numPr>
        <w:spacing w:after="60" w:line="312"/>
        <w:jc w:val="both"/>
      </w:pPr>
      <w:r>
        <w:rPr>
          <w:rFonts w:ascii="Times New Roman" w:cs="Times New Roman" w:eastAsia="Times New Roman" w:hAnsi="Times New Roman"/>
          <w:sz w:val="26"/>
          <w:szCs w:val="26"/>
        </w:rPr>
        <w:t xml:space="preserve">Nhóm II — Kết quả thực hiện nhiệm vụ (KPI): tối đa 70 điểm, chấm theo từng nhiệm vụ trên ba thành phần Khối lượng (a), Chất lượng (b), Tiến độ (c); điểm nhiệm vụ = (a+b+c)/3; mỗi lần sai sót lớn hoặc chậm tiến độ trừ 25% điểm thành phần tương ứng.</w:t>
      </w:r>
    </w:p>
    <w:p>
      <w:pPr>
        <w:spacing w:after="120" w:before="0" w:line="312"/>
        <w:ind w:firstLine="480"/>
        <w:jc w:val="both"/>
      </w:pPr>
      <w:r>
        <w:rPr>
          <w:rFonts w:ascii="Times New Roman" w:cs="Times New Roman" w:eastAsia="Times New Roman" w:hAnsi="Times New Roman"/>
          <w:b w:val="false"/>
          <w:bCs w:val="false"/>
          <w:i w:val="false"/>
          <w:iCs w:val="false"/>
          <w:sz w:val="26"/>
          <w:szCs w:val="26"/>
        </w:rPr>
        <w:t xml:space="preserve">Đối với cán bộ lãnh đạo, quản lý, điểm kết quả được tính theo công thức (a+b+c+d+đ+e)/6 (bổ sung các thành phần về kết quả lĩnh vực phụ trách, tổ chức triển khai và đoàn kết nội bộ). Phần mềm tự động xếp loại bốn mức (Hoàn thành xuất sắc / Hoàn thành tốt / Hoàn thành / Không hoàn thành nhiệm vụ) kèm điều kiện định lượng theo từng nhiệm vụ, có giải thích minh bạch lý do hạ/chốt mức. Cách tính bám sát Nghị định số 335/2025/NĐ-CP.</w:t>
      </w:r>
    </w:p>
    <w:p>
      <w:pPr>
        <w:spacing w:after="60" w:before="80" w:line="312"/>
        <w:jc w:val="both"/>
      </w:pPr>
      <w:r>
        <w:rPr>
          <w:rFonts w:ascii="Times New Roman" w:cs="Times New Roman" w:eastAsia="Times New Roman" w:hAnsi="Times New Roman"/>
          <w:b/>
          <w:bCs/>
          <w:i w:val="false"/>
          <w:iCs w:val="false"/>
          <w:sz w:val="26"/>
          <w:szCs w:val="26"/>
        </w:rPr>
        <w:t xml:space="preserve">3. Điểm mới nổi bật: tích hợp ba phiên bản bộ tiêu chí</w:t>
      </w:r>
    </w:p>
    <w:p>
      <w:pPr>
        <w:spacing w:after="120" w:before="0" w:line="312"/>
        <w:ind w:firstLine="480"/>
        <w:jc w:val="both"/>
      </w:pPr>
      <w:r>
        <w:rPr>
          <w:rFonts w:ascii="Times New Roman" w:cs="Times New Roman" w:eastAsia="Times New Roman" w:hAnsi="Times New Roman"/>
          <w:b w:val="false"/>
          <w:bCs w:val="false"/>
          <w:i w:val="false"/>
          <w:iCs w:val="false"/>
          <w:sz w:val="26"/>
          <w:szCs w:val="26"/>
        </w:rPr>
        <w:t xml:space="preserve">Người dùng có thể chọn một trong ba phiên bản ngay tại màn hình đăng nhập, dùng chung khung điểm 100 nên chuyển đổi không mất dữ liệu: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8%"/>
            <w:tcBorders>
              <w:top w:val="single" w:color="999999" w:sz="4"/>
              <w:left w:val="single" w:color="999999" w:sz="4"/>
              <w:bottom w:val="single" w:color="999999" w:sz="4"/>
              <w:right w:val="single" w:color="999999" w:sz="4"/>
            </w:tcBorders>
            <w:shd w:fill="EEF2F7"/>
            <w:tcMar>
              <w:top w:type="dxa" w:w="40"/>
              <w:left w:type="dxa" w:w="80"/>
              <w:bottom w:type="dxa" w:w="40"/>
              <w:right w:type="dxa" w:w="80"/>
            </w:tcMar>
            <w:vAlign w:val="center"/>
          </w:tcPr>
          <w:p>
            <w:pPr>
              <w:spacing w:line="276"/>
              <w:jc w:val="left"/>
            </w:pPr>
            <w:r>
              <w:rPr>
                <w:rFonts w:ascii="Times New Roman" w:cs="Times New Roman" w:eastAsia="Times New Roman" w:hAnsi="Times New Roman"/>
                <w:b/>
                <w:bCs/>
                <w:i w:val="false"/>
                <w:iCs w:val="false"/>
                <w:sz w:val="24"/>
                <w:szCs w:val="24"/>
              </w:rPr>
              <w:t xml:space="preserve">Phiên bản</w:t>
            </w:r>
          </w:p>
        </w:tc>
        <w:tc>
          <w:tcPr>
            <w:tcBorders>
              <w:top w:val="single" w:color="999999" w:sz="4"/>
              <w:left w:val="single" w:color="999999" w:sz="4"/>
              <w:bottom w:val="single" w:color="999999" w:sz="4"/>
              <w:right w:val="single" w:color="999999" w:sz="4"/>
            </w:tcBorders>
            <w:shd w:fill="EEF2F7"/>
            <w:tcMar>
              <w:top w:type="dxa" w:w="40"/>
              <w:left w:type="dxa" w:w="80"/>
              <w:bottom w:type="dxa" w:w="40"/>
              <w:right w:type="dxa" w:w="80"/>
            </w:tcMar>
            <w:vAlign w:val="center"/>
          </w:tcPr>
          <w:p>
            <w:pPr>
              <w:spacing w:line="276"/>
              <w:jc w:val="left"/>
            </w:pPr>
            <w:r>
              <w:rPr>
                <w:rFonts w:ascii="Times New Roman" w:cs="Times New Roman" w:eastAsia="Times New Roman" w:hAnsi="Times New Roman"/>
                <w:b/>
                <w:bCs/>
                <w:i w:val="false"/>
                <w:iCs w:val="false"/>
                <w:sz w:val="24"/>
                <w:szCs w:val="24"/>
              </w:rPr>
              <w:t xml:space="preserve">Đặc điểm</w:t>
            </w:r>
          </w:p>
        </w:tc>
      </w:tr>
      <w:tr>
        <w:tc>
          <w:tcPr>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line="276"/>
              <w:jc w:val="left"/>
            </w:pPr>
            <w:r>
              <w:rPr>
                <w:rFonts w:ascii="Times New Roman" w:cs="Times New Roman" w:eastAsia="Times New Roman" w:hAnsi="Times New Roman"/>
                <w:b/>
                <w:bCs/>
                <w:i w:val="false"/>
                <w:iCs w:val="false"/>
                <w:sz w:val="24"/>
                <w:szCs w:val="24"/>
              </w:rPr>
              <w:t xml:space="preserve">Cổ điển</w:t>
            </w:r>
          </w:p>
        </w:tc>
        <w:tc>
          <w:tcPr>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line="276"/>
              <w:jc w:val="left"/>
            </w:pPr>
            <w:r>
              <w:rPr>
                <w:rFonts w:ascii="Times New Roman" w:cs="Times New Roman" w:eastAsia="Times New Roman" w:hAnsi="Times New Roman"/>
                <w:b w:val="false"/>
                <w:bCs w:val="false"/>
                <w:i w:val="false"/>
                <w:iCs w:val="false"/>
                <w:sz w:val="24"/>
                <w:szCs w:val="24"/>
              </w:rPr>
              <w:t xml:space="preserve">Bộ tiêu chí theo Quyết định số 1053-QĐ/TU, giữ nguyên câu chữ pháp lý — dùng cho công tác đánh giá chính thức.</w:t>
            </w:r>
          </w:p>
        </w:tc>
      </w:tr>
      <w:tr>
        <w:tc>
          <w:tcPr>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line="276"/>
              <w:jc w:val="left"/>
            </w:pPr>
            <w:r>
              <w:rPr>
                <w:rFonts w:ascii="Times New Roman" w:cs="Times New Roman" w:eastAsia="Times New Roman" w:hAnsi="Times New Roman"/>
                <w:b/>
                <w:bCs/>
                <w:i w:val="false"/>
                <w:iCs w:val="false"/>
                <w:sz w:val="24"/>
                <w:szCs w:val="24"/>
              </w:rPr>
              <w:t xml:space="preserve">Cải tiến</w:t>
            </w:r>
          </w:p>
        </w:tc>
        <w:tc>
          <w:tcPr>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line="276"/>
              <w:jc w:val="left"/>
            </w:pPr>
            <w:r>
              <w:rPr>
                <w:rFonts w:ascii="Times New Roman" w:cs="Times New Roman" w:eastAsia="Times New Roman" w:hAnsi="Times New Roman"/>
                <w:b w:val="false"/>
                <w:bCs w:val="false"/>
                <w:i w:val="false"/>
                <w:iCs w:val="false"/>
                <w:sz w:val="24"/>
                <w:szCs w:val="24"/>
              </w:rPr>
              <w:t xml:space="preserve">Cùng khung điểm nhưng câu hỏi được viết lại theo hướng dễ hiểu (gắn năng lực: phân tích, ảnh hưởng - hợp tác, động lực hướng tới xuất sắc; giá trị: liêm chính - phục vụ - xuất sắc); Nhóm II gom theo Mục tiêu (OKR) và bổ sung ô “Kết quả cần đạt”.</w:t>
            </w:r>
          </w:p>
        </w:tc>
      </w:tr>
      <w:tr>
        <w:tc>
          <w:tcPr>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line="276"/>
              <w:jc w:val="left"/>
            </w:pPr>
            <w:r>
              <w:rPr>
                <w:rFonts w:ascii="Times New Roman" w:cs="Times New Roman" w:eastAsia="Times New Roman" w:hAnsi="Times New Roman"/>
                <w:b/>
                <w:bCs/>
                <w:i w:val="false"/>
                <w:iCs w:val="false"/>
                <w:sz w:val="24"/>
                <w:szCs w:val="24"/>
              </w:rPr>
              <w:t xml:space="preserve">Singapore (tham khảo)</w:t>
            </w:r>
          </w:p>
        </w:tc>
        <w:tc>
          <w:tcPr>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line="276"/>
              <w:jc w:val="left"/>
            </w:pPr>
            <w:r>
              <w:rPr>
                <w:rFonts w:ascii="Times New Roman" w:cs="Times New Roman" w:eastAsia="Times New Roman" w:hAnsi="Times New Roman"/>
                <w:b w:val="false"/>
                <w:bCs w:val="false"/>
                <w:i w:val="false"/>
                <w:iCs w:val="false"/>
                <w:sz w:val="24"/>
                <w:szCs w:val="24"/>
              </w:rPr>
              <w:t xml:space="preserve">Mô phỏng mô hình quản lý hiệu suất của khu vực công Singapore: phiếu đánh giá theo Kết quả công việc + Năng lực + Giá trị + Xếp loại A–E + Tiềm năng (CEP) + Phát triển; kèm “bảng điểm thiết chế” chấm theo dải màu Xanh/Vàng/Đỏ (mô phỏng Town Council Management Report).</w:t>
            </w:r>
          </w:p>
        </w:tc>
      </w:tr>
    </w:tbl>
    <w:p>
      <w:pPr>
        <w:spacing w:after="60" w:before="120" w:line="312"/>
        <w:jc w:val="both"/>
      </w:pPr>
      <w:r>
        <w:rPr>
          <w:rFonts w:ascii="Times New Roman" w:cs="Times New Roman" w:eastAsia="Times New Roman" w:hAnsi="Times New Roman"/>
          <w:b/>
          <w:bCs/>
          <w:i w:val="false"/>
          <w:iCs w:val="false"/>
          <w:sz w:val="26"/>
          <w:szCs w:val="26"/>
        </w:rPr>
        <w:t xml:space="preserve">4. Tách biệt “Tự đánh giá” và “Cấp duyệt” đến từng nhiệm vụ</w:t>
      </w:r>
    </w:p>
    <w:p>
      <w:pPr>
        <w:spacing w:after="120" w:before="0" w:line="312"/>
        <w:ind w:firstLine="480"/>
        <w:jc w:val="both"/>
      </w:pPr>
      <w:r>
        <w:rPr>
          <w:rFonts w:ascii="Times New Roman" w:cs="Times New Roman" w:eastAsia="Times New Roman" w:hAnsi="Times New Roman"/>
          <w:b w:val="false"/>
          <w:bCs w:val="false"/>
          <w:i w:val="false"/>
          <w:iCs w:val="false"/>
          <w:sz w:val="26"/>
          <w:szCs w:val="26"/>
        </w:rPr>
        <w:t xml:space="preserve">Ở Nhóm II, mỗi nhiệm vụ có hai cột số liệu song song: cột “Tự đánh giá” do cán bộ tự kê khai và cột “Cấp duyệt” do cấp có thẩm quyền rà soát, xác nhận (mặc định kế thừa số tự đánh giá khi chưa chỉnh sửa). Điểm xếp loại chính thức lấy theo số liệu Cấp duyệt; phần mềm hiển thị điểm của từng nhiệm vụ cho cả hai góc nhìn, bảo đảm khách quan, có đối chứng. Mỗi ô nhập đều có định nghĩa, ví dụ minh họa (thế nào là “một sai sót lớn”, “một lần trễ hạn”) để người đánh giá và người được đánh giá hiểu thống nhất; bổ sung ô “miễn trừ do nguyên nhân khách quan” theo đúng quy định.</w:t>
      </w:r>
    </w:p>
    <w:p>
      <w:pPr>
        <w:spacing w:after="60" w:before="80" w:line="312"/>
        <w:jc w:val="both"/>
      </w:pPr>
      <w:r>
        <w:rPr>
          <w:rFonts w:ascii="Times New Roman" w:cs="Times New Roman" w:eastAsia="Times New Roman" w:hAnsi="Times New Roman"/>
          <w:b/>
          <w:bCs/>
          <w:i w:val="false"/>
          <w:iCs w:val="false"/>
          <w:sz w:val="26"/>
          <w:szCs w:val="26"/>
        </w:rPr>
        <w:t xml:space="preserve">5. Quản trị mục tiêu theo phương pháp OKR</w:t>
      </w:r>
    </w:p>
    <w:p>
      <w:pPr>
        <w:spacing w:after="120" w:before="0" w:line="312"/>
        <w:ind w:firstLine="480"/>
        <w:jc w:val="both"/>
      </w:pPr>
      <w:r>
        <w:rPr>
          <w:rFonts w:ascii="Times New Roman" w:cs="Times New Roman" w:eastAsia="Times New Roman" w:hAnsi="Times New Roman"/>
          <w:b w:val="false"/>
          <w:bCs w:val="false"/>
          <w:i w:val="false"/>
          <w:iCs w:val="false"/>
          <w:sz w:val="26"/>
          <w:szCs w:val="26"/>
        </w:rPr>
        <w:t xml:space="preserve">Phần mềm cho phép thiết lập các Mục tiêu (Objectives) cấp cơ quan gắn với nghị quyết, chương trình công tác; mỗi mục tiêu có các Kết quả then chốt (Key Results) đo được, hiển thị tiến độ theo dải màu. Nhiệm vụ của cá nhân được liên kết tới mục tiêu để “dồn sức” vào việc trọng tâm. Theo thông lệ quốc tế, OKR chỉ dùng để định hướng và theo dõi tiến độ chung, không trực tiếp quyết định điểm số cá nhân, tránh hiện tượng đặt mục tiêu thấp cho dễ đạt.</w:t>
      </w:r>
    </w:p>
    <w:p>
      <w:pPr>
        <w:spacing w:after="60" w:before="80" w:line="312"/>
        <w:jc w:val="both"/>
      </w:pPr>
      <w:r>
        <w:rPr>
          <w:rFonts w:ascii="Times New Roman" w:cs="Times New Roman" w:eastAsia="Times New Roman" w:hAnsi="Times New Roman"/>
          <w:b/>
          <w:bCs/>
          <w:i w:val="false"/>
          <w:iCs w:val="false"/>
          <w:sz w:val="26"/>
          <w:szCs w:val="26"/>
        </w:rPr>
        <w:t xml:space="preserve">6. Các chức năng hỗ trợ khác</w:t>
      </w:r>
    </w:p>
    <w:p>
      <w:pPr>
        <w:pStyle w:val="ListParagraph"/>
        <w:numPr>
          <w:ilvl w:val="0"/>
          <w:numId w:val="2"/>
        </w:numPr>
        <w:spacing w:after="60" w:line="312"/>
        <w:jc w:val="both"/>
      </w:pPr>
      <w:r>
        <w:rPr>
          <w:rFonts w:ascii="Times New Roman" w:cs="Times New Roman" w:eastAsia="Times New Roman" w:hAnsi="Times New Roman"/>
          <w:sz w:val="26"/>
          <w:szCs w:val="26"/>
        </w:rPr>
        <w:t xml:space="preserve">Trang Tổng quan trực quan: biểu đồ cơ cấu xếp loại, điểm trung bình cơ quan, xu hướng theo kỳ, tổng hợp theo phòng/bộ phận;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Khung năng lực số: tự đánh giá theo các mức, phục vụ chuyển đổi số;</w:t>
      </w:r>
    </w:p>
    <w:p>
      <w:pPr>
        <w:pStyle w:val="ListParagraph"/>
        <w:numPr>
          <w:ilvl w:val="0"/>
          <w:numId w:val="2"/>
        </w:numPr>
        <w:spacing w:after="60" w:line="312"/>
        <w:jc w:val="both"/>
      </w:pPr>
      <w:r>
        <w:rPr>
          <w:rFonts w:ascii="Times New Roman" w:cs="Times New Roman" w:eastAsia="Times New Roman" w:hAnsi="Times New Roman"/>
          <w:sz w:val="26"/>
          <w:szCs w:val="26"/>
        </w:rPr>
        <w:t xml:space="preserve">Theo dõi công việc và thu thập tự động thành nhiệm vụ KPI; đồng bộ dữ liệu kiểm đếm từ Google Sheet;</w:t>
      </w:r>
    </w:p>
    <w:p>
      <w:pPr>
        <w:pStyle w:val="ListParagraph"/>
        <w:numPr>
          <w:ilvl w:val="0"/>
          <w:numId w:val="2"/>
        </w:numPr>
        <w:spacing w:after="60" w:line="312"/>
        <w:jc w:val="both"/>
      </w:pPr>
      <w:r>
        <w:rPr>
          <w:rFonts w:ascii="Times New Roman" w:cs="Times New Roman" w:eastAsia="Times New Roman" w:hAnsi="Times New Roman"/>
          <w:sz w:val="26"/>
          <w:szCs w:val="26"/>
        </w:rPr>
        <w:t xml:space="preserve">Quản trị danh mục công việc (thêm/sửa/ẩn, gán nhóm đối tượng, hệ số);</w:t>
      </w:r>
    </w:p>
    <w:p>
      <w:pPr>
        <w:pStyle w:val="ListParagraph"/>
        <w:numPr>
          <w:ilvl w:val="0"/>
          <w:numId w:val="2"/>
        </w:numPr>
        <w:spacing w:after="60" w:line="312"/>
        <w:jc w:val="both"/>
      </w:pPr>
      <w:r>
        <w:rPr>
          <w:rFonts w:ascii="Times New Roman" w:cs="Times New Roman" w:eastAsia="Times New Roman" w:hAnsi="Times New Roman"/>
          <w:sz w:val="26"/>
          <w:szCs w:val="26"/>
        </w:rPr>
        <w:t xml:space="preserve">Phê duyệt và kết xuất phiếu đánh giá ra Word; xuất biểu tổng hợp ra Excel; tải sổ tay hướng dẫn dạng PDF;</w:t>
      </w:r>
    </w:p>
    <w:p>
      <w:pPr>
        <w:pStyle w:val="ListParagraph"/>
        <w:numPr>
          <w:ilvl w:val="0"/>
          <w:numId w:val="2"/>
        </w:numPr>
        <w:spacing w:after="60" w:line="312"/>
        <w:jc w:val="both"/>
      </w:pPr>
      <w:r>
        <w:rPr>
          <w:rFonts w:ascii="Times New Roman" w:cs="Times New Roman" w:eastAsia="Times New Roman" w:hAnsi="Times New Roman"/>
          <w:sz w:val="26"/>
          <w:szCs w:val="26"/>
        </w:rPr>
        <w:t xml:space="preserve">Lưu trữ theo kỳ trên đám mây, có khóa chống ghi đè; phân quyền chặt chẽ; sao chép danh sách cán bộ sang kỳ mới.</w:t>
      </w:r>
    </w:p>
    <w:p>
      <w:pPr>
        <w:spacing w:after="60" w:before="80" w:line="312"/>
        <w:jc w:val="both"/>
      </w:pPr>
      <w:r>
        <w:rPr>
          <w:rFonts w:ascii="Times New Roman" w:cs="Times New Roman" w:eastAsia="Times New Roman" w:hAnsi="Times New Roman"/>
          <w:b/>
          <w:bCs/>
          <w:i w:val="false"/>
          <w:iCs w:val="false"/>
          <w:sz w:val="26"/>
          <w:szCs w:val="26"/>
        </w:rPr>
        <w:t xml:space="preserve">7. Bảo đảm an toàn, vận hành đa máy</w:t>
      </w:r>
    </w:p>
    <w:p>
      <w:pPr>
        <w:spacing w:after="120" w:before="0" w:line="312"/>
        <w:ind w:firstLine="480"/>
        <w:jc w:val="both"/>
      </w:pPr>
      <w:r>
        <w:rPr>
          <w:rFonts w:ascii="Times New Roman" w:cs="Times New Roman" w:eastAsia="Times New Roman" w:hAnsi="Times New Roman"/>
          <w:b w:val="false"/>
          <w:bCs w:val="false"/>
          <w:i w:val="false"/>
          <w:iCs w:val="false"/>
          <w:sz w:val="26"/>
          <w:szCs w:val="26"/>
        </w:rPr>
        <w:t xml:space="preserve">Dữ liệu nhạy cảm (khóa kết nối) được tách khỏi mã nguồn bằng biến môi trường; mã nguồn quản lý tập trung trên GitHub, tự động triển khai qua Vercel, cho phép làm việc liên tục giữa cơ quan và tại nhà mà vẫn đồng bộ.</w:t>
      </w:r>
    </w:p>
    <w:p>
      <w:pPr>
        <w:spacing w:after="120" w:before="200" w:line="312"/>
        <w:jc w:val="left"/>
      </w:pPr>
      <w:r>
        <w:rPr>
          <w:rFonts w:ascii="Times New Roman" w:cs="Times New Roman" w:eastAsia="Times New Roman" w:hAnsi="Times New Roman"/>
          <w:b/>
          <w:bCs/>
          <w:i w:val="false"/>
          <w:iCs w:val="false"/>
          <w:sz w:val="27"/>
          <w:szCs w:val="27"/>
        </w:rPr>
        <w:t xml:space="preserve">V. TÍNH MỚI, TÍNH SÁNG TẠO CỦA SÁNG KIẾN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Lần đầu số hóa đầy đủ quy trình đánh giá theo Quyết định số 1053-QĐ/TU và Nghị định số 335/2025/NĐ-CP tại cơ quan; tự động hóa việc tính điểm và xếp loại theo điều kiện định lượng;</w:t>
      </w:r>
    </w:p>
    <w:p>
      <w:pPr>
        <w:pStyle w:val="ListParagraph"/>
        <w:numPr>
          <w:ilvl w:val="0"/>
          <w:numId w:val="2"/>
        </w:numPr>
        <w:spacing w:after="60" w:line="312"/>
        <w:jc w:val="both"/>
      </w:pPr>
      <w:r>
        <w:rPr>
          <w:rFonts w:ascii="Times New Roman" w:cs="Times New Roman" w:eastAsia="Times New Roman" w:hAnsi="Times New Roman"/>
          <w:sz w:val="26"/>
          <w:szCs w:val="26"/>
        </w:rPr>
        <w:t xml:space="preserve">Tích hợp đồng thời ba mô hình tiêu chí trong một phần mềm, dùng chung khung điểm — vừa bảo đảm tính pháp lý, vừa cho phép thử nghiệm cách làm mới;</w:t>
      </w:r>
    </w:p>
    <w:p>
      <w:pPr>
        <w:pStyle w:val="ListParagraph"/>
        <w:numPr>
          <w:ilvl w:val="0"/>
          <w:numId w:val="2"/>
        </w:numPr>
        <w:spacing w:after="60" w:line="312"/>
        <w:jc w:val="both"/>
      </w:pPr>
      <w:r>
        <w:rPr>
          <w:rFonts w:ascii="Times New Roman" w:cs="Times New Roman" w:eastAsia="Times New Roman" w:hAnsi="Times New Roman"/>
          <w:sz w:val="26"/>
          <w:szCs w:val="26"/>
        </w:rPr>
        <w:t xml:space="preserve">Kết hợp phương pháp OKR (định hướng mục tiêu) với KPI (đo lường kết quả) phù hợp đặc thù cơ quan dân cử;</w:t>
      </w:r>
    </w:p>
    <w:p>
      <w:pPr>
        <w:pStyle w:val="ListParagraph"/>
        <w:numPr>
          <w:ilvl w:val="0"/>
          <w:numId w:val="2"/>
        </w:numPr>
        <w:spacing w:after="60" w:line="312"/>
        <w:jc w:val="both"/>
      </w:pPr>
      <w:r>
        <w:rPr>
          <w:rFonts w:ascii="Times New Roman" w:cs="Times New Roman" w:eastAsia="Times New Roman" w:hAnsi="Times New Roman"/>
          <w:sz w:val="26"/>
          <w:szCs w:val="26"/>
        </w:rPr>
        <w:t xml:space="preserve">Tách bạch “Tự đánh giá - Cấp duyệt” đến từng nhiệm vụ, có đối chứng và giải thích minh bạch;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Tham khảo, vận dụng có chọn lọc mô hình quản lý hiệu suất khu vực công Singapore (xếp loại theo kết quả + năng lực, tiềm năng tách riêng, bảng điểm thiết chế theo dải màu).</w:t>
      </w:r>
    </w:p>
    <w:p>
      <w:pPr>
        <w:spacing w:after="120" w:before="200" w:line="312"/>
        <w:jc w:val="left"/>
      </w:pPr>
      <w:r>
        <w:rPr>
          <w:rFonts w:ascii="Times New Roman" w:cs="Times New Roman" w:eastAsia="Times New Roman" w:hAnsi="Times New Roman"/>
          <w:b/>
          <w:bCs/>
          <w:i w:val="false"/>
          <w:iCs w:val="false"/>
          <w:sz w:val="27"/>
          <w:szCs w:val="27"/>
        </w:rPr>
        <w:t xml:space="preserve">VI. KHẢ NĂNG ÁP DỤNG VÀ HIỆU QUẢ DỰ KIẾN</w:t>
      </w:r>
    </w:p>
    <w:p>
      <w:pPr>
        <w:spacing w:after="60" w:before="0" w:line="312"/>
        <w:jc w:val="both"/>
      </w:pPr>
      <w:r>
        <w:rPr>
          <w:rFonts w:ascii="Times New Roman" w:cs="Times New Roman" w:eastAsia="Times New Roman" w:hAnsi="Times New Roman"/>
          <w:b/>
          <w:bCs/>
          <w:i w:val="false"/>
          <w:iCs w:val="false"/>
          <w:sz w:val="26"/>
          <w:szCs w:val="26"/>
        </w:rPr>
        <w:t xml:space="preserve">1. Hiệu quả về quản lý</w:t>
      </w:r>
    </w:p>
    <w:p>
      <w:pPr>
        <w:spacing w:after="120" w:before="0" w:line="312"/>
        <w:ind w:firstLine="480"/>
        <w:jc w:val="both"/>
      </w:pPr>
      <w:r>
        <w:rPr>
          <w:rFonts w:ascii="Times New Roman" w:cs="Times New Roman" w:eastAsia="Times New Roman" w:hAnsi="Times New Roman"/>
          <w:b w:val="false"/>
          <w:bCs w:val="false"/>
          <w:i w:val="false"/>
          <w:iCs w:val="false"/>
          <w:sz w:val="26"/>
          <w:szCs w:val="26"/>
        </w:rPr>
        <w:t xml:space="preserve">Chuẩn hóa, minh bạch hóa công tác đánh giá; rút ngắn đáng kể thời gian tổng hợp, xếp loại (dự kiến giảm phần lớn thời gian so với làm thủ công); cung cấp số liệu, biểu đồ kịp thời phục vụ lãnh đạo, chỉ đạo và bình xét thi đua.</w:t>
      </w:r>
    </w:p>
    <w:p>
      <w:pPr>
        <w:spacing w:after="60" w:before="60" w:line="312"/>
        <w:jc w:val="both"/>
      </w:pPr>
      <w:r>
        <w:rPr>
          <w:rFonts w:ascii="Times New Roman" w:cs="Times New Roman" w:eastAsia="Times New Roman" w:hAnsi="Times New Roman"/>
          <w:b/>
          <w:bCs/>
          <w:i w:val="false"/>
          <w:iCs w:val="false"/>
          <w:sz w:val="26"/>
          <w:szCs w:val="26"/>
        </w:rPr>
        <w:t xml:space="preserve">2. Hiệu quả về kinh tế</w:t>
      </w:r>
    </w:p>
    <w:p>
      <w:pPr>
        <w:spacing w:after="120" w:before="0" w:line="312"/>
        <w:ind w:firstLine="480"/>
        <w:jc w:val="both"/>
      </w:pPr>
      <w:r>
        <w:rPr>
          <w:rFonts w:ascii="Times New Roman" w:cs="Times New Roman" w:eastAsia="Times New Roman" w:hAnsi="Times New Roman"/>
          <w:b w:val="false"/>
          <w:bCs w:val="false"/>
          <w:i w:val="false"/>
          <w:iCs w:val="false"/>
          <w:sz w:val="26"/>
          <w:szCs w:val="26"/>
        </w:rPr>
        <w:t xml:space="preserve">Phần mềm do nội bộ xây dựng, sử dụng công nghệ mã nguồn mở và hạ tầng đám mây ở mức miễn phí/chi phí thấp; tiết kiệm chi phí mua sắm phần mềm thương mại và chi phí in ấn, lưu trữ hồ sơ giấy.</w:t>
      </w:r>
    </w:p>
    <w:p>
      <w:pPr>
        <w:spacing w:after="60" w:before="60" w:line="312"/>
        <w:jc w:val="both"/>
      </w:pPr>
      <w:r>
        <w:rPr>
          <w:rFonts w:ascii="Times New Roman" w:cs="Times New Roman" w:eastAsia="Times New Roman" w:hAnsi="Times New Roman"/>
          <w:b/>
          <w:bCs/>
          <w:i w:val="false"/>
          <w:iCs w:val="false"/>
          <w:sz w:val="26"/>
          <w:szCs w:val="26"/>
        </w:rPr>
        <w:t xml:space="preserve">3. Hiệu quả về xã hội</w:t>
      </w:r>
    </w:p>
    <w:p>
      <w:pPr>
        <w:spacing w:after="120" w:before="0" w:line="312"/>
        <w:ind w:firstLine="480"/>
        <w:jc w:val="both"/>
      </w:pPr>
      <w:r>
        <w:rPr>
          <w:rFonts w:ascii="Times New Roman" w:cs="Times New Roman" w:eastAsia="Times New Roman" w:hAnsi="Times New Roman"/>
          <w:b w:val="false"/>
          <w:bCs w:val="false"/>
          <w:i w:val="false"/>
          <w:iCs w:val="false"/>
          <w:sz w:val="26"/>
          <w:szCs w:val="26"/>
        </w:rPr>
        <w:t xml:space="preserve">Góp phần xây dựng văn hóa đánh giá khách quan, công bằng, lấy kết quả công việc làm thước đo; nâng cao tinh thần trách nhiệm, động lực phấn đấu của cán bộ, công chức; thiết thực thực hiện chủ trương chuyển đổi số.</w:t>
      </w:r>
    </w:p>
    <w:p>
      <w:pPr>
        <w:spacing w:after="60" w:before="60" w:line="312"/>
        <w:jc w:val="both"/>
      </w:pPr>
      <w:r>
        <w:rPr>
          <w:rFonts w:ascii="Times New Roman" w:cs="Times New Roman" w:eastAsia="Times New Roman" w:hAnsi="Times New Roman"/>
          <w:b/>
          <w:bCs/>
          <w:i w:val="false"/>
          <w:iCs w:val="false"/>
          <w:sz w:val="26"/>
          <w:szCs w:val="26"/>
        </w:rPr>
        <w:t xml:space="preserve">4. Khả năng nhân rộng</w:t>
      </w:r>
    </w:p>
    <w:p>
      <w:pPr>
        <w:spacing w:after="120" w:before="0" w:line="312"/>
        <w:ind w:firstLine="480"/>
        <w:jc w:val="both"/>
      </w:pPr>
      <w:r>
        <w:rPr>
          <w:rFonts w:ascii="Times New Roman" w:cs="Times New Roman" w:eastAsia="Times New Roman" w:hAnsi="Times New Roman"/>
          <w:b w:val="false"/>
          <w:bCs w:val="false"/>
          <w:i w:val="false"/>
          <w:iCs w:val="false"/>
          <w:sz w:val="26"/>
          <w:szCs w:val="26"/>
        </w:rPr>
        <w:t xml:space="preserve">Sáng kiến có thể áp dụng cho các phòng, bộ phận trong cơ quan và có khả năng nhân rộng cho Hội đồng nhân dân, Văn phòng cấp huyện cũng như các cơ quan hành chính khác có nhu cầu đánh giá cán bộ theo quy định.</w:t>
      </w:r>
    </w:p>
    <w:p>
      <w:pPr>
        <w:spacing w:after="120" w:before="200" w:line="312"/>
        <w:jc w:val="left"/>
      </w:pPr>
      <w:r>
        <w:rPr>
          <w:rFonts w:ascii="Times New Roman" w:cs="Times New Roman" w:eastAsia="Times New Roman" w:hAnsi="Times New Roman"/>
          <w:b/>
          <w:bCs/>
          <w:i w:val="false"/>
          <w:iCs w:val="false"/>
          <w:sz w:val="27"/>
          <w:szCs w:val="27"/>
        </w:rPr>
        <w:t xml:space="preserve">VII. PHẠM VI ÁP DỤNG</w:t>
      </w:r>
    </w:p>
    <w:p>
      <w:pPr>
        <w:spacing w:after="120" w:before="0" w:line="312"/>
        <w:ind w:firstLine="480"/>
        <w:jc w:val="both"/>
      </w:pPr>
      <w:r>
        <w:rPr>
          <w:rFonts w:ascii="Times New Roman" w:cs="Times New Roman" w:eastAsia="Times New Roman" w:hAnsi="Times New Roman"/>
          <w:b w:val="false"/>
          <w:bCs w:val="false"/>
          <w:i w:val="false"/>
          <w:iCs w:val="false"/>
          <w:sz w:val="26"/>
          <w:szCs w:val="26"/>
        </w:rPr>
        <w:t xml:space="preserve">Áp dụng trong công tác đánh giá, xếp loại cán bộ, công chức, người lao động hằng tháng tại Văn phòng Đoàn ĐBQH và HĐND tỉnh Thanh Hóa; có thể mở rộng cho các đơn vị, địa phương khác.</w:t>
      </w:r>
    </w:p>
    <w:p>
      <w:pPr>
        <w:spacing w:after="120" w:before="200" w:line="312"/>
        <w:jc w:val="left"/>
      </w:pPr>
      <w:r>
        <w:rPr>
          <w:rFonts w:ascii="Times New Roman" w:cs="Times New Roman" w:eastAsia="Times New Roman" w:hAnsi="Times New Roman"/>
          <w:b/>
          <w:bCs/>
          <w:i w:val="false"/>
          <w:iCs w:val="false"/>
          <w:sz w:val="27"/>
          <w:szCs w:val="27"/>
        </w:rPr>
        <w:t xml:space="preserve">VIII. KẾT LUẬN VÀ KIẾN NGHỊ</w:t>
      </w:r>
    </w:p>
    <w:p>
      <w:pPr>
        <w:spacing w:after="120" w:before="0" w:line="312"/>
        <w:ind w:firstLine="480"/>
        <w:jc w:val="both"/>
      </w:pPr>
      <w:r>
        <w:rPr>
          <w:rFonts w:ascii="Times New Roman" w:cs="Times New Roman" w:eastAsia="Times New Roman" w:hAnsi="Times New Roman"/>
          <w:b w:val="false"/>
          <w:bCs w:val="false"/>
          <w:i w:val="false"/>
          <w:iCs w:val="false"/>
          <w:sz w:val="26"/>
          <w:szCs w:val="26"/>
        </w:rPr>
        <w:t xml:space="preserve">Sáng kiến đã hình thành một công cụ số hóa hoàn chỉnh cho công tác đánh giá, xếp loại cán bộ, công chức, người lao động, bảo đảm đúng quy định, khách quan, minh bạch và tiện lợi. Kính đề nghị Hội đồng khoa học, sáng kiến của cơ quan xem xét, công nhận và tạo điều kiện để tiếp tục hoàn thiện, triển khai chính thức và nhân rộng.</w:t>
      </w:r>
    </w:p>
    <w:p>
      <w:pPr>
        <w:spacing w:after="120" w:before="120" w:line="312"/>
        <w:jc w:val="both"/>
      </w:pPr>
      <w:r>
        <w:rPr>
          <w:rFonts w:ascii="Times New Roman" w:cs="Times New Roman" w:eastAsia="Times New Roman" w:hAnsi="Times New Roman"/>
          <w:b w:val="false"/>
          <w:bCs w:val="false"/>
          <w:i/>
          <w:iCs/>
          <w:sz w:val="26"/>
          <w:szCs w:val="26"/>
        </w:rPr>
        <w:t xml:space="preserve">Tôi xin cam đoan đây là sáng kiến do bản thân nghiên cứu, xây dựng; các nội dung trình bày là trung thực và chưa được công nhận trước đó.</w:t>
      </w:r>
    </w:p>
    <w:p>
      <w:pPr>
        <w:spacing w:after="200" w:before="0" w:line="312"/>
        <w:jc w:val="both"/>
      </w:pPr>
      <w:r>
        <w:rPr>
          <w:rFonts w:ascii="Times New Roman" w:cs="Times New Roman" w:eastAsia="Times New Roman" w:hAnsi="Times New Roman"/>
          <w:b w:val="false"/>
          <w:bCs w:val="false"/>
          <w:i w:val="false"/>
          <w:iCs w:val="false"/>
          <w:sz w:val="26"/>
          <w:szCs w:val="26"/>
        </w:rPr>
        <w:t xml:space="preserve"/>
      </w:r>
    </w:p>
    <w:tbl>
      <w:tblPr>
        <w:tblW w:type="pct" w:w="100%"/>
        <w:tblBorders>
          <w:top w:val="none"/>
          <w:left w:val="none"/>
          <w:bottom w:val="none"/>
          <w:right w:val="none"/>
          <w:insideH w:val="none"/>
          <w:insideV w:val="none"/>
        </w:tblBorders>
      </w:tblPr>
      <w:tblGrid>
        <w:gridCol w:w="100"/>
        <w:gridCol w:w="100"/>
      </w:tblGrid>
      <w:tr>
        <w:tc>
          <w:tcPr>
            <w:tcW w:type="pct" w:w="50%"/>
            <w:tcBorders>
              <w:top w:val="none"/>
              <w:left w:val="none"/>
              <w:bottom w:val="none"/>
              <w:right w:val="none"/>
            </w:tcBorders>
          </w:tcPr>
          <w:p>
            <w:pPr>
              <w:spacing w:after="0" w:before="0" w:line="312"/>
              <w:jc w:val="center"/>
            </w:pPr>
            <w:r>
              <w:rPr>
                <w:rFonts w:ascii="Times New Roman" w:cs="Times New Roman" w:eastAsia="Times New Roman" w:hAnsi="Times New Roman"/>
                <w:b/>
                <w:bCs/>
                <w:i w:val="false"/>
                <w:iCs w:val="false"/>
                <w:sz w:val="26"/>
                <w:szCs w:val="26"/>
              </w:rPr>
              <w:t xml:space="preserve">XÁC NHẬN CỦA CƠ QUAN</w:t>
            </w:r>
          </w:p>
          <w:p>
            <w:pPr>
              <w:spacing w:after="120" w:before="0" w:line="312"/>
              <w:jc w:val="center"/>
            </w:pPr>
            <w:r>
              <w:rPr>
                <w:rFonts w:ascii="Times New Roman" w:cs="Times New Roman" w:eastAsia="Times New Roman" w:hAnsi="Times New Roman"/>
                <w:b w:val="false"/>
                <w:bCs w:val="false"/>
                <w:i/>
                <w:iCs/>
                <w:sz w:val="22"/>
                <w:szCs w:val="22"/>
              </w:rPr>
              <w:t xml:space="preserve">(Ký, đóng dấu)</w:t>
            </w:r>
          </w:p>
        </w:tc>
        <w:tc>
          <w:tcPr>
            <w:tcW w:type="pct" w:w="50%"/>
            <w:tcBorders>
              <w:top w:val="none"/>
              <w:left w:val="none"/>
              <w:bottom w:val="none"/>
              <w:right w:val="none"/>
            </w:tcBorders>
          </w:tcPr>
          <w:p>
            <w:pPr>
              <w:spacing w:after="0" w:before="0" w:line="312"/>
              <w:jc w:val="center"/>
            </w:pPr>
            <w:r>
              <w:rPr>
                <w:rFonts w:ascii="Times New Roman" w:cs="Times New Roman" w:eastAsia="Times New Roman" w:hAnsi="Times New Roman"/>
                <w:b w:val="false"/>
                <w:bCs w:val="false"/>
                <w:i/>
                <w:iCs/>
                <w:sz w:val="22"/>
                <w:szCs w:val="22"/>
              </w:rPr>
              <w:t xml:space="preserve">Thanh Hóa, ngày ...... tháng ...... năm 2026</w:t>
            </w:r>
          </w:p>
          <w:p>
            <w:pPr>
              <w:spacing w:after="600" w:before="0" w:line="312"/>
              <w:jc w:val="center"/>
            </w:pPr>
            <w:r>
              <w:rPr>
                <w:rFonts w:ascii="Times New Roman" w:cs="Times New Roman" w:eastAsia="Times New Roman" w:hAnsi="Times New Roman"/>
                <w:b/>
                <w:bCs/>
                <w:i w:val="false"/>
                <w:iCs w:val="false"/>
                <w:sz w:val="26"/>
                <w:szCs w:val="26"/>
              </w:rPr>
              <w:t xml:space="preserve">NGƯỜI VIẾT SÁNG KIẾN</w:t>
            </w:r>
          </w:p>
          <w:p>
            <w:pPr>
              <w:spacing w:after="120" w:before="0" w:line="312"/>
              <w:jc w:val="center"/>
            </w:pPr>
            <w:r>
              <w:rPr>
                <w:rFonts w:ascii="Times New Roman" w:cs="Times New Roman" w:eastAsia="Times New Roman" w:hAnsi="Times New Roman"/>
                <w:b/>
                <w:bCs/>
                <w:i w:val="false"/>
                <w:iCs w:val="false"/>
                <w:sz w:val="26"/>
                <w:szCs w:val="26"/>
              </w:rPr>
              <w:t xml:space="preserve">Hà Ngọc Sơn</w:t>
            </w:r>
          </w:p>
        </w:tc>
      </w:tr>
    </w:tbl>
    <w:sectPr>
      <w:pgSz w:w="11906" w:h="16838" w:orient="portrait"/>
      <w:pgMar w:top="1100" w:right="10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2026-06-28T17:13:18.619Z</dcterms:created>
  <dcterms:modified xsi:type="dcterms:W3CDTF">2026-06-28T17:13:18.620Z</dcterms:modified>
</cp:coreProperties>
</file>

<file path=docProps/custom.xml><?xml version="1.0" encoding="utf-8"?>
<Properties xmlns="http://schemas.openxmlformats.org/officeDocument/2006/custom-properties" xmlns:vt="http://schemas.openxmlformats.org/officeDocument/2006/docPropsVTypes"/>
</file>