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3508C" w:rsidRPr="002910B0" w:rsidRDefault="0024198F" w:rsidP="002910B0">
      <w:pPr>
        <w:pStyle w:val="Title"/>
      </w:pPr>
      <w:bookmarkStart w:id="0" w:name="_GoBack"/>
      <w:r>
        <w:t xml:space="preserve">Asp Dot </w:t>
      </w:r>
      <w:r w:rsidR="004F138D">
        <w:t>Net Core</w:t>
      </w:r>
    </w:p>
    <w:bookmarkEnd w:id="0"/>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2648B4"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2648B4"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2648B4"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Pr="00141C4C"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671747" w:rsidRDefault="00671747" w:rsidP="00F12243">
      <w:pPr>
        <w:pStyle w:val="Heading1"/>
        <w:rPr>
          <w:rFonts w:eastAsia="Times New Roman"/>
          <w:shd w:val="clear" w:color="auto" w:fill="FCFCFC"/>
        </w:rPr>
      </w:pPr>
      <w:bookmarkStart w:id="1" w:name="_AddTransient_Vs_AddScoped"/>
      <w:bookmarkStart w:id="2" w:name="_How_Content_Negotiation"/>
      <w:bookmarkEnd w:id="1"/>
      <w:bookmarkEnd w:id="2"/>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7"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8"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lastRenderedPageBreak/>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User 2 didn’t mention Content-Type but then received the response in desired format. I.e. XML.</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00070356" w:rsidRPr="00070356">
        <w:rPr>
          <w:rFonts w:ascii="Times New Roman" w:eastAsia="Times New Roman" w:hAnsi="Times New Roman" w:cs="Times New Roman"/>
          <w:b/>
          <w:color w:val="222222"/>
          <w:sz w:val="24"/>
          <w:szCs w:val="24"/>
        </w:rPr>
        <w:t>Whereas</w:t>
      </w:r>
      <w:r w:rsidRPr="00070356">
        <w:rPr>
          <w:rFonts w:ascii="Times New Roman" w:eastAsia="Times New Roman" w:hAnsi="Times New Roman" w:cs="Times New Roman"/>
          <w:b/>
          <w:color w:val="222222"/>
          <w:sz w:val="24"/>
          <w:szCs w:val="24"/>
        </w:rPr>
        <w:t xml:space="preserve"> User 4 didn’t mention both Content-Type as well as Accept header. But then received the response. I.e. in JSON format. In short, JSON format is the default content negotiator in web api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3" w:name="_CROSS_Origin"/>
      <w:bookmarkEnd w:id="3"/>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4" w:name="_REST_Api_-"/>
      <w:bookmarkEnd w:id="4"/>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GET, HEAD, OPTIONS and TRACE methods NEVER change the resource state on server. They are purely for retrieving the resource representation or meta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5" w:name="_Middleware"/>
      <w:bookmarkEnd w:id="5"/>
      <w:r w:rsidRPr="006E07E5">
        <w:rPr>
          <w:rFonts w:eastAsia="Times New Roman"/>
          <w:shd w:val="clear" w:color="auto" w:fill="FCFCFC"/>
        </w:rPr>
        <w:lastRenderedPageBreak/>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drawing>
          <wp:inline distT="0" distB="0" distL="0" distR="0">
            <wp:extent cx="6650182" cy="2496767"/>
            <wp:effectExtent l="0" t="0" r="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9" cstate="print"/>
                    <a:srcRect/>
                    <a:stretch>
                      <a:fillRect/>
                    </a:stretch>
                  </pic:blipFill>
                  <pic:spPr bwMode="auto">
                    <a:xfrm>
                      <a:off x="0" y="0"/>
                      <a:ext cx="6666706" cy="250297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 xml:space="preserve">The following diagram shows the complete request processing pipeline for ASP.NET Core MVC and Razor Pages apps. You can see how, in a typical app, existing middlewares are ordered and where custom middlewares are added. You have full control over how to reorder existing </w:t>
      </w:r>
      <w:r w:rsidRPr="009502B0">
        <w:rPr>
          <w:rFonts w:ascii="Times New Roman" w:eastAsia="Times New Roman" w:hAnsi="Times New Roman" w:cs="Times New Roman"/>
          <w:color w:val="222222"/>
          <w:sz w:val="24"/>
          <w:szCs w:val="24"/>
        </w:rPr>
        <w:lastRenderedPageBreak/>
        <w:t>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Middleware] methods that are executed at the end of the pipeline. Generally, 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r w:rsidRPr="00FA2BD2">
        <w:rPr>
          <w:rFonts w:eastAsia="Times New Roman"/>
        </w:rPr>
        <w:t>app.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FA2BD2">
        <w:rPr>
          <w:rFonts w:ascii="Times New Roman" w:eastAsia="Times New Roman" w:hAnsi="Times New Roman" w:cs="Times New Roman"/>
          <w:color w:val="222222"/>
          <w:sz w:val="24"/>
          <w:szCs w:val="24"/>
        </w:rPr>
        <w:t>These extensions are used as a convention for branching the pipeline.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public void Configure(IApplicationBuilder app, IWebHostEnvironment env)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r w:rsidRPr="00FC4263">
        <w:rPr>
          <w:rFonts w:ascii="Times New Roman" w:eastAsia="Times New Roman" w:hAnsi="Times New Roman" w:cs="Times New Roman"/>
          <w:color w:val="7030A0"/>
          <w:sz w:val="24"/>
          <w:szCs w:val="24"/>
          <w:highlight w:val="yellow"/>
        </w:rPr>
        <w:t xml:space="preserve">app.Map("/m1", HandleMapOne);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app.Map("/m2", appMap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appMap.Run(async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2nd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private static void HandleMapOne(IApplicationBuilder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app.Run(async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await context.Response.WriteAsync("Hello from 1st app.Map()");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Microsoft.AspNetCore.Http;</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System.Globalization;</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using</w:t>
      </w:r>
      <w:r w:rsidRPr="00B93AE2">
        <w:rPr>
          <w:rFonts w:ascii="Consolas" w:eastAsia="Times New Roman" w:hAnsi="Consolas" w:cs="Times New Roman"/>
          <w:color w:val="171717"/>
          <w:sz w:val="20"/>
          <w:szCs w:val="20"/>
          <w:shd w:val="clear" w:color="auto" w:fill="F2F2F2"/>
        </w:rPr>
        <w:t xml:space="preserve"> System.Threading.Tasks;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931E9C">
        <w:rPr>
          <w:rFonts w:ascii="Consolas" w:eastAsia="Times New Roman" w:hAnsi="Consolas" w:cs="Times New Roman"/>
          <w:color w:val="0101FD"/>
          <w:sz w:val="20"/>
          <w:szCs w:val="20"/>
        </w:rPr>
        <w:t>namespace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RequestCultureMiddleware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private</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readonly</w:t>
      </w:r>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06881"/>
          <w:sz w:val="20"/>
          <w:szCs w:val="20"/>
        </w:rPr>
        <w:t>RequestCultureMiddleware</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lastRenderedPageBreak/>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public</w:t>
      </w:r>
      <w:r w:rsidRPr="00931E9C">
        <w:rPr>
          <w:rFonts w:ascii="Consolas" w:eastAsia="Times New Roman" w:hAnsi="Consolas" w:cs="Times New Roman"/>
          <w:color w:val="171717"/>
          <w:sz w:val="20"/>
          <w:szCs w:val="20"/>
        </w:rPr>
        <w:t xml:space="preserve"> </w:t>
      </w:r>
      <w:r w:rsidRPr="00931E9C">
        <w:rPr>
          <w:rFonts w:ascii="Consolas" w:eastAsia="Times New Roman" w:hAnsi="Consolas" w:cs="Times New Roman"/>
          <w:color w:val="0101FD"/>
          <w:sz w:val="20"/>
          <w:szCs w:val="20"/>
        </w:rPr>
        <w:t>async</w:t>
      </w:r>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HttpContext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cultureQuery = context.Request.Query[</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if</w:t>
      </w: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var</w:t>
      </w:r>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CultureInfo(cultureQuery);</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CultureInfo.CurrentUICulture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highlight w:val="yellow"/>
        </w:rPr>
        <w:t>await</w:t>
      </w:r>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using</w:t>
      </w:r>
      <w:r w:rsidRPr="002809F5">
        <w:rPr>
          <w:rFonts w:ascii="Consolas" w:eastAsia="Times New Roman" w:hAnsi="Consolas" w:cs="Times New Roman"/>
          <w:color w:val="171717"/>
          <w:sz w:val="20"/>
          <w:szCs w:val="20"/>
          <w:shd w:val="clear" w:color="auto" w:fill="F2F2F2"/>
        </w:rPr>
        <w:t xml:space="preserve"> Microsoft.AspNetCore.Builder;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namespace</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RequestCultureMiddlewareExtensions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171717"/>
          <w:sz w:val="20"/>
          <w:szCs w:val="20"/>
          <w:highlight w:val="yellow"/>
        </w:rPr>
        <w:t>IApplicationBuilder</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UseRequestCulture</w:t>
      </w:r>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this</w:t>
      </w:r>
      <w:r w:rsidRPr="002809F5">
        <w:rPr>
          <w:rFonts w:ascii="Consolas" w:eastAsia="Times New Roman" w:hAnsi="Consolas" w:cs="Times New Roman"/>
          <w:color w:val="171717"/>
          <w:sz w:val="20"/>
          <w:szCs w:val="20"/>
        </w:rPr>
        <w:t xml:space="preserve"> IApplicationBuilder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return</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171717"/>
          <w:sz w:val="20"/>
          <w:szCs w:val="20"/>
          <w:highlight w:val="yellow"/>
          <w:shd w:val="clear" w:color="auto" w:fill="F2F2F2"/>
        </w:rPr>
        <w:t>builder.UseMiddleware&lt;RequestCultureMiddleware&gt;();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public</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(IApplicationBuilder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sidRPr="002809F5">
        <w:rPr>
          <w:rFonts w:ascii="Times New Roman" w:eastAsia="Times New Roman" w:hAnsi="Times New Roman" w:cs="Times New Roman"/>
          <w:sz w:val="20"/>
          <w:szCs w:val="20"/>
          <w:highlight w:val="yellow"/>
        </w:rPr>
        <w:t>app.UseRequestCulture();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app.Run(</w:t>
      </w:r>
      <w:r w:rsidRPr="002809F5">
        <w:rPr>
          <w:rFonts w:ascii="Consolas" w:eastAsia="Times New Roman" w:hAnsi="Consolas" w:cs="Times New Roman"/>
          <w:color w:val="0101FD"/>
          <w:sz w:val="20"/>
          <w:szCs w:val="20"/>
        </w:rPr>
        <w:t>async</w:t>
      </w:r>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await</w:t>
      </w:r>
      <w:r w:rsidRPr="002809F5">
        <w:rPr>
          <w:rFonts w:ascii="Consolas" w:eastAsia="Times New Roman" w:hAnsi="Consolas" w:cs="Times New Roman"/>
          <w:color w:val="171717"/>
          <w:sz w:val="20"/>
          <w:szCs w:val="20"/>
          <w:shd w:val="clear" w:color="auto" w:fill="F2F2F2"/>
        </w:rPr>
        <w:t xml:space="preserve"> context.Response.WriteAsync(</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{CultureInfo.CurrentCulture.DisplayName}"</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rPr>
          <w:b/>
          <w:sz w:val="20"/>
          <w:szCs w:val="20"/>
        </w:rPr>
      </w:pPr>
      <w:r w:rsidRPr="002809F5">
        <w:rPr>
          <w:rFonts w:ascii="Consolas" w:eastAsia="Times New Roman" w:hAnsi="Consolas" w:cs="Times New Roman"/>
          <w:color w:val="171717"/>
          <w:sz w:val="20"/>
          <w:szCs w:val="20"/>
          <w:shd w:val="clear" w:color="auto" w:fill="F2F2F2"/>
        </w:rPr>
        <w:t>}</w:t>
      </w:r>
    </w:p>
    <w:sectPr w:rsidR="002809F5" w:rsidRPr="002809F5" w:rsidSect="0033508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8B4" w:rsidRDefault="002648B4" w:rsidP="002F340A">
      <w:pPr>
        <w:spacing w:after="0" w:line="240" w:lineRule="auto"/>
      </w:pPr>
      <w:r>
        <w:separator/>
      </w:r>
    </w:p>
  </w:endnote>
  <w:endnote w:type="continuationSeparator" w:id="0">
    <w:p w:rsidR="002648B4" w:rsidRDefault="002648B4" w:rsidP="002F3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25477"/>
      <w:docPartObj>
        <w:docPartGallery w:val="Page Numbers (Bottom of Page)"/>
        <w:docPartUnique/>
      </w:docPartObj>
    </w:sdtPr>
    <w:sdtEndPr/>
    <w:sdtContent>
      <w:p w:rsidR="00754F60" w:rsidRDefault="002648B4">
        <w:pPr>
          <w:pStyle w:val="Footer"/>
          <w:jc w:val="center"/>
        </w:pPr>
        <w:r>
          <w:fldChar w:fldCharType="begin"/>
        </w:r>
        <w:r>
          <w:instrText xml:space="preserve"> PAGE   \* MERGEFORMAT </w:instrText>
        </w:r>
        <w:r>
          <w:fldChar w:fldCharType="separate"/>
        </w:r>
        <w:r w:rsidR="002910B0">
          <w:rPr>
            <w:noProof/>
          </w:rPr>
          <w:t>1</w:t>
        </w:r>
        <w:r>
          <w:rPr>
            <w:noProof/>
          </w:rPr>
          <w:fldChar w:fldCharType="end"/>
        </w:r>
      </w:p>
    </w:sdtContent>
  </w:sdt>
  <w:p w:rsidR="000522D4" w:rsidRDefault="0005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8B4" w:rsidRDefault="002648B4" w:rsidP="002F340A">
      <w:pPr>
        <w:spacing w:after="0" w:line="240" w:lineRule="auto"/>
      </w:pPr>
      <w:r>
        <w:separator/>
      </w:r>
    </w:p>
  </w:footnote>
  <w:footnote w:type="continuationSeparator" w:id="0">
    <w:p w:rsidR="002648B4" w:rsidRDefault="002648B4" w:rsidP="002F3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0A" w:rsidRDefault="002F340A">
    <w:pPr>
      <w:pStyle w:val="Header"/>
      <w:jc w:val="right"/>
    </w:pPr>
  </w:p>
  <w:p w:rsidR="002F340A" w:rsidRDefault="002F3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138D"/>
    <w:rsid w:val="00023355"/>
    <w:rsid w:val="00045352"/>
    <w:rsid w:val="0004736E"/>
    <w:rsid w:val="000522D4"/>
    <w:rsid w:val="00070356"/>
    <w:rsid w:val="000D462B"/>
    <w:rsid w:val="00115EAE"/>
    <w:rsid w:val="00141C4C"/>
    <w:rsid w:val="0017513D"/>
    <w:rsid w:val="00176833"/>
    <w:rsid w:val="001D2491"/>
    <w:rsid w:val="001D2E7F"/>
    <w:rsid w:val="001F13E1"/>
    <w:rsid w:val="0021239C"/>
    <w:rsid w:val="0024198F"/>
    <w:rsid w:val="002648B4"/>
    <w:rsid w:val="002809F5"/>
    <w:rsid w:val="002910B0"/>
    <w:rsid w:val="002C23A3"/>
    <w:rsid w:val="002D56BC"/>
    <w:rsid w:val="002F340A"/>
    <w:rsid w:val="0033508C"/>
    <w:rsid w:val="0034193A"/>
    <w:rsid w:val="003B682C"/>
    <w:rsid w:val="00401BD5"/>
    <w:rsid w:val="004075B5"/>
    <w:rsid w:val="00494374"/>
    <w:rsid w:val="004F138D"/>
    <w:rsid w:val="005873B7"/>
    <w:rsid w:val="005A3B2F"/>
    <w:rsid w:val="006069C7"/>
    <w:rsid w:val="00614C14"/>
    <w:rsid w:val="00671747"/>
    <w:rsid w:val="00672DEC"/>
    <w:rsid w:val="006A0870"/>
    <w:rsid w:val="006A6DCB"/>
    <w:rsid w:val="006A719B"/>
    <w:rsid w:val="006E07E5"/>
    <w:rsid w:val="007348A2"/>
    <w:rsid w:val="00754F60"/>
    <w:rsid w:val="00795D8F"/>
    <w:rsid w:val="00796CDB"/>
    <w:rsid w:val="007C54C6"/>
    <w:rsid w:val="008A0508"/>
    <w:rsid w:val="008F30B7"/>
    <w:rsid w:val="009215D6"/>
    <w:rsid w:val="009262BC"/>
    <w:rsid w:val="00931E9C"/>
    <w:rsid w:val="009502B0"/>
    <w:rsid w:val="009626B4"/>
    <w:rsid w:val="00963537"/>
    <w:rsid w:val="00990947"/>
    <w:rsid w:val="00A1509D"/>
    <w:rsid w:val="00A60110"/>
    <w:rsid w:val="00A86F83"/>
    <w:rsid w:val="00AA4D8D"/>
    <w:rsid w:val="00AB38B1"/>
    <w:rsid w:val="00B10639"/>
    <w:rsid w:val="00B216A4"/>
    <w:rsid w:val="00B26EB4"/>
    <w:rsid w:val="00B93AE2"/>
    <w:rsid w:val="00BB4469"/>
    <w:rsid w:val="00BD7251"/>
    <w:rsid w:val="00C0646B"/>
    <w:rsid w:val="00C12DD5"/>
    <w:rsid w:val="00C46D41"/>
    <w:rsid w:val="00C47A08"/>
    <w:rsid w:val="00C81B9A"/>
    <w:rsid w:val="00CA7A1A"/>
    <w:rsid w:val="00D12444"/>
    <w:rsid w:val="00D63A30"/>
    <w:rsid w:val="00D7493E"/>
    <w:rsid w:val="00DA1FB5"/>
    <w:rsid w:val="00DB4ED4"/>
    <w:rsid w:val="00DD247D"/>
    <w:rsid w:val="00E64795"/>
    <w:rsid w:val="00E67EC2"/>
    <w:rsid w:val="00EF0F80"/>
    <w:rsid w:val="00F12243"/>
    <w:rsid w:val="00F2211E"/>
    <w:rsid w:val="00F46177"/>
    <w:rsid w:val="00F60F8E"/>
    <w:rsid w:val="00F629C5"/>
    <w:rsid w:val="00FA2BD2"/>
    <w:rsid w:val="00FC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5D49D-85D7-4AF0-99AD-27B0FF9E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tnettricks.com/learn/webapi/content-negotiation-in-asp-net-web-ap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Kumar, Sonu (Cognizant)</cp:lastModifiedBy>
  <cp:revision>89</cp:revision>
  <dcterms:created xsi:type="dcterms:W3CDTF">2021-06-11T03:43:00Z</dcterms:created>
  <dcterms:modified xsi:type="dcterms:W3CDTF">2021-06-22T07:37:00Z</dcterms:modified>
</cp:coreProperties>
</file>