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Calibri" w:cs="Calibri" w:eastAsia="Calibri" w:hAnsi="Calibri"/>
          <w:b/>
          <w:bCs/>
          <w:color w:val="028090"/>
          <w:sz w:val="24"/>
          <w:szCs w:val="24"/>
        </w:rPr>
        <w:t xml:space="preserve">SMART INDIA HACKATHON 2026</w:t>
      </w:r>
    </w:p>
    <w:p>
      <w:pPr>
        <w:spacing w:after="200" w:before="200"/>
        <w:jc w:val="center"/>
      </w:pPr>
      <w:r>
        <w:rPr>
          <w:rFonts w:ascii="Calibri" w:cs="Calibri" w:eastAsia="Calibri" w:hAnsi="Calibri"/>
          <w:b/>
          <w:bCs/>
          <w:color w:val="1E2761"/>
          <w:sz w:val="40"/>
          <w:szCs w:val="40"/>
        </w:rPr>
        <w:t xml:space="preserve">AI-Powered Smart Food Waste Reduction and</w:t>
      </w:r>
    </w:p>
    <w:p>
      <w:pPr>
        <w:spacing w:after="200" w:before="0"/>
        <w:jc w:val="center"/>
      </w:pPr>
      <w:r>
        <w:rPr>
          <w:rFonts w:ascii="Calibri" w:cs="Calibri" w:eastAsia="Calibri" w:hAnsi="Calibri"/>
          <w:b/>
          <w:bCs/>
          <w:color w:val="1E2761"/>
          <w:sz w:val="40"/>
          <w:szCs w:val="40"/>
        </w:rPr>
        <w:t xml:space="preserve">Sustainable Redistribution Ecosystem</w:t>
      </w:r>
    </w:p>
    <w:p>
      <w:pPr>
        <w:spacing w:after="500" w:before="0"/>
        <w:jc w:val="center"/>
      </w:pPr>
      <w:r>
        <w:rPr>
          <w:rFonts w:ascii="Calibri" w:cs="Calibri" w:eastAsia="Calibri" w:hAnsi="Calibri"/>
          <w:i/>
          <w:iCs/>
          <w:color w:val="444444"/>
          <w:sz w:val="26"/>
          <w:szCs w:val="26"/>
        </w:rPr>
        <w:t xml:space="preserve">for Institutional Kitchens and Food Processing Units</w:t>
      </w:r>
    </w:p>
    <w:p>
      <w:pPr>
        <w:spacing w:after="60"/>
        <w:jc w:val="center"/>
      </w:pPr>
      <w:r>
        <w:rPr>
          <w:rFonts w:ascii="Calibri" w:cs="Calibri" w:eastAsia="Calibri" w:hAnsi="Calibri"/>
          <w:b/>
          <w:bCs/>
          <w:color w:val="222222"/>
          <w:sz w:val="28"/>
          <w:szCs w:val="28"/>
        </w:rPr>
        <w:t xml:space="preserve">Comprehensive Project Report</w:t>
      </w:r>
    </w:p>
    <w:p>
      <w:pPr>
        <w:spacing w:after="500"/>
        <w:jc w:val="center"/>
      </w:pPr>
      <w:r>
        <w:rPr>
          <w:rFonts w:ascii="Calibri" w:cs="Calibri" w:eastAsia="Calibri" w:hAnsi="Calibri"/>
          <w:color w:val="444444"/>
          <w:sz w:val="24"/>
          <w:szCs w:val="24"/>
        </w:rPr>
        <w:t xml:space="preserve">Team TechSolution</w:t>
      </w:r>
    </w:p>
    <w:tbl>
      <w:tblPr>
        <w:tblW w:type="dxa" w:w="6200"/>
        <w:jc w:val="center"/>
        <w:tblBorders>
          <w:top w:val="single" w:color="CCCCCC" w:sz="4"/>
          <w:left w:val="single" w:color="CCCCCC" w:sz="4"/>
          <w:bottom w:val="single" w:color="CCCCCC" w:sz="4"/>
          <w:right w:val="single" w:color="CCCCCC" w:sz="4"/>
          <w:insideH w:val="single" w:color="DDDDDD" w:sz="4"/>
          <w:insideV w:val="single" w:color="DDDDDD" w:sz="4"/>
        </w:tblBorders>
      </w:tblPr>
      <w:tblGrid>
        <w:gridCol w:w="3100"/>
        <w:gridCol w:w="3100"/>
      </w:tblGrid>
      <w:tr>
        <w:tc>
          <w:tcPr>
            <w:tcW w:type="dxa" w:w="3100"/>
            <w:shd w:fill="F2F2F2" w:val="clear"/>
            <w:tcMar>
              <w:top w:type="dxa" w:w="100"/>
              <w:left w:type="dxa" w:w="140"/>
              <w:bottom w:type="dxa" w:w="100"/>
              <w:right w:type="dxa" w:w="140"/>
            </w:tcMar>
            <w:vAlign w:val="center"/>
          </w:tcPr>
          <w:p>
            <w:r>
              <w:rPr>
                <w:rFonts w:ascii="Calibri" w:cs="Calibri" w:eastAsia="Calibri" w:hAnsi="Calibri"/>
                <w:b/>
                <w:bCs/>
                <w:color w:val="222222"/>
                <w:sz w:val="21"/>
                <w:szCs w:val="21"/>
              </w:rPr>
              <w:t xml:space="preserve">Problem Statement ID</w:t>
            </w:r>
          </w:p>
        </w:tc>
        <w:tc>
          <w:tcPr>
            <w:tcW w:type="dxa" w:w="31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SIH26234</w:t>
            </w:r>
          </w:p>
        </w:tc>
      </w:tr>
      <w:tr>
        <w:tc>
          <w:tcPr>
            <w:tcW w:type="dxa" w:w="3100"/>
            <w:shd w:fill="F2F2F2" w:val="clear"/>
            <w:tcMar>
              <w:top w:type="dxa" w:w="100"/>
              <w:left w:type="dxa" w:w="140"/>
              <w:bottom w:type="dxa" w:w="100"/>
              <w:right w:type="dxa" w:w="140"/>
            </w:tcMar>
            <w:vAlign w:val="center"/>
          </w:tcPr>
          <w:p>
            <w:r>
              <w:rPr>
                <w:rFonts w:ascii="Calibri" w:cs="Calibri" w:eastAsia="Calibri" w:hAnsi="Calibri"/>
                <w:b/>
                <w:bCs/>
                <w:color w:val="222222"/>
                <w:sz w:val="21"/>
                <w:szCs w:val="21"/>
              </w:rPr>
              <w:t xml:space="preserve">PS Category</w:t>
            </w:r>
          </w:p>
        </w:tc>
        <w:tc>
          <w:tcPr>
            <w:tcW w:type="dxa" w:w="31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Software</w:t>
            </w:r>
          </w:p>
        </w:tc>
      </w:tr>
      <w:tr>
        <w:tc>
          <w:tcPr>
            <w:tcW w:type="dxa" w:w="3100"/>
            <w:shd w:fill="F2F2F2" w:val="clear"/>
            <w:tcMar>
              <w:top w:type="dxa" w:w="100"/>
              <w:left w:type="dxa" w:w="140"/>
              <w:bottom w:type="dxa" w:w="100"/>
              <w:right w:type="dxa" w:w="140"/>
            </w:tcMar>
            <w:vAlign w:val="center"/>
          </w:tcPr>
          <w:p>
            <w:r>
              <w:rPr>
                <w:rFonts w:ascii="Calibri" w:cs="Calibri" w:eastAsia="Calibri" w:hAnsi="Calibri"/>
                <w:b/>
                <w:bCs/>
                <w:color w:val="222222"/>
                <w:sz w:val="21"/>
                <w:szCs w:val="21"/>
              </w:rPr>
              <w:t xml:space="preserve">Theme</w:t>
            </w:r>
          </w:p>
        </w:tc>
        <w:tc>
          <w:tcPr>
            <w:tcW w:type="dxa" w:w="31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Agriculture, FoodTech &amp; Rural Development</w:t>
            </w:r>
          </w:p>
        </w:tc>
      </w:tr>
      <w:tr>
        <w:tc>
          <w:tcPr>
            <w:tcW w:type="dxa" w:w="3100"/>
            <w:shd w:fill="F2F2F2" w:val="clear"/>
            <w:tcMar>
              <w:top w:type="dxa" w:w="100"/>
              <w:left w:type="dxa" w:w="140"/>
              <w:bottom w:type="dxa" w:w="100"/>
              <w:right w:type="dxa" w:w="140"/>
            </w:tcMar>
            <w:vAlign w:val="center"/>
          </w:tcPr>
          <w:p>
            <w:r>
              <w:rPr>
                <w:rFonts w:ascii="Calibri" w:cs="Calibri" w:eastAsia="Calibri" w:hAnsi="Calibri"/>
                <w:b/>
                <w:bCs/>
                <w:color w:val="222222"/>
                <w:sz w:val="21"/>
                <w:szCs w:val="21"/>
              </w:rPr>
              <w:t xml:space="preserve">Team Name</w:t>
            </w:r>
          </w:p>
        </w:tc>
        <w:tc>
          <w:tcPr>
            <w:tcW w:type="dxa" w:w="31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TechSolution</w:t>
            </w:r>
          </w:p>
        </w:tc>
      </w:tr>
    </w:tbl>
    <w:p>
      <w:r>
        <w:br w:type="page"/>
      </w:r>
    </w:p>
    <w:p>
      <w:pPr>
        <w:pStyle w:val="Heading1"/>
        <w:pBdr>
          <w:bottom w:val="single" w:color="1E2761" w:sz="6" w:space="4"/>
        </w:pBdr>
        <w:spacing w:after="160" w:before="360"/>
      </w:pPr>
      <w:r>
        <w:t xml:space="preserve">Table of Contents</w:t>
      </w:r>
    </w:p>
    <w:p>
      <w:pPr>
        <w:spacing w:after="140"/>
      </w:pPr>
      <w:r>
        <w:rPr>
          <w:rFonts w:ascii="Calibri" w:cs="Calibri" w:eastAsia="Calibri" w:hAnsi="Calibri"/>
          <w:color w:val="222222"/>
          <w:sz w:val="23"/>
          <w:szCs w:val="23"/>
        </w:rPr>
        <w:t xml:space="preserve">1. Executive Summary</w:t>
      </w:r>
      <w:r>
        <w:rPr>
          <w:rFonts w:ascii="Calibri" w:cs="Calibri" w:eastAsia="Calibri" w:hAnsi="Calibri"/>
          <w:color w:val="222222"/>
          <w:sz w:val="23"/>
          <w:szCs w:val="23"/>
        </w:rPr>
        <w:ptab w:alignment="right" w:relativeTo="margin" w:leader="dot"/>
      </w:r>
      <w:r>
        <w:rPr>
          <w:rFonts w:ascii="Calibri" w:cs="Calibri" w:eastAsia="Calibri" w:hAnsi="Calibri"/>
          <w:color w:val="222222"/>
          <w:sz w:val="23"/>
          <w:szCs w:val="23"/>
        </w:rPr>
        <w:t xml:space="preserve">3</w:t>
      </w:r>
    </w:p>
    <w:p>
      <w:pPr>
        <w:spacing w:after="140"/>
      </w:pPr>
      <w:r>
        <w:rPr>
          <w:rFonts w:ascii="Calibri" w:cs="Calibri" w:eastAsia="Calibri" w:hAnsi="Calibri"/>
          <w:color w:val="222222"/>
          <w:sz w:val="23"/>
          <w:szCs w:val="23"/>
        </w:rPr>
        <w:t xml:space="preserve">2. Problem Statement</w:t>
      </w:r>
      <w:r>
        <w:rPr>
          <w:rFonts w:ascii="Calibri" w:cs="Calibri" w:eastAsia="Calibri" w:hAnsi="Calibri"/>
          <w:color w:val="222222"/>
          <w:sz w:val="23"/>
          <w:szCs w:val="23"/>
        </w:rPr>
        <w:ptab w:alignment="right" w:relativeTo="margin" w:leader="dot"/>
      </w:r>
      <w:r>
        <w:rPr>
          <w:rFonts w:ascii="Calibri" w:cs="Calibri" w:eastAsia="Calibri" w:hAnsi="Calibri"/>
          <w:color w:val="222222"/>
          <w:sz w:val="23"/>
          <w:szCs w:val="23"/>
        </w:rPr>
        <w:t xml:space="preserve">3</w:t>
      </w:r>
    </w:p>
    <w:p>
      <w:pPr>
        <w:spacing w:after="140"/>
      </w:pPr>
      <w:r>
        <w:rPr>
          <w:rFonts w:ascii="Calibri" w:cs="Calibri" w:eastAsia="Calibri" w:hAnsi="Calibri"/>
          <w:color w:val="222222"/>
          <w:sz w:val="23"/>
          <w:szCs w:val="23"/>
        </w:rPr>
        <w:t xml:space="preserve">3. Proposed Solution</w:t>
      </w:r>
      <w:r>
        <w:rPr>
          <w:rFonts w:ascii="Calibri" w:cs="Calibri" w:eastAsia="Calibri" w:hAnsi="Calibri"/>
          <w:color w:val="222222"/>
          <w:sz w:val="23"/>
          <w:szCs w:val="23"/>
        </w:rPr>
        <w:ptab w:alignment="right" w:relativeTo="margin" w:leader="dot"/>
      </w:r>
      <w:r>
        <w:rPr>
          <w:rFonts w:ascii="Calibri" w:cs="Calibri" w:eastAsia="Calibri" w:hAnsi="Calibri"/>
          <w:color w:val="222222"/>
          <w:sz w:val="23"/>
          <w:szCs w:val="23"/>
        </w:rPr>
        <w:t xml:space="preserve">4</w:t>
      </w:r>
    </w:p>
    <w:p>
      <w:pPr>
        <w:spacing w:after="140"/>
      </w:pPr>
      <w:r>
        <w:rPr>
          <w:rFonts w:ascii="Calibri" w:cs="Calibri" w:eastAsia="Calibri" w:hAnsi="Calibri"/>
          <w:color w:val="222222"/>
          <w:sz w:val="23"/>
          <w:szCs w:val="23"/>
        </w:rPr>
        <w:t xml:space="preserve">4. Technical Approach</w:t>
      </w:r>
      <w:r>
        <w:rPr>
          <w:rFonts w:ascii="Calibri" w:cs="Calibri" w:eastAsia="Calibri" w:hAnsi="Calibri"/>
          <w:color w:val="222222"/>
          <w:sz w:val="23"/>
          <w:szCs w:val="23"/>
        </w:rPr>
        <w:ptab w:alignment="right" w:relativeTo="margin" w:leader="dot"/>
      </w:r>
      <w:r>
        <w:rPr>
          <w:rFonts w:ascii="Calibri" w:cs="Calibri" w:eastAsia="Calibri" w:hAnsi="Calibri"/>
          <w:color w:val="222222"/>
          <w:sz w:val="23"/>
          <w:szCs w:val="23"/>
        </w:rPr>
        <w:t xml:space="preserve">5</w:t>
      </w:r>
    </w:p>
    <w:p>
      <w:pPr>
        <w:spacing w:after="140"/>
      </w:pPr>
      <w:r>
        <w:rPr>
          <w:rFonts w:ascii="Calibri" w:cs="Calibri" w:eastAsia="Calibri" w:hAnsi="Calibri"/>
          <w:color w:val="222222"/>
          <w:sz w:val="23"/>
          <w:szCs w:val="23"/>
        </w:rPr>
        <w:t xml:space="preserve">5. Feasibility, Viability &amp; Risk Mitigation</w:t>
      </w:r>
      <w:r>
        <w:rPr>
          <w:rFonts w:ascii="Calibri" w:cs="Calibri" w:eastAsia="Calibri" w:hAnsi="Calibri"/>
          <w:color w:val="222222"/>
          <w:sz w:val="23"/>
          <w:szCs w:val="23"/>
        </w:rPr>
        <w:ptab w:alignment="right" w:relativeTo="margin" w:leader="dot"/>
      </w:r>
      <w:r>
        <w:rPr>
          <w:rFonts w:ascii="Calibri" w:cs="Calibri" w:eastAsia="Calibri" w:hAnsi="Calibri"/>
          <w:color w:val="222222"/>
          <w:sz w:val="23"/>
          <w:szCs w:val="23"/>
        </w:rPr>
        <w:t xml:space="preserve">6</w:t>
      </w:r>
    </w:p>
    <w:p>
      <w:pPr>
        <w:spacing w:after="140"/>
      </w:pPr>
      <w:r>
        <w:rPr>
          <w:rFonts w:ascii="Calibri" w:cs="Calibri" w:eastAsia="Calibri" w:hAnsi="Calibri"/>
          <w:color w:val="222222"/>
          <w:sz w:val="23"/>
          <w:szCs w:val="23"/>
        </w:rPr>
        <w:t xml:space="preserve">6. Monetization &amp; Unit Economics</w:t>
      </w:r>
      <w:r>
        <w:rPr>
          <w:rFonts w:ascii="Calibri" w:cs="Calibri" w:eastAsia="Calibri" w:hAnsi="Calibri"/>
          <w:color w:val="222222"/>
          <w:sz w:val="23"/>
          <w:szCs w:val="23"/>
        </w:rPr>
        <w:ptab w:alignment="right" w:relativeTo="margin" w:leader="dot"/>
      </w:r>
      <w:r>
        <w:rPr>
          <w:rFonts w:ascii="Calibri" w:cs="Calibri" w:eastAsia="Calibri" w:hAnsi="Calibri"/>
          <w:color w:val="222222"/>
          <w:sz w:val="23"/>
          <w:szCs w:val="23"/>
        </w:rPr>
        <w:t xml:space="preserve">7</w:t>
      </w:r>
    </w:p>
    <w:p>
      <w:pPr>
        <w:spacing w:after="140"/>
      </w:pPr>
      <w:r>
        <w:rPr>
          <w:rFonts w:ascii="Calibri" w:cs="Calibri" w:eastAsia="Calibri" w:hAnsi="Calibri"/>
          <w:color w:val="222222"/>
          <w:sz w:val="23"/>
          <w:szCs w:val="23"/>
        </w:rPr>
        <w:t xml:space="preserve">7. Impact &amp; Benefits</w:t>
      </w:r>
      <w:r>
        <w:rPr>
          <w:rFonts w:ascii="Calibri" w:cs="Calibri" w:eastAsia="Calibri" w:hAnsi="Calibri"/>
          <w:color w:val="222222"/>
          <w:sz w:val="23"/>
          <w:szCs w:val="23"/>
        </w:rPr>
        <w:ptab w:alignment="right" w:relativeTo="margin" w:leader="dot"/>
      </w:r>
      <w:r>
        <w:rPr>
          <w:rFonts w:ascii="Calibri" w:cs="Calibri" w:eastAsia="Calibri" w:hAnsi="Calibri"/>
          <w:color w:val="222222"/>
          <w:sz w:val="23"/>
          <w:szCs w:val="23"/>
        </w:rPr>
        <w:t xml:space="preserve">8</w:t>
      </w:r>
    </w:p>
    <w:p>
      <w:pPr>
        <w:spacing w:after="140"/>
      </w:pPr>
      <w:r>
        <w:rPr>
          <w:rFonts w:ascii="Calibri" w:cs="Calibri" w:eastAsia="Calibri" w:hAnsi="Calibri"/>
          <w:color w:val="222222"/>
          <w:sz w:val="23"/>
          <w:szCs w:val="23"/>
        </w:rPr>
        <w:t xml:space="preserve">8. Future Roadmap</w:t>
      </w:r>
      <w:r>
        <w:rPr>
          <w:rFonts w:ascii="Calibri" w:cs="Calibri" w:eastAsia="Calibri" w:hAnsi="Calibri"/>
          <w:color w:val="222222"/>
          <w:sz w:val="23"/>
          <w:szCs w:val="23"/>
        </w:rPr>
        <w:ptab w:alignment="right" w:relativeTo="margin" w:leader="dot"/>
      </w:r>
      <w:r>
        <w:rPr>
          <w:rFonts w:ascii="Calibri" w:cs="Calibri" w:eastAsia="Calibri" w:hAnsi="Calibri"/>
          <w:color w:val="222222"/>
          <w:sz w:val="23"/>
          <w:szCs w:val="23"/>
        </w:rPr>
        <w:t xml:space="preserve">9</w:t>
      </w:r>
    </w:p>
    <w:p>
      <w:pPr>
        <w:spacing w:after="140"/>
      </w:pPr>
      <w:r>
        <w:rPr>
          <w:rFonts w:ascii="Calibri" w:cs="Calibri" w:eastAsia="Calibri" w:hAnsi="Calibri"/>
          <w:color w:val="222222"/>
          <w:sz w:val="23"/>
          <w:szCs w:val="23"/>
        </w:rPr>
        <w:t xml:space="preserve">9. Conclusion</w:t>
      </w:r>
      <w:r>
        <w:rPr>
          <w:rFonts w:ascii="Calibri" w:cs="Calibri" w:eastAsia="Calibri" w:hAnsi="Calibri"/>
          <w:color w:val="222222"/>
          <w:sz w:val="23"/>
          <w:szCs w:val="23"/>
        </w:rPr>
        <w:ptab w:alignment="right" w:relativeTo="margin" w:leader="dot"/>
      </w:r>
      <w:r>
        <w:rPr>
          <w:rFonts w:ascii="Calibri" w:cs="Calibri" w:eastAsia="Calibri" w:hAnsi="Calibri"/>
          <w:color w:val="222222"/>
          <w:sz w:val="23"/>
          <w:szCs w:val="23"/>
        </w:rPr>
        <w:t xml:space="preserve">9</w:t>
      </w:r>
    </w:p>
    <w:p>
      <w:pPr>
        <w:spacing w:after="140"/>
      </w:pPr>
      <w:r>
        <w:rPr>
          <w:rFonts w:ascii="Calibri" w:cs="Calibri" w:eastAsia="Calibri" w:hAnsi="Calibri"/>
          <w:color w:val="222222"/>
          <w:sz w:val="23"/>
          <w:szCs w:val="23"/>
        </w:rPr>
        <w:t xml:space="preserve">10. Research &amp; References</w:t>
      </w:r>
      <w:r>
        <w:rPr>
          <w:rFonts w:ascii="Calibri" w:cs="Calibri" w:eastAsia="Calibri" w:hAnsi="Calibri"/>
          <w:color w:val="222222"/>
          <w:sz w:val="23"/>
          <w:szCs w:val="23"/>
        </w:rPr>
        <w:ptab w:alignment="right" w:relativeTo="margin" w:leader="dot"/>
      </w:r>
      <w:r>
        <w:rPr>
          <w:rFonts w:ascii="Calibri" w:cs="Calibri" w:eastAsia="Calibri" w:hAnsi="Calibri"/>
          <w:color w:val="222222"/>
          <w:sz w:val="23"/>
          <w:szCs w:val="23"/>
        </w:rPr>
        <w:t xml:space="preserve">9</w:t>
      </w:r>
    </w:p>
    <w:p>
      <w:r>
        <w:br w:type="page"/>
      </w:r>
    </w:p>
    <w:p>
      <w:pPr>
        <w:pStyle w:val="Heading1"/>
        <w:pBdr>
          <w:bottom w:val="single" w:color="1E2761" w:sz="6" w:space="4"/>
        </w:pBdr>
        <w:spacing w:after="160" w:before="360"/>
      </w:pPr>
      <w:r>
        <w:t xml:space="preserve">1. Executive Summary</w:t>
      </w:r>
    </w:p>
    <w:p>
      <w:pPr>
        <w:spacing w:after="160" w:line="276"/>
      </w:pPr>
      <w:r>
        <w:rPr>
          <w:rFonts w:ascii="Calibri" w:cs="Calibri" w:eastAsia="Calibri" w:hAnsi="Calibri"/>
          <w:b w:val="false"/>
          <w:bCs w:val="false"/>
          <w:i w:val="false"/>
          <w:iCs w:val="false"/>
          <w:color w:val="222222"/>
          <w:sz w:val="22"/>
          <w:szCs w:val="22"/>
        </w:rPr>
        <w:t xml:space="preserve">Institutional kitchens across India — hotels, colleges, hospitals, banquet halls, and mess facilities — generate large volumes of surplus food every day. Most of this surplus is never tracked, verified, or redistributed in time, and a large share of it ends up mixed with spoiled waste and sent to landfill. This is both an economic loss for the kitchen and a missed opportunity to feed people in need.</w:t>
      </w:r>
    </w:p>
    <w:p>
      <w:pPr>
        <w:spacing w:after="160" w:line="276"/>
      </w:pPr>
      <w:r>
        <w:rPr>
          <w:rFonts w:ascii="Calibri" w:cs="Calibri" w:eastAsia="Calibri" w:hAnsi="Calibri"/>
          <w:b w:val="false"/>
          <w:bCs w:val="false"/>
          <w:i w:val="false"/>
          <w:iCs w:val="false"/>
          <w:color w:val="222222"/>
          <w:sz w:val="22"/>
          <w:szCs w:val="22"/>
        </w:rPr>
        <w:t xml:space="preserve">This project proposes an AI-powered food waste management and redistribution platform that predicts surplus before it is cooked, verifies and grades edible surplus in real time, matches it to nearby verified NGOs through geospatial routing, and diverts anything unsafe to composting, Bio-CNG, or Black Soldier Fly (BSFL) processing instead of a landfill. The platform is built to be technically feasible on a lean, open-source stack, economically viable for both kitchens and the platform operator, and commercially monetizable through a SaaS subscription plus a biomass brokerage revenue stream.</w:t>
      </w:r>
    </w:p>
    <w:p>
      <w:pPr>
        <w:spacing w:after="160" w:line="276"/>
      </w:pPr>
      <w:r>
        <w:rPr>
          <w:rFonts w:ascii="Calibri" w:cs="Calibri" w:eastAsia="Calibri" w:hAnsi="Calibri"/>
          <w:b w:val="false"/>
          <w:bCs w:val="false"/>
          <w:i w:val="false"/>
          <w:iCs w:val="false"/>
          <w:color w:val="222222"/>
          <w:sz w:val="22"/>
          <w:szCs w:val="22"/>
        </w:rPr>
        <w:t xml:space="preserve">At scale, the platform targets an 8–15% reduction in kitchen food-procurement costs, over 92% accuracy in surplus-demand forecasting, NGO matching within 10 minutes, and a fully digital, FSSAI-2019-compliant audit trail for every handoff — turning a compliance liability under the Solid Waste Management Rules, 2016 into a measurable, revenue-generating sustainability program.</w:t>
      </w:r>
    </w:p>
    <w:p>
      <w:pPr>
        <w:pStyle w:val="Heading1"/>
        <w:pBdr>
          <w:bottom w:val="single" w:color="1E2761" w:sz="6" w:space="4"/>
        </w:pBdr>
        <w:spacing w:after="160" w:before="360"/>
      </w:pPr>
      <w:r>
        <w:t xml:space="preserve">2. Problem Statement</w:t>
      </w:r>
    </w:p>
    <w:p>
      <w:pPr>
        <w:spacing w:after="160" w:line="276"/>
      </w:pPr>
      <w:r>
        <w:rPr>
          <w:rFonts w:ascii="Calibri" w:cs="Calibri" w:eastAsia="Calibri" w:hAnsi="Calibri"/>
          <w:b w:val="false"/>
          <w:bCs w:val="false"/>
          <w:i w:val="false"/>
          <w:iCs w:val="false"/>
          <w:color w:val="222222"/>
          <w:sz w:val="22"/>
          <w:szCs w:val="22"/>
        </w:rPr>
        <w:t xml:space="preserve">Hotels, colleges, hospitals, and mess facilities generate significant daily food surplus, but no centralized system exists to track, verify, and redistribute edible food before it spoils. This creates four compounding problems:</w:t>
      </w:r>
    </w:p>
    <w:p>
      <w:pPr>
        <w:pStyle w:val="Heading3"/>
        <w:spacing w:after="100" w:before="200"/>
      </w:pPr>
      <w:r>
        <w:t xml:space="preserve">2.1 Massive Economic Bleed</w:t>
      </w:r>
    </w:p>
    <w:p>
      <w:pPr>
        <w:spacing w:after="160" w:line="276"/>
      </w:pPr>
      <w:r>
        <w:rPr>
          <w:rFonts w:ascii="Calibri" w:cs="Calibri" w:eastAsia="Calibri" w:hAnsi="Calibri"/>
          <w:b w:val="false"/>
          <w:bCs w:val="false"/>
          <w:i w:val="false"/>
          <w:iCs w:val="false"/>
          <w:color w:val="222222"/>
          <w:sz w:val="22"/>
          <w:szCs w:val="22"/>
        </w:rPr>
        <w:t xml:space="preserve">Commercial kitchens lose an estimated 10–15% of their monthly food budget to over-preparation and inaccurate demand estimation. At a national level, this contributes to India's 78-million-tonne annual food waste problem, valued at roughly ₹1.55 lakh crore per year.</w:t>
      </w:r>
    </w:p>
    <w:p>
      <w:pPr>
        <w:pStyle w:val="Heading3"/>
        <w:spacing w:after="100" w:before="200"/>
      </w:pPr>
      <w:r>
        <w:t xml:space="preserve">2.2 No Real-Time Coordination</w:t>
      </w:r>
    </w:p>
    <w:p>
      <w:pPr>
        <w:spacing w:after="160" w:line="276"/>
      </w:pPr>
      <w:r>
        <w:rPr>
          <w:rFonts w:ascii="Calibri" w:cs="Calibri" w:eastAsia="Calibri" w:hAnsi="Calibri"/>
          <w:b w:val="false"/>
          <w:bCs w:val="false"/>
          <w:i w:val="false"/>
          <w:iCs w:val="false"/>
          <w:color w:val="222222"/>
          <w:sz w:val="22"/>
          <w:szCs w:val="22"/>
        </w:rPr>
        <w:t xml:space="preserve">There is no centralized system to track, verify, or redistribute edible surplus in real time. NGOs and composting units operate without visibility into what surplus exists, where it is, or how long it will remain safe to eat — so donations are fragmented and ad hoc rather than systematic.</w:t>
      </w:r>
    </w:p>
    <w:p>
      <w:pPr>
        <w:pStyle w:val="Heading3"/>
        <w:spacing w:after="100" w:before="200"/>
      </w:pPr>
      <w:r>
        <w:t xml:space="preserve">2.3 Legal &amp; Compliance Risk</w:t>
      </w:r>
    </w:p>
    <w:p>
      <w:pPr>
        <w:spacing w:after="160" w:line="276"/>
      </w:pPr>
      <w:r>
        <w:rPr>
          <w:rFonts w:ascii="Calibri" w:cs="Calibri" w:eastAsia="Calibri" w:hAnsi="Calibri"/>
          <w:b w:val="false"/>
          <w:bCs w:val="false"/>
          <w:i w:val="false"/>
          <w:iCs w:val="false"/>
          <w:color w:val="222222"/>
          <w:sz w:val="22"/>
          <w:szCs w:val="22"/>
        </w:rPr>
        <w:t xml:space="preserve">Under the Solid Waste Management (SWM) Rules, 2016, Bulk Waste Generators face municipal fines ranging from ₹5,000 to ₹25,000 per day for dumping wet waste into landfills instead of processing or diverting it responsibly. Spoiled food is frequently mixed with edible surplus, increasing both landfill volume and regulatory exposure.</w:t>
      </w:r>
    </w:p>
    <w:p>
      <w:pPr>
        <w:pStyle w:val="Heading3"/>
        <w:spacing w:after="100" w:before="200"/>
      </w:pPr>
      <w:r>
        <w:t xml:space="preserve">2.4 Perishable Decay Window</w:t>
      </w:r>
    </w:p>
    <w:p>
      <w:pPr>
        <w:spacing w:after="160" w:line="276"/>
      </w:pPr>
      <w:r>
        <w:rPr>
          <w:rFonts w:ascii="Calibri" w:cs="Calibri" w:eastAsia="Calibri" w:hAnsi="Calibri"/>
          <w:b w:val="false"/>
          <w:bCs w:val="false"/>
          <w:i w:val="false"/>
          <w:iCs w:val="false"/>
          <w:color w:val="222222"/>
          <w:sz w:val="22"/>
          <w:szCs w:val="22"/>
        </w:rPr>
        <w:t xml:space="preserve">Surplus food typically remains within the FSSAI-defined safety window for only 2–4 hours after preparation. Without real-time coordination between kitchens, NGOs, and processing units, essentially all of that edible surplus turns into landfill waste before anyone can act on it.</w:t>
      </w:r>
    </w:p>
    <w:p>
      <w:pPr>
        <w:pStyle w:val="Heading1"/>
        <w:pBdr>
          <w:bottom w:val="single" w:color="1E2761" w:sz="6" w:space="4"/>
        </w:pBdr>
        <w:spacing w:after="160" w:before="360"/>
      </w:pPr>
      <w:r>
        <w:t xml:space="preserve">3. Proposed Solution</w:t>
      </w:r>
    </w:p>
    <w:p>
      <w:pPr>
        <w:spacing w:after="160" w:line="276"/>
      </w:pPr>
      <w:r>
        <w:rPr>
          <w:rFonts w:ascii="Calibri" w:cs="Calibri" w:eastAsia="Calibri" w:hAnsi="Calibri"/>
          <w:b w:val="false"/>
          <w:bCs w:val="false"/>
          <w:i w:val="false"/>
          <w:iCs w:val="false"/>
          <w:color w:val="222222"/>
          <w:sz w:val="22"/>
          <w:szCs w:val="22"/>
        </w:rPr>
        <w:t xml:space="preserve">An AI-powered platform that prevents surplus before it happens, and responsibly redistributes whatever surplus remains:</w:t>
      </w:r>
    </w:p>
    <w:p>
      <w:pPr>
        <w:pStyle w:val="ListParagraph"/>
        <w:numPr>
          <w:ilvl w:val="0"/>
          <w:numId w:val="2"/>
        </w:numPr>
        <w:spacing w:after="90" w:line="264"/>
      </w:pPr>
      <w:r>
        <w:rPr>
          <w:rFonts w:ascii="Calibri" w:cs="Calibri" w:eastAsia="Calibri" w:hAnsi="Calibri"/>
          <w:color w:val="222222"/>
          <w:sz w:val="22"/>
          <w:szCs w:val="22"/>
        </w:rPr>
        <w:t xml:space="preserve">Predicts surplus food using historical consumption and wastage data, so kitchens can prepare closer to actual demand.</w:t>
      </w:r>
    </w:p>
    <w:p>
      <w:pPr>
        <w:pStyle w:val="ListParagraph"/>
        <w:numPr>
          <w:ilvl w:val="0"/>
          <w:numId w:val="2"/>
        </w:numPr>
        <w:spacing w:after="90" w:line="264"/>
      </w:pPr>
      <w:r>
        <w:rPr>
          <w:rFonts w:ascii="Calibri" w:cs="Calibri" w:eastAsia="Calibri" w:hAnsi="Calibri"/>
          <w:color w:val="222222"/>
          <w:sz w:val="22"/>
          <w:szCs w:val="22"/>
        </w:rPr>
        <w:t xml:space="preserve">Detects and monitors leftover food quantity and freshness in real time using quality-verification checks.</w:t>
      </w:r>
    </w:p>
    <w:p>
      <w:pPr>
        <w:pStyle w:val="ListParagraph"/>
        <w:numPr>
          <w:ilvl w:val="0"/>
          <w:numId w:val="2"/>
        </w:numPr>
        <w:spacing w:after="90" w:line="264"/>
      </w:pPr>
      <w:r>
        <w:rPr>
          <w:rFonts w:ascii="Calibri" w:cs="Calibri" w:eastAsia="Calibri" w:hAnsi="Calibri"/>
          <w:color w:val="222222"/>
          <w:sz w:val="22"/>
          <w:szCs w:val="22"/>
        </w:rPr>
        <w:t xml:space="preserve">Matches edible food with nearby NGOs based on need, location, and pickup capacity using geospatial search.</w:t>
      </w:r>
    </w:p>
    <w:p>
      <w:pPr>
        <w:pStyle w:val="ListParagraph"/>
        <w:numPr>
          <w:ilvl w:val="0"/>
          <w:numId w:val="2"/>
        </w:numPr>
        <w:spacing w:after="90" w:line="264"/>
      </w:pPr>
      <w:r>
        <w:rPr>
          <w:rFonts w:ascii="Calibri" w:cs="Calibri" w:eastAsia="Calibri" w:hAnsi="Calibri"/>
          <w:color w:val="222222"/>
          <w:sz w:val="22"/>
          <w:szCs w:val="22"/>
        </w:rPr>
        <w:t xml:space="preserve">Dynamically allocates pickups and enables emergency redistribution when volumes spike.</w:t>
      </w:r>
    </w:p>
    <w:p>
      <w:pPr>
        <w:pStyle w:val="ListParagraph"/>
        <w:numPr>
          <w:ilvl w:val="0"/>
          <w:numId w:val="2"/>
        </w:numPr>
        <w:spacing w:after="90" w:line="264"/>
      </w:pPr>
      <w:r>
        <w:rPr>
          <w:rFonts w:ascii="Calibri" w:cs="Calibri" w:eastAsia="Calibri" w:hAnsi="Calibri"/>
          <w:color w:val="222222"/>
          <w:sz w:val="22"/>
          <w:szCs w:val="22"/>
        </w:rPr>
        <w:t xml:space="preserve">Routes spoiled or unsafe food to composting, fertilizer, Bio-CNG, or BSFL (Black Soldier Fly) processing units instead of landfill.</w:t>
      </w:r>
    </w:p>
    <w:p>
      <w:pPr>
        <w:pStyle w:val="ListParagraph"/>
        <w:numPr>
          <w:ilvl w:val="0"/>
          <w:numId w:val="2"/>
        </w:numPr>
        <w:spacing w:after="90" w:line="264"/>
      </w:pPr>
      <w:r>
        <w:rPr>
          <w:rFonts w:ascii="Calibri" w:cs="Calibri" w:eastAsia="Calibri" w:hAnsi="Calibri"/>
          <w:color w:val="222222"/>
          <w:sz w:val="22"/>
          <w:szCs w:val="22"/>
        </w:rPr>
        <w:t xml:space="preserve">Provides real-time pickup tracking, notifications, and waste analytics with a full digital audit trail.</w:t>
      </w:r>
    </w:p>
    <w:p>
      <w:pPr>
        <w:pStyle w:val="Heading2"/>
        <w:spacing w:after="120" w:before="260"/>
      </w:pPr>
      <w:r>
        <w:t xml:space="preserve">3.1 Six-Step Redistribution Workflow</w:t>
      </w:r>
    </w:p>
    <w:p>
      <w:pPr>
        <w:pStyle w:val="ListParagraph"/>
        <w:numPr>
          <w:ilvl w:val="0"/>
          <w:numId w:val="2"/>
        </w:numPr>
        <w:spacing w:after="90" w:line="264"/>
      </w:pPr>
      <w:r>
        <w:rPr>
          <w:rFonts w:ascii="Calibri" w:cs="Calibri" w:eastAsia="Calibri" w:hAnsi="Calibri"/>
          <w:color w:val="222222"/>
          <w:sz w:val="22"/>
          <w:szCs w:val="22"/>
        </w:rPr>
        <w:t xml:space="preserve">Food Data Collection — hotels, colleges, hospitals, and mess facilities enter surplus food details through the platform.</w:t>
      </w:r>
    </w:p>
    <w:p>
      <w:pPr>
        <w:pStyle w:val="ListParagraph"/>
        <w:numPr>
          <w:ilvl w:val="0"/>
          <w:numId w:val="2"/>
        </w:numPr>
        <w:spacing w:after="90" w:line="264"/>
      </w:pPr>
      <w:r>
        <w:rPr>
          <w:rFonts w:ascii="Calibri" w:cs="Calibri" w:eastAsia="Calibri" w:hAnsi="Calibri"/>
          <w:color w:val="222222"/>
          <w:sz w:val="22"/>
          <w:szCs w:val="22"/>
        </w:rPr>
        <w:t xml:space="preserve">AI Surplus Prediction — the model analyzes historical consumption and wastage data to predict potential food surplus before it occurs.</w:t>
      </w:r>
    </w:p>
    <w:p>
      <w:pPr>
        <w:pStyle w:val="ListParagraph"/>
        <w:numPr>
          <w:ilvl w:val="0"/>
          <w:numId w:val="2"/>
        </w:numPr>
        <w:spacing w:after="90" w:line="264"/>
      </w:pPr>
      <w:r>
        <w:rPr>
          <w:rFonts w:ascii="Calibri" w:cs="Calibri" w:eastAsia="Calibri" w:hAnsi="Calibri"/>
          <w:color w:val="222222"/>
          <w:sz w:val="22"/>
          <w:szCs w:val="22"/>
        </w:rPr>
        <w:t xml:space="preserve">Food Quality Verification — the system assesses food condition using quality and safety information against the FSSAI decay window.</w:t>
      </w:r>
    </w:p>
    <w:p>
      <w:pPr>
        <w:pStyle w:val="ListParagraph"/>
        <w:numPr>
          <w:ilvl w:val="0"/>
          <w:numId w:val="2"/>
        </w:numPr>
        <w:spacing w:after="90" w:line="264"/>
      </w:pPr>
      <w:r>
        <w:rPr>
          <w:rFonts w:ascii="Calibri" w:cs="Calibri" w:eastAsia="Calibri" w:hAnsi="Calibri"/>
          <w:color w:val="222222"/>
          <w:sz w:val="22"/>
          <w:szCs w:val="22"/>
        </w:rPr>
        <w:t xml:space="preserve">Decision Engine (“Is the food edible?”) — routes the item down one of two paths:</w:t>
      </w:r>
    </w:p>
    <w:p>
      <w:pPr>
        <w:pStyle w:val="ListParagraph"/>
        <w:numPr>
          <w:ilvl w:val="1"/>
          <w:numId w:val="2"/>
        </w:numPr>
        <w:spacing w:after="90" w:line="264"/>
      </w:pPr>
      <w:r>
        <w:rPr>
          <w:rFonts w:ascii="Calibri" w:cs="Calibri" w:eastAsia="Calibri" w:hAnsi="Calibri"/>
          <w:color w:val="222222"/>
          <w:sz w:val="22"/>
          <w:szCs w:val="22"/>
        </w:rPr>
        <w:t xml:space="preserve">Edible route: NGO Matching &amp; Notification → NGO Acceptance → Pickup &amp; Distribution Confirmation, with confirmed collection and routing to the community.</w:t>
      </w:r>
    </w:p>
    <w:p>
      <w:pPr>
        <w:pStyle w:val="ListParagraph"/>
        <w:numPr>
          <w:ilvl w:val="1"/>
          <w:numId w:val="2"/>
        </w:numPr>
        <w:spacing w:after="90" w:line="264"/>
      </w:pPr>
      <w:r>
        <w:rPr>
          <w:rFonts w:ascii="Calibri" w:cs="Calibri" w:eastAsia="Calibri" w:hAnsi="Calibri"/>
          <w:color w:val="222222"/>
          <w:sz w:val="22"/>
          <w:szCs w:val="22"/>
        </w:rPr>
        <w:t xml:space="preserve">Spoiled route: Composting / Fertilizer Unit — unsafe or spoiled food is redirected for composting or agricultural use.</w:t>
      </w:r>
    </w:p>
    <w:p>
      <w:pPr>
        <w:pStyle w:val="Heading2"/>
        <w:spacing w:after="120" w:before="260"/>
      </w:pPr>
      <w:r>
        <w:t xml:space="preserve">3.2 Traditional Approach vs. Our Platform</w:t>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4513"/>
        <w:gridCol w:w="4513"/>
      </w:tblGrid>
      <w:tr>
        <w:trPr>
          <w:tblHeader/>
        </w:trPr>
        <w:tc>
          <w:tcPr>
            <w:tcW w:type="dxa" w:w="4513"/>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Traditional Approach</w:t>
            </w:r>
          </w:p>
        </w:tc>
        <w:tc>
          <w:tcPr>
            <w:tcW w:type="dxa" w:w="4513"/>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Our Platform</w:t>
            </w:r>
          </w:p>
        </w:tc>
      </w:tr>
      <w:tr>
        <w:tc>
          <w:tcPr>
            <w:tcW w:type="dxa" w:w="45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Manual estimation of food surplus</w:t>
            </w:r>
          </w:p>
        </w:tc>
        <w:tc>
          <w:tcPr>
            <w:tcW w:type="dxa" w:w="45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AI-driven surplus prediction</w:t>
            </w:r>
          </w:p>
        </w:tc>
      </w:tr>
      <w:tr>
        <w:tc>
          <w:tcPr>
            <w:tcW w:type="dxa" w:w="45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Fragmented donation and waste handling</w:t>
            </w:r>
          </w:p>
        </w:tc>
        <w:tc>
          <w:tcPr>
            <w:tcW w:type="dxa" w:w="45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Unified edible / spoiled food routing</w:t>
            </w:r>
          </w:p>
        </w:tc>
      </w:tr>
      <w:tr>
        <w:tc>
          <w:tcPr>
            <w:tcW w:type="dxa" w:w="45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Manual NGO coordination</w:t>
            </w:r>
          </w:p>
        </w:tc>
        <w:tc>
          <w:tcPr>
            <w:tcW w:type="dxa" w:w="45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Smart, geospatial NGO matching</w:t>
            </w:r>
          </w:p>
        </w:tc>
      </w:tr>
      <w:tr>
        <w:tc>
          <w:tcPr>
            <w:tcW w:type="dxa" w:w="45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Spoiled food mixed with general waste</w:t>
            </w:r>
          </w:p>
        </w:tc>
        <w:tc>
          <w:tcPr>
            <w:tcW w:type="dxa" w:w="45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Automated composting &amp; fertilizer route</w:t>
            </w:r>
          </w:p>
        </w:tc>
      </w:tr>
    </w:tbl>
    <w:p>
      <w:pPr>
        <w:spacing w:after="240" w:before="60"/>
      </w:pPr>
      <w:r>
        <w:rPr>
          <w:rFonts w:ascii="Calibri" w:cs="Calibri" w:eastAsia="Calibri" w:hAnsi="Calibri"/>
          <w:i/>
          <w:iCs/>
          <w:color w:val="666666"/>
          <w:sz w:val="18"/>
          <w:szCs w:val="18"/>
        </w:rPr>
        <w:t xml:space="preserve">Table 1: How the platform replaces manual, fragmented processes with automated, data-driven ones.</w:t>
      </w:r>
    </w:p>
    <w:p>
      <w:pPr>
        <w:pStyle w:val="Heading1"/>
        <w:pBdr>
          <w:bottom w:val="single" w:color="1E2761" w:sz="6" w:space="4"/>
        </w:pBdr>
        <w:spacing w:after="160" w:before="360"/>
      </w:pPr>
      <w:r>
        <w:t xml:space="preserve">4. Technical Approach</w:t>
      </w:r>
    </w:p>
    <w:p>
      <w:pPr>
        <w:pStyle w:val="Heading2"/>
        <w:spacing w:after="120" w:before="260"/>
      </w:pPr>
      <w:r>
        <w:t xml:space="preserve">4.1 Technology Stack</w:t>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2400"/>
        <w:gridCol w:w="6626"/>
      </w:tblGrid>
      <w:tr>
        <w:trPr>
          <w:tblHeader/>
        </w:trPr>
        <w:tc>
          <w:tcPr>
            <w:tcW w:type="dxa" w:w="2400"/>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Layer</w:t>
            </w:r>
          </w:p>
        </w:tc>
        <w:tc>
          <w:tcPr>
            <w:tcW w:type="dxa" w:w="6626"/>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Technologies</w:t>
            </w:r>
          </w:p>
        </w:tc>
      </w:tr>
      <w:tr>
        <w:tc>
          <w:tcPr>
            <w:tcW w:type="dxa" w:w="24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Front End</w:t>
            </w:r>
          </w:p>
        </w:tc>
        <w:tc>
          <w:tcPr>
            <w:tcW w:type="dxa" w:w="66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Flutter and Dart — Android and iOS apps for donors (kitchens), volunteers, and recipients (NGOs)</w:t>
            </w:r>
          </w:p>
        </w:tc>
      </w:tr>
      <w:tr>
        <w:tc>
          <w:tcPr>
            <w:tcW w:type="dxa" w:w="24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Backend &amp; Prototype</w:t>
            </w:r>
          </w:p>
        </w:tc>
        <w:tc>
          <w:tcPr>
            <w:tcW w:type="dxa" w:w="66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Node.js server; Python processing layer (PyTorch, TensorFlow, OpenCV, Keras)</w:t>
            </w:r>
          </w:p>
        </w:tc>
      </w:tr>
      <w:tr>
        <w:tc>
          <w:tcPr>
            <w:tcW w:type="dxa" w:w="24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Data Layer</w:t>
            </w:r>
          </w:p>
        </w:tc>
        <w:tc>
          <w:tcPr>
            <w:tcW w:type="dxa" w:w="66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MongoDB (food &amp; logistics data lake)</w:t>
            </w:r>
          </w:p>
        </w:tc>
      </w:tr>
      <w:tr>
        <w:tc>
          <w:tcPr>
            <w:tcW w:type="dxa" w:w="24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Geospatial / Logistics</w:t>
            </w:r>
          </w:p>
        </w:tc>
        <w:tc>
          <w:tcPr>
            <w:tcW w:type="dxa" w:w="66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Logistics APIs, Maps API, PostgreSQL with PostGIS for spatial matching</w:t>
            </w:r>
          </w:p>
        </w:tc>
      </w:tr>
      <w:tr>
        <w:tc>
          <w:tcPr>
            <w:tcW w:type="dxa" w:w="24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Transparency</w:t>
            </w:r>
          </w:p>
        </w:tc>
        <w:tc>
          <w:tcPr>
            <w:tcW w:type="dxa" w:w="66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Solidity-based smart contracts for an immutable audit trail</w:t>
            </w:r>
          </w:p>
        </w:tc>
      </w:tr>
      <w:tr>
        <w:tc>
          <w:tcPr>
            <w:tcW w:type="dxa" w:w="24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Automation</w:t>
            </w:r>
          </w:p>
        </w:tc>
        <w:tc>
          <w:tcPr>
            <w:tcW w:type="dxa" w:w="66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n8n webhooks for time-boxed automation (e.g. NGO claim windows)</w:t>
            </w:r>
          </w:p>
        </w:tc>
      </w:tr>
      <w:tr>
        <w:tc>
          <w:tcPr>
            <w:tcW w:type="dxa" w:w="24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Version Control</w:t>
            </w:r>
          </w:p>
        </w:tc>
        <w:tc>
          <w:tcPr>
            <w:tcW w:type="dxa" w:w="66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Git</w:t>
            </w:r>
          </w:p>
        </w:tc>
      </w:tr>
    </w:tbl>
    <w:p>
      <w:pPr>
        <w:spacing w:after="240" w:before="60"/>
      </w:pPr>
      <w:r>
        <w:rPr>
          <w:rFonts w:ascii="Calibri" w:cs="Calibri" w:eastAsia="Calibri" w:hAnsi="Calibri"/>
          <w:i/>
          <w:iCs/>
          <w:color w:val="666666"/>
          <w:sz w:val="18"/>
          <w:szCs w:val="18"/>
        </w:rPr>
        <w:t xml:space="preserve">Table 2: Full technology stack across the front end, backend, data, and automation layers.</w:t>
      </w:r>
    </w:p>
    <w:p>
      <w:pPr>
        <w:pStyle w:val="Heading2"/>
        <w:spacing w:after="120" w:before="260"/>
      </w:pPr>
      <w:r>
        <w:t xml:space="preserve">4.2 System Architecture</w:t>
      </w:r>
    </w:p>
    <w:p>
      <w:pPr>
        <w:spacing w:after="160" w:line="276"/>
      </w:pPr>
      <w:r>
        <w:rPr>
          <w:rFonts w:ascii="Calibri" w:cs="Calibri" w:eastAsia="Calibri" w:hAnsi="Calibri"/>
          <w:b w:val="false"/>
          <w:bCs w:val="false"/>
          <w:i w:val="false"/>
          <w:iCs w:val="false"/>
          <w:color w:val="222222"/>
          <w:sz w:val="22"/>
          <w:szCs w:val="22"/>
        </w:rPr>
        <w:t xml:space="preserve">User-facing apps (Flutter/Dart) for donors and beneficiaries communicate with a Node.js server, which reads and writes to a MongoDB data lake holding food and logistics data. Three downstream integrations sit on top of this core:</w:t>
      </w:r>
    </w:p>
    <w:p>
      <w:pPr>
        <w:pStyle w:val="ListParagraph"/>
        <w:numPr>
          <w:ilvl w:val="0"/>
          <w:numId w:val="2"/>
        </w:numPr>
        <w:spacing w:after="90" w:line="264"/>
      </w:pPr>
      <w:r>
        <w:rPr>
          <w:rFonts w:ascii="Calibri" w:cs="Calibri" w:eastAsia="Calibri" w:hAnsi="Calibri"/>
          <w:color w:val="222222"/>
          <w:sz w:val="22"/>
          <w:szCs w:val="22"/>
        </w:rPr>
        <w:t xml:space="preserve">Government Compliance and Audit Reports — a dedicated API that can be integrated directly into government systems for regulatory reporting.</w:t>
      </w:r>
    </w:p>
    <w:p>
      <w:pPr>
        <w:pStyle w:val="ListParagraph"/>
        <w:numPr>
          <w:ilvl w:val="0"/>
          <w:numId w:val="2"/>
        </w:numPr>
        <w:spacing w:after="90" w:line="264"/>
      </w:pPr>
      <w:r>
        <w:rPr>
          <w:rFonts w:ascii="Calibri" w:cs="Calibri" w:eastAsia="Calibri" w:hAnsi="Calibri"/>
          <w:color w:val="222222"/>
          <w:sz w:val="22"/>
          <w:szCs w:val="22"/>
        </w:rPr>
        <w:t xml:space="preserve">Donor and NGO Redistribution Apps — end-user, multi-platform mobile applications for donors and NGOs.</w:t>
      </w:r>
    </w:p>
    <w:p>
      <w:pPr>
        <w:pStyle w:val="ListParagraph"/>
        <w:numPr>
          <w:ilvl w:val="0"/>
          <w:numId w:val="2"/>
        </w:numPr>
        <w:spacing w:after="90" w:line="264"/>
      </w:pPr>
      <w:r>
        <w:rPr>
          <w:rFonts w:ascii="Calibri" w:cs="Calibri" w:eastAsia="Calibri" w:hAnsi="Calibri"/>
          <w:color w:val="222222"/>
          <w:sz w:val="22"/>
          <w:szCs w:val="22"/>
        </w:rPr>
        <w:t xml:space="preserve">Donor Dashboards and Web Portal — a browser-based extension and dashboard for donor organizations.</w:t>
      </w:r>
    </w:p>
    <w:p>
      <w:pPr>
        <w:pStyle w:val="Heading2"/>
        <w:spacing w:after="120" w:before="260"/>
      </w:pPr>
      <w:r>
        <w:t xml:space="preserve">4.3 Two-Stage AI-Driven Waste Prevention &amp; Logistics Model</w:t>
      </w:r>
    </w:p>
    <w:p>
      <w:pPr>
        <w:pStyle w:val="Heading3"/>
        <w:spacing w:after="100" w:before="200"/>
      </w:pPr>
      <w:r>
        <w:t xml:space="preserve">Stage 1 — Waste Prevention (Plate Count Prediction)</w:t>
      </w:r>
    </w:p>
    <w:p>
      <w:pPr>
        <w:spacing w:after="160" w:line="276"/>
      </w:pPr>
      <w:r>
        <w:rPr>
          <w:rFonts w:ascii="Calibri" w:cs="Calibri" w:eastAsia="Calibri" w:hAnsi="Calibri"/>
          <w:b w:val="false"/>
          <w:bCs w:val="false"/>
          <w:i w:val="false"/>
          <w:iCs w:val="false"/>
          <w:color w:val="222222"/>
          <w:sz w:val="22"/>
          <w:szCs w:val="22"/>
        </w:rPr>
        <w:t xml:space="preserve">Using calendar, weather, and booking data as input, an AI demand-forecast model predicts total daily plates required, producing a predicted daily plate requirement as its Stage 1 output. A decision check (“Extra or spoiled food detected?”) determines whether Stage 2 is triggered.</w:t>
      </w:r>
    </w:p>
    <w:p>
      <w:pPr>
        <w:pStyle w:val="Heading3"/>
        <w:spacing w:after="100" w:before="200"/>
      </w:pPr>
      <w:r>
        <w:t xml:space="preserve">Stage 2 — Extra &amp; Spoiled Food Redistribution</w:t>
      </w:r>
    </w:p>
    <w:p>
      <w:pPr>
        <w:spacing w:after="160" w:line="276"/>
      </w:pPr>
      <w:r>
        <w:rPr>
          <w:rFonts w:ascii="Calibri" w:cs="Calibri" w:eastAsia="Calibri" w:hAnsi="Calibri"/>
          <w:b w:val="false"/>
          <w:bCs w:val="false"/>
          <w:i w:val="false"/>
          <w:iCs w:val="false"/>
          <w:color w:val="222222"/>
          <w:sz w:val="22"/>
          <w:szCs w:val="22"/>
        </w:rPr>
        <w:t xml:space="preserve">When surplus or spoiled food is detected, three parallel sub-systems run:</w:t>
      </w:r>
    </w:p>
    <w:p>
      <w:pPr>
        <w:pStyle w:val="ListParagraph"/>
        <w:numPr>
          <w:ilvl w:val="0"/>
          <w:numId w:val="2"/>
        </w:numPr>
        <w:spacing w:after="90" w:line="264"/>
      </w:pPr>
      <w:r>
        <w:rPr>
          <w:rFonts w:ascii="Calibri" w:cs="Calibri" w:eastAsia="Calibri" w:hAnsi="Calibri"/>
          <w:color w:val="222222"/>
          <w:sz w:val="22"/>
          <w:szCs w:val="22"/>
        </w:rPr>
        <w:t xml:space="preserve">Preprocessing &amp; Quality Check — parses incoming reports, verifies protocols, and runs food/face detection and cropping steps for image-based quality checks.</w:t>
      </w:r>
    </w:p>
    <w:p>
      <w:pPr>
        <w:pStyle w:val="ListParagraph"/>
        <w:numPr>
          <w:ilvl w:val="0"/>
          <w:numId w:val="2"/>
        </w:numPr>
        <w:spacing w:after="90" w:line="264"/>
      </w:pPr>
      <w:r>
        <w:rPr>
          <w:rFonts w:ascii="Calibri" w:cs="Calibri" w:eastAsia="Calibri" w:hAnsi="Calibri"/>
          <w:color w:val="222222"/>
          <w:sz w:val="22"/>
          <w:szCs w:val="22"/>
        </w:rPr>
        <w:t xml:space="preserve">Model Evaluation — confusion matrix, performance metrics, and error analysis feed into an export routing plan, which is deployed and loaded as the trained model for production use.</w:t>
      </w:r>
    </w:p>
    <w:p>
      <w:pPr>
        <w:pStyle w:val="ListParagraph"/>
        <w:numPr>
          <w:ilvl w:val="0"/>
          <w:numId w:val="2"/>
        </w:numPr>
        <w:spacing w:after="90" w:line="264"/>
      </w:pPr>
      <w:r>
        <w:rPr>
          <w:rFonts w:ascii="Calibri" w:cs="Calibri" w:eastAsia="Calibri" w:hAnsi="Calibri"/>
          <w:color w:val="222222"/>
          <w:sz w:val="22"/>
          <w:szCs w:val="22"/>
        </w:rPr>
        <w:t xml:space="preserve">Logistics Optimization &amp; Predictive Model — an adversarial network and dynamic routing model work alongside a perishable-decay estimator, a donor-reliability score, a delivery ETA forecast, and audio-visual anomaly detection to decide the optimal, safest route for each item.</w:t>
      </w:r>
    </w:p>
    <w:p>
      <w:pPr>
        <w:spacing w:after="160" w:line="276"/>
      </w:pPr>
      <w:r>
        <w:rPr>
          <w:rFonts w:ascii="Calibri" w:cs="Calibri" w:eastAsia="Calibri" w:hAnsi="Calibri"/>
          <w:b w:val="false"/>
          <w:bCs w:val="false"/>
          <w:i w:val="false"/>
          <w:iCs w:val="false"/>
          <w:color w:val="222222"/>
          <w:sz w:val="22"/>
          <w:szCs w:val="22"/>
        </w:rPr>
        <w:t xml:space="preserve">The KEY on the architecture diagram distinguishes a Prediction Flow (dashed) from the Training Flow / Process Flow (solid) that continuously improves the models over time.</w:t>
      </w:r>
    </w:p>
    <w:p>
      <w:pPr>
        <w:pStyle w:val="Heading2"/>
        <w:spacing w:after="120" w:before="260"/>
      </w:pPr>
      <w:r>
        <w:t xml:space="preserve">4.4 Performance Benchmarks</w:t>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2200"/>
        <w:gridCol w:w="4226"/>
      </w:tblGrid>
      <w:tr>
        <w:trPr>
          <w:tblHeader/>
        </w:trPr>
        <w:tc>
          <w:tcPr>
            <w:tcW w:type="dxa" w:w="2600"/>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Metric</w:t>
            </w:r>
          </w:p>
        </w:tc>
        <w:tc>
          <w:tcPr>
            <w:tcW w:type="dxa" w:w="2200"/>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Target</w:t>
            </w:r>
          </w:p>
        </w:tc>
        <w:tc>
          <w:tcPr>
            <w:tcW w:type="dxa" w:w="4226"/>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Method</w:t>
            </w:r>
          </w:p>
        </w:tc>
      </w:tr>
      <w:tr>
        <w:tc>
          <w:tcPr>
            <w:tcW w:type="dxa" w:w="26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Demand model accuracy</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&gt; 92%</w:t>
            </w:r>
          </w:p>
        </w:tc>
        <w:tc>
          <w:tcPr>
            <w:tcW w:type="dxa" w:w="42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XGBoost / LSTM trained on weather, footfall, and POS logs</w:t>
            </w:r>
          </w:p>
        </w:tc>
      </w:tr>
      <w:tr>
        <w:tc>
          <w:tcPr>
            <w:tcW w:type="dxa" w:w="26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Matching latency</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&lt; 200 ms</w:t>
            </w:r>
          </w:p>
        </w:tc>
        <w:tc>
          <w:tcPr>
            <w:tcW w:type="dxa" w:w="42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Spatial query execution via PostgreSQL PostGIS indexing</w:t>
            </w:r>
          </w:p>
        </w:tc>
      </w:tr>
      <w:tr>
        <w:tc>
          <w:tcPr>
            <w:tcW w:type="dxa" w:w="26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Automation timeout</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10-minute claim window</w:t>
            </w:r>
          </w:p>
        </w:tc>
        <w:tc>
          <w:tcPr>
            <w:tcW w:type="dxa" w:w="42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n8n webhooks; auto-reroutes from NGO to the biogas pipeline if unclaimed</w:t>
            </w:r>
          </w:p>
        </w:tc>
      </w:tr>
      <w:tr>
        <w:tc>
          <w:tcPr>
            <w:tcW w:type="dxa" w:w="26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Digital audit trail</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100% FSSAI compliance</w:t>
            </w:r>
          </w:p>
        </w:tc>
        <w:tc>
          <w:tcPr>
            <w:tcW w:type="dxa" w:w="42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Dynamic, time-stamped QR-code handoffs at every transfer</w:t>
            </w:r>
          </w:p>
        </w:tc>
      </w:tr>
    </w:tbl>
    <w:p>
      <w:pPr>
        <w:spacing w:after="240" w:before="60"/>
      </w:pPr>
      <w:r>
        <w:rPr>
          <w:rFonts w:ascii="Calibri" w:cs="Calibri" w:eastAsia="Calibri" w:hAnsi="Calibri"/>
          <w:i/>
          <w:iCs/>
          <w:color w:val="666666"/>
          <w:sz w:val="18"/>
          <w:szCs w:val="18"/>
        </w:rPr>
        <w:t xml:space="preserve">Table 3: Target performance benchmarks for the core AI and logistics systems.</w:t>
      </w:r>
    </w:p>
    <w:p>
      <w:pPr>
        <w:pStyle w:val="Heading1"/>
        <w:pBdr>
          <w:bottom w:val="single" w:color="1E2761" w:sz="6" w:space="4"/>
        </w:pBdr>
        <w:spacing w:after="160" w:before="360"/>
      </w:pPr>
      <w:r>
        <w:t xml:space="preserve">5. Feasibility, Viability &amp; Risk Mitigation</w:t>
      </w:r>
    </w:p>
    <w:p>
      <w:pPr>
        <w:pStyle w:val="Heading2"/>
        <w:spacing w:after="120" w:before="260"/>
      </w:pPr>
      <w:r>
        <w:t xml:space="preserve">5.1 Risk Assessment &amp; Mitigation</w:t>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4513"/>
        <w:gridCol w:w="4513"/>
      </w:tblGrid>
      <w:tr>
        <w:trPr>
          <w:tblHeader/>
        </w:trPr>
        <w:tc>
          <w:tcPr>
            <w:tcW w:type="dxa" w:w="4513"/>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Key Risk</w:t>
            </w:r>
          </w:p>
        </w:tc>
        <w:tc>
          <w:tcPr>
            <w:tcW w:type="dxa" w:w="4513"/>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Mitigation</w:t>
            </w:r>
          </w:p>
        </w:tc>
      </w:tr>
      <w:tr>
        <w:tc>
          <w:tcPr>
            <w:tcW w:type="dxa" w:w="45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Limited historical data — initial predictions may be less accurate.</w:t>
            </w:r>
          </w:p>
        </w:tc>
        <w:tc>
          <w:tcPr>
            <w:tcW w:type="dxa" w:w="45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Rule-based baseline model, refined by AI as more data is collected.</w:t>
            </w:r>
          </w:p>
        </w:tc>
      </w:tr>
      <w:tr>
        <w:tc>
          <w:tcPr>
            <w:tcW w:type="dxa" w:w="45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Manual entry errors — incorrect or incomplete information from kitchens.</w:t>
            </w:r>
          </w:p>
        </w:tc>
        <w:tc>
          <w:tcPr>
            <w:tcW w:type="dxa" w:w="45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Quick-entry forms with input validation and reminders.</w:t>
            </w:r>
          </w:p>
        </w:tc>
      </w:tr>
      <w:tr>
        <w:tc>
          <w:tcPr>
            <w:tcW w:type="dxa" w:w="45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NGO trust &amp; delayed pickup — unverified NGOs and pickup delays.</w:t>
            </w:r>
          </w:p>
        </w:tc>
        <w:tc>
          <w:tcPr>
            <w:tcW w:type="dxa" w:w="45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Verified NGO onboarding plus SLA-bound pickup windows.</w:t>
            </w:r>
          </w:p>
        </w:tc>
      </w:tr>
    </w:tbl>
    <w:p>
      <w:pPr>
        <w:spacing w:after="240" w:before="60"/>
      </w:pPr>
      <w:r>
        <w:rPr>
          <w:rFonts w:ascii="Calibri" w:cs="Calibri" w:eastAsia="Calibri" w:hAnsi="Calibri"/>
          <w:i/>
          <w:iCs/>
          <w:color w:val="666666"/>
          <w:sz w:val="18"/>
          <w:szCs w:val="18"/>
        </w:rPr>
        <w:t xml:space="preserve">Table 4: Key operational risks identified at the design stage and how the platform mitigates each.</w:t>
      </w:r>
    </w:p>
    <w:p>
      <w:pPr>
        <w:pStyle w:val="Heading2"/>
        <w:spacing w:after="120" w:before="260"/>
      </w:pPr>
      <w:r>
        <w:t xml:space="preserve">5.2 Technical Feasibility</w:t>
      </w:r>
    </w:p>
    <w:p>
      <w:pPr>
        <w:spacing w:after="160" w:line="276"/>
      </w:pPr>
      <w:r>
        <w:rPr>
          <w:rFonts w:ascii="Calibri" w:cs="Calibri" w:eastAsia="Calibri" w:hAnsi="Calibri"/>
          <w:b w:val="false"/>
          <w:bCs w:val="false"/>
          <w:i w:val="false"/>
          <w:iCs w:val="false"/>
          <w:color w:val="222222"/>
          <w:sz w:val="22"/>
          <w:szCs w:val="22"/>
        </w:rPr>
        <w:t xml:space="preserve">The platform is built on a right-sized, well-understood technology stack chosen specifically for scalability and speed of delivery:</w:t>
      </w:r>
    </w:p>
    <w:p>
      <w:pPr>
        <w:pStyle w:val="ListParagraph"/>
        <w:numPr>
          <w:ilvl w:val="0"/>
          <w:numId w:val="2"/>
        </w:numPr>
        <w:spacing w:after="90" w:line="264"/>
      </w:pPr>
      <w:r>
        <w:rPr>
          <w:rFonts w:ascii="Calibri" w:cs="Calibri" w:eastAsia="Calibri" w:hAnsi="Calibri"/>
          <w:color w:val="222222"/>
          <w:sz w:val="22"/>
          <w:szCs w:val="22"/>
        </w:rPr>
        <w:t xml:space="preserve">MERN Stack — React, Node.js, Express, MongoDB for full-stack development.</w:t>
      </w:r>
    </w:p>
    <w:p>
      <w:pPr>
        <w:pStyle w:val="ListParagraph"/>
        <w:numPr>
          <w:ilvl w:val="0"/>
          <w:numId w:val="2"/>
        </w:numPr>
        <w:spacing w:after="90" w:line="264"/>
      </w:pPr>
      <w:r>
        <w:rPr>
          <w:rFonts w:ascii="Calibri" w:cs="Calibri" w:eastAsia="Calibri" w:hAnsi="Calibri"/>
          <w:color w:val="222222"/>
          <w:sz w:val="22"/>
          <w:szCs w:val="22"/>
        </w:rPr>
        <w:t xml:space="preserve">AI Integration — smart decision-making and prediction models layered on top of the core stack.</w:t>
      </w:r>
    </w:p>
    <w:p>
      <w:pPr>
        <w:pStyle w:val="ListParagraph"/>
        <w:numPr>
          <w:ilvl w:val="0"/>
          <w:numId w:val="2"/>
        </w:numPr>
        <w:spacing w:after="90" w:line="264"/>
      </w:pPr>
      <w:r>
        <w:rPr>
          <w:rFonts w:ascii="Calibri" w:cs="Calibri" w:eastAsia="Calibri" w:hAnsi="Calibri"/>
          <w:color w:val="222222"/>
          <w:sz w:val="22"/>
          <w:szCs w:val="22"/>
        </w:rPr>
        <w:t xml:space="preserve">Scalable Architecture — a modular design built for future growth in kitchens, cities, and data volume.</w:t>
      </w:r>
    </w:p>
    <w:p>
      <w:pPr>
        <w:pStyle w:val="ListParagraph"/>
        <w:numPr>
          <w:ilvl w:val="0"/>
          <w:numId w:val="2"/>
        </w:numPr>
        <w:spacing w:after="90" w:line="264"/>
      </w:pPr>
      <w:r>
        <w:rPr>
          <w:rFonts w:ascii="Calibri" w:cs="Calibri" w:eastAsia="Calibri" w:hAnsi="Calibri"/>
          <w:color w:val="222222"/>
          <w:sz w:val="22"/>
          <w:szCs w:val="22"/>
        </w:rPr>
        <w:t xml:space="preserve">Security &amp; Data Protection — authentication, data validation, and secure API handling throughout.</w:t>
      </w:r>
    </w:p>
    <w:p>
      <w:pPr>
        <w:pStyle w:val="Heading2"/>
        <w:spacing w:after="120" w:before="260"/>
      </w:pPr>
      <w:r>
        <w:t xml:space="preserve">5.3 Resource Requirements</w:t>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2300"/>
        <w:gridCol w:w="3800"/>
        <w:gridCol w:w="2926"/>
      </w:tblGrid>
      <w:tr>
        <w:trPr>
          <w:tblHeader/>
        </w:trPr>
        <w:tc>
          <w:tcPr>
            <w:tcW w:type="dxa" w:w="2300"/>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Category</w:t>
            </w:r>
          </w:p>
        </w:tc>
        <w:tc>
          <w:tcPr>
            <w:tcW w:type="dxa" w:w="3800"/>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Requirement</w:t>
            </w:r>
          </w:p>
        </w:tc>
        <w:tc>
          <w:tcPr>
            <w:tcW w:type="dxa" w:w="2926"/>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Approach</w:t>
            </w:r>
          </w:p>
        </w:tc>
      </w:tr>
      <w:tr>
        <w:tc>
          <w:tcPr>
            <w:tcW w:type="dxa" w:w="23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Development Team</w:t>
            </w:r>
          </w:p>
        </w:tc>
        <w:tc>
          <w:tcPr>
            <w:tcW w:type="dxa" w:w="38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Frontend, backend, and AI/ML engineers</w:t>
            </w:r>
          </w:p>
        </w:tc>
        <w:tc>
          <w:tcPr>
            <w:tcW w:type="dxa" w:w="29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Leverage existing team skills</w:t>
            </w:r>
          </w:p>
        </w:tc>
      </w:tr>
      <w:tr>
        <w:tc>
          <w:tcPr>
            <w:tcW w:type="dxa" w:w="23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AI APIs &amp; Tools</w:t>
            </w:r>
          </w:p>
        </w:tc>
        <w:tc>
          <w:tcPr>
            <w:tcW w:type="dxa" w:w="38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Open-source models and reliable third-party APIs</w:t>
            </w:r>
          </w:p>
        </w:tc>
        <w:tc>
          <w:tcPr>
            <w:tcW w:type="dxa" w:w="29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Leverage free / open-source resources</w:t>
            </w:r>
          </w:p>
        </w:tc>
      </w:tr>
      <w:tr>
        <w:tc>
          <w:tcPr>
            <w:tcW w:type="dxa" w:w="23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Infrastructure</w:t>
            </w:r>
          </w:p>
        </w:tc>
        <w:tc>
          <w:tcPr>
            <w:tcW w:type="dxa" w:w="38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Cloud platform for hosting and storage</w:t>
            </w:r>
          </w:p>
        </w:tc>
        <w:tc>
          <w:tcPr>
            <w:tcW w:type="dxa" w:w="29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Cost-effective cloud services</w:t>
            </w:r>
          </w:p>
        </w:tc>
      </w:tr>
      <w:tr>
        <w:tc>
          <w:tcPr>
            <w:tcW w:type="dxa" w:w="23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Tools &amp; Libraries</w:t>
            </w:r>
          </w:p>
        </w:tc>
        <w:tc>
          <w:tcPr>
            <w:tcW w:type="dxa" w:w="38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Git, VS Code, MongoDB, and related tooling</w:t>
            </w:r>
          </w:p>
        </w:tc>
        <w:tc>
          <w:tcPr>
            <w:tcW w:type="dxa" w:w="29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Industry-standard open-source tools</w:t>
            </w:r>
          </w:p>
        </w:tc>
      </w:tr>
    </w:tbl>
    <w:p>
      <w:pPr>
        <w:spacing w:after="240" w:before="60"/>
      </w:pPr>
      <w:r>
        <w:rPr>
          <w:rFonts w:ascii="Calibri" w:cs="Calibri" w:eastAsia="Calibri" w:hAnsi="Calibri"/>
          <w:i/>
          <w:iCs/>
          <w:color w:val="666666"/>
          <w:sz w:val="18"/>
          <w:szCs w:val="18"/>
        </w:rPr>
        <w:t xml:space="preserve">Table 5: Resourcing plan across team, tools, and infrastructure — deliberately lean and open-source-first.</w:t>
      </w:r>
    </w:p>
    <w:p>
      <w:pPr>
        <w:pStyle w:val="Heading2"/>
        <w:spacing w:after="120" w:before="260"/>
      </w:pPr>
      <w:r>
        <w:t xml:space="preserve">5.4 Economic Viability</w:t>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5200"/>
        <w:gridCol w:w="3826"/>
      </w:tblGrid>
      <w:tr>
        <w:trPr>
          <w:tblHeader/>
        </w:trPr>
        <w:tc>
          <w:tcPr>
            <w:tcW w:type="dxa" w:w="5200"/>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Lever</w:t>
            </w:r>
          </w:p>
        </w:tc>
        <w:tc>
          <w:tcPr>
            <w:tcW w:type="dxa" w:w="3826"/>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Benefit</w:t>
            </w:r>
          </w:p>
        </w:tc>
      </w:tr>
      <w:tr>
        <w:tc>
          <w:tcPr>
            <w:tcW w:type="dxa" w:w="5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Cost Savings — lower waste-disposal and logistics inefficiencies</w:t>
            </w:r>
          </w:p>
        </w:tc>
        <w:tc>
          <w:tcPr>
            <w:tcW w:type="dxa" w:w="38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Reduced operational costs for institutions and NGOs</w:t>
            </w:r>
          </w:p>
        </w:tc>
      </w:tr>
      <w:tr>
        <w:tc>
          <w:tcPr>
            <w:tcW w:type="dxa" w:w="5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Revenue Streams — compost / fertilizer marketplace for organic waste</w:t>
            </w:r>
          </w:p>
        </w:tc>
        <w:tc>
          <w:tcPr>
            <w:tcW w:type="dxa" w:w="38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Sale of compost, fertilizer, and by-products</w:t>
            </w:r>
          </w:p>
        </w:tc>
      </w:tr>
      <w:tr>
        <w:tc>
          <w:tcPr>
            <w:tcW w:type="dxa" w:w="5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Subscription Plans — institutional &amp; NGO SaaS services</w:t>
            </w:r>
          </w:p>
        </w:tc>
        <w:tc>
          <w:tcPr>
            <w:tcW w:type="dxa" w:w="38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Recurring revenue model</w:t>
            </w:r>
          </w:p>
        </w:tc>
      </w:tr>
      <w:tr>
        <w:tc>
          <w:tcPr>
            <w:tcW w:type="dxa" w:w="5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Funding Support — CSR, government grants &amp; green initiatives</w:t>
            </w:r>
          </w:p>
        </w:tc>
        <w:tc>
          <w:tcPr>
            <w:tcW w:type="dxa" w:w="38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Non-dilutive support for long-term growth</w:t>
            </w:r>
          </w:p>
        </w:tc>
      </w:tr>
    </w:tbl>
    <w:p>
      <w:pPr>
        <w:spacing w:after="240" w:before="60"/>
      </w:pPr>
      <w:r>
        <w:rPr>
          <w:rFonts w:ascii="Calibri" w:cs="Calibri" w:eastAsia="Calibri" w:hAnsi="Calibri"/>
          <w:i/>
          <w:iCs/>
          <w:color w:val="666666"/>
          <w:sz w:val="18"/>
          <w:szCs w:val="18"/>
        </w:rPr>
        <w:t xml:space="preserve">Table 6: How the platform is cost-efficient, sustainable, and impact-driven at the same time.</w:t>
      </w:r>
    </w:p>
    <w:p>
      <w:pPr>
        <w:pStyle w:val="Heading2"/>
        <w:spacing w:after="120" w:before="260"/>
      </w:pPr>
      <w:r>
        <w:t xml:space="preserve">5.5 Business Potential</w:t>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5200"/>
        <w:gridCol w:w="3826"/>
      </w:tblGrid>
      <w:tr>
        <w:trPr>
          <w:tblHeader/>
        </w:trPr>
        <w:tc>
          <w:tcPr>
            <w:tcW w:type="dxa" w:w="5200"/>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Growth Lever</w:t>
            </w:r>
          </w:p>
        </w:tc>
        <w:tc>
          <w:tcPr>
            <w:tcW w:type="dxa" w:w="3826"/>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Outcome</w:t>
            </w:r>
          </w:p>
        </w:tc>
      </w:tr>
      <w:tr>
        <w:tc>
          <w:tcPr>
            <w:tcW w:type="dxa" w:w="5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Institutional Expansion — schools, colleges, offices, hospitals &amp; more</w:t>
            </w:r>
          </w:p>
        </w:tc>
        <w:tc>
          <w:tcPr>
            <w:tcW w:type="dxa" w:w="38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Wider market reach</w:t>
            </w:r>
          </w:p>
        </w:tc>
      </w:tr>
      <w:tr>
        <w:tc>
          <w:tcPr>
            <w:tcW w:type="dxa" w:w="5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Geographic Expansion — from local to regional and national level</w:t>
            </w:r>
          </w:p>
        </w:tc>
        <w:tc>
          <w:tcPr>
            <w:tcW w:type="dxa" w:w="38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Greater impact</w:t>
            </w:r>
          </w:p>
        </w:tc>
      </w:tr>
      <w:tr>
        <w:tc>
          <w:tcPr>
            <w:tcW w:type="dxa" w:w="5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Partnerships &amp; Collaborations — NGOs, government, private sector</w:t>
            </w:r>
          </w:p>
        </w:tc>
        <w:tc>
          <w:tcPr>
            <w:tcW w:type="dxa" w:w="38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Stronger ecosystem</w:t>
            </w:r>
          </w:p>
        </w:tc>
      </w:tr>
      <w:tr>
        <w:tc>
          <w:tcPr>
            <w:tcW w:type="dxa" w:w="5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Long-Term Revenue Growth — through services, products &amp; ecosystem partnerships</w:t>
            </w:r>
          </w:p>
        </w:tc>
        <w:tc>
          <w:tcPr>
            <w:tcW w:type="dxa" w:w="38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Sustainable model</w:t>
            </w:r>
          </w:p>
        </w:tc>
      </w:tr>
    </w:tbl>
    <w:p>
      <w:pPr>
        <w:spacing w:after="240" w:before="60"/>
      </w:pPr>
      <w:r>
        <w:rPr>
          <w:rFonts w:ascii="Calibri" w:cs="Calibri" w:eastAsia="Calibri" w:hAnsi="Calibri"/>
          <w:i/>
          <w:iCs/>
          <w:color w:val="666666"/>
          <w:sz w:val="18"/>
          <w:szCs w:val="18"/>
        </w:rPr>
        <w:t xml:space="preserve">Table 7: The platform is designed to be scalable, sustainable, and high-impact as it grows.</w:t>
      </w:r>
    </w:p>
    <w:p>
      <w:pPr>
        <w:pStyle w:val="Heading1"/>
        <w:pBdr>
          <w:bottom w:val="single" w:color="1E2761" w:sz="6" w:space="4"/>
        </w:pBdr>
        <w:spacing w:after="160" w:before="360"/>
      </w:pPr>
      <w:r>
        <w:t xml:space="preserve">6. Monetization &amp; Unit Economics</w:t>
      </w:r>
    </w:p>
    <w:p>
      <w:pPr>
        <w:spacing w:after="160" w:line="276"/>
      </w:pPr>
      <w:r>
        <w:rPr>
          <w:rFonts w:ascii="Calibri" w:cs="Calibri" w:eastAsia="Calibri" w:hAnsi="Calibri"/>
          <w:b w:val="false"/>
          <w:bCs w:val="false"/>
          <w:i w:val="false"/>
          <w:iCs w:val="false"/>
          <w:color w:val="222222"/>
          <w:sz w:val="22"/>
          <w:szCs w:val="22"/>
        </w:rPr>
        <w:t xml:space="preserve">The platform monetizes through two complementary streams: a recurring SaaS subscription paid by kitchens, and a brokerage fee on the biomass generated from spoiled waste — turning what used to be a pure cost center into a revenue-generating sustainability program.</w:t>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2400"/>
        <w:gridCol w:w="2200"/>
        <w:gridCol w:w="4426"/>
      </w:tblGrid>
      <w:tr>
        <w:trPr>
          <w:tblHeader/>
        </w:trPr>
        <w:tc>
          <w:tcPr>
            <w:tcW w:type="dxa" w:w="2400"/>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Stream</w:t>
            </w:r>
          </w:p>
        </w:tc>
        <w:tc>
          <w:tcPr>
            <w:tcW w:type="dxa" w:w="2200"/>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Figure</w:t>
            </w:r>
          </w:p>
        </w:tc>
        <w:tc>
          <w:tcPr>
            <w:tcW w:type="dxa" w:w="4426"/>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Detail</w:t>
            </w:r>
          </w:p>
        </w:tc>
      </w:tr>
      <w:tr>
        <w:tc>
          <w:tcPr>
            <w:tcW w:type="dxa" w:w="24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SaaS Pricing</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₹3,000–₹5,000 / month</w:t>
            </w:r>
          </w:p>
        </w:tc>
        <w:tc>
          <w:tcPr>
            <w:tcW w:type="dxa" w:w="44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Tiered subscription per commercial kitchen (hotels, banquets, messes, institutional canteens).</w:t>
            </w:r>
          </w:p>
        </w:tc>
      </w:tr>
      <w:tr>
        <w:tc>
          <w:tcPr>
            <w:tcW w:type="dxa" w:w="24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Customer Payback</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30-day payback</w:t>
            </w:r>
          </w:p>
        </w:tc>
        <w:tc>
          <w:tcPr>
            <w:tcW w:type="dxa" w:w="44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Kitchens save ₹15,000–₹30,000/month in food costs — the SaaS fee pays for itself within one month.</w:t>
            </w:r>
          </w:p>
        </w:tc>
      </w:tr>
      <w:tr>
        <w:tc>
          <w:tcPr>
            <w:tcW w:type="dxa" w:w="24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Biomass Brokerage Revenue</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₹1.5–₹3.0 / kg</w:t>
            </w:r>
          </w:p>
        </w:tc>
        <w:tc>
          <w:tcPr>
            <w:tcW w:type="dxa" w:w="44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Cut collected on aggregated wet waste delivered to Bio-CNG and fertilizer processors.</w:t>
            </w:r>
          </w:p>
        </w:tc>
      </w:tr>
      <w:tr>
        <w:tc>
          <w:tcPr>
            <w:tcW w:type="dxa" w:w="24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Addressable Market (SAM)</w:t>
            </w:r>
          </w:p>
        </w:tc>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40,000+ kitchens</w:t>
            </w:r>
          </w:p>
        </w:tc>
        <w:tc>
          <w:tcPr>
            <w:tcW w:type="dxa" w:w="44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Banquets &amp; hotels across Delhi NCR alone generate 5,500 tonnes of wet waste daily.</w:t>
            </w:r>
          </w:p>
        </w:tc>
      </w:tr>
    </w:tbl>
    <w:p>
      <w:pPr>
        <w:spacing w:after="240" w:before="60"/>
      </w:pPr>
      <w:r>
        <w:rPr>
          <w:rFonts w:ascii="Calibri" w:cs="Calibri" w:eastAsia="Calibri" w:hAnsi="Calibri"/>
          <w:i/>
          <w:iCs/>
          <w:color w:val="666666"/>
          <w:sz w:val="18"/>
          <w:szCs w:val="18"/>
        </w:rPr>
        <w:t xml:space="preserve">Table 8: Core monetization streams, target pricing, and the near-term addressable market.</w:t>
      </w:r>
    </w:p>
    <w:p>
      <w:pPr>
        <w:spacing w:after="90"/>
      </w:pPr>
      <w:r>
        <w:rPr>
          <w:rFonts w:ascii="Calibri" w:cs="Calibri" w:eastAsia="Calibri" w:hAnsi="Calibri"/>
          <w:b/>
          <w:bCs/>
          <w:color w:val="1E2761"/>
          <w:sz w:val="22"/>
          <w:szCs w:val="22"/>
        </w:rPr>
        <w:t xml:space="preserve">Unit economics summary:  </w:t>
      </w:r>
      <w:r>
        <w:rPr>
          <w:rFonts w:ascii="Calibri" w:cs="Calibri" w:eastAsia="Calibri" w:hAnsi="Calibri"/>
          <w:color w:val="222222"/>
          <w:sz w:val="22"/>
          <w:szCs w:val="22"/>
        </w:rPr>
        <w:t xml:space="preserve">~8x ROI on software cost, 30-day customer payback, and a zero-landfill revenue stream on spoiled waste.</w:t>
      </w:r>
    </w:p>
    <w:p>
      <w:pPr>
        <w:pStyle w:val="Heading1"/>
        <w:pBdr>
          <w:bottom w:val="single" w:color="1E2761" w:sz="6" w:space="4"/>
        </w:pBdr>
        <w:spacing w:after="160" w:before="360"/>
      </w:pPr>
      <w:r>
        <w:t xml:space="preserve">7. Impact &amp; Benefits</w:t>
      </w:r>
    </w:p>
    <w:p>
      <w:pPr>
        <w:spacing w:after="160" w:line="276"/>
      </w:pPr>
      <w:r>
        <w:rPr>
          <w:rFonts w:ascii="Calibri" w:cs="Calibri" w:eastAsia="Calibri" w:hAnsi="Calibri"/>
          <w:b w:val="false"/>
          <w:bCs w:val="false"/>
          <w:i w:val="false"/>
          <w:iCs w:val="false"/>
          <w:color w:val="222222"/>
          <w:sz w:val="22"/>
          <w:szCs w:val="22"/>
        </w:rPr>
        <w:t xml:space="preserve">The platform is a three-way solution in one system: it helps restaurants and kitchens dispose of surplus responsibly, gets NGOs quality food to distribute, and lets the environment benefit from spoiled food being recycled into fertilizer instead of landfill.</w:t>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3413"/>
        <w:gridCol w:w="3413"/>
      </w:tblGrid>
      <w:tr>
        <w:trPr>
          <w:tblHeader/>
        </w:trPr>
        <w:tc>
          <w:tcPr>
            <w:tcW w:type="dxa" w:w="2200"/>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Stakeholder</w:t>
            </w:r>
          </w:p>
        </w:tc>
        <w:tc>
          <w:tcPr>
            <w:tcW w:type="dxa" w:w="3413"/>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Impact</w:t>
            </w:r>
          </w:p>
        </w:tc>
        <w:tc>
          <w:tcPr>
            <w:tcW w:type="dxa" w:w="3413"/>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Benefit</w:t>
            </w:r>
          </w:p>
        </w:tc>
      </w:tr>
      <w:tr>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Restaurant / Kitchen</w:t>
            </w:r>
          </w:p>
        </w:tc>
        <w:tc>
          <w:tcPr>
            <w:tcW w:type="dxa" w:w="34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Digital surplus logging replaces manual estimation and feeds the AI forecasting model.</w:t>
            </w:r>
          </w:p>
        </w:tc>
        <w:tc>
          <w:tcPr>
            <w:tcW w:type="dxa" w:w="34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Cuts over-purchasing by 8–15%, saving ₹15,000–₹30,000/month per kitchen (~8x ROI).</w:t>
            </w:r>
          </w:p>
        </w:tc>
      </w:tr>
      <w:tr>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NGOs</w:t>
            </w:r>
          </w:p>
        </w:tc>
        <w:tc>
          <w:tcPr>
            <w:tcW w:type="dxa" w:w="34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Verified NGOs are matched by need, location, and capacity in under 10 minutes.</w:t>
            </w:r>
          </w:p>
        </w:tc>
        <w:tc>
          <w:tcPr>
            <w:tcW w:type="dxa" w:w="34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100+ fresh, quality-checked meals rescued daily per partner venue.</w:t>
            </w:r>
          </w:p>
        </w:tc>
      </w:tr>
      <w:tr>
        <w:tc>
          <w:tcPr>
            <w:tcW w:type="dxa" w:w="22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Environment</w:t>
            </w:r>
          </w:p>
        </w:tc>
        <w:tc>
          <w:tcPr>
            <w:tcW w:type="dxa" w:w="34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Spoiled surplus is auto-routed to Bio-CNG and BSFL farms instead of landfill.</w:t>
            </w:r>
          </w:p>
        </w:tc>
        <w:tc>
          <w:tcPr>
            <w:tcW w:type="dxa" w:w="3413"/>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1.2 tonnes of CO₂e landfill-methane offset per kitchen every year.</w:t>
            </w:r>
          </w:p>
        </w:tc>
      </w:tr>
    </w:tbl>
    <w:p>
      <w:pPr>
        <w:spacing w:after="240" w:before="60"/>
      </w:pPr>
      <w:r>
        <w:rPr>
          <w:rFonts w:ascii="Calibri" w:cs="Calibri" w:eastAsia="Calibri" w:hAnsi="Calibri"/>
          <w:i/>
          <w:iCs/>
          <w:color w:val="666666"/>
          <w:sz w:val="18"/>
          <w:szCs w:val="18"/>
        </w:rPr>
        <w:t xml:space="preserve">Table 9: The same platform delivers a distinct, measurable benefit to each of its three stakeholders.</w:t>
      </w:r>
    </w:p>
    <w:p>
      <w:pPr>
        <w:pStyle w:val="Heading2"/>
        <w:spacing w:after="120" w:before="260"/>
      </w:pPr>
      <w:r>
        <w:t xml:space="preserve">7.1 Key Performance Indicators</w:t>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2400"/>
        <w:gridCol w:w="6626"/>
      </w:tblGrid>
      <w:tr>
        <w:trPr>
          <w:tblHeader/>
        </w:trPr>
        <w:tc>
          <w:tcPr>
            <w:tcW w:type="dxa" w:w="2400"/>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Category</w:t>
            </w:r>
          </w:p>
        </w:tc>
        <w:tc>
          <w:tcPr>
            <w:tcW w:type="dxa" w:w="6626"/>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Headline Metric</w:t>
            </w:r>
          </w:p>
        </w:tc>
      </w:tr>
      <w:tr>
        <w:tc>
          <w:tcPr>
            <w:tcW w:type="dxa" w:w="24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Economic</w:t>
            </w:r>
          </w:p>
        </w:tc>
        <w:tc>
          <w:tcPr>
            <w:tcW w:type="dxa" w:w="66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₹3.6 lakh+ average annual savings per enterprise kitchen</w:t>
            </w:r>
          </w:p>
        </w:tc>
      </w:tr>
      <w:tr>
        <w:tc>
          <w:tcPr>
            <w:tcW w:type="dxa" w:w="24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Environmental</w:t>
            </w:r>
          </w:p>
        </w:tc>
        <w:tc>
          <w:tcPr>
            <w:tcW w:type="dxa" w:w="66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1.2 tonnes CO₂e landfill-methane offset per kitchen per year</w:t>
            </w:r>
          </w:p>
        </w:tc>
      </w:tr>
      <w:tr>
        <w:tc>
          <w:tcPr>
            <w:tcW w:type="dxa" w:w="24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Social</w:t>
            </w:r>
          </w:p>
        </w:tc>
        <w:tc>
          <w:tcPr>
            <w:tcW w:type="dxa" w:w="66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100+ fresh meals rescued daily per partner venue for local NGOs</w:t>
            </w:r>
          </w:p>
        </w:tc>
      </w:tr>
      <w:tr>
        <w:tc>
          <w:tcPr>
            <w:tcW w:type="dxa" w:w="24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Compliance</w:t>
            </w:r>
          </w:p>
        </w:tc>
        <w:tc>
          <w:tcPr>
            <w:tcW w:type="dxa" w:w="66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100% zero-fine compliance with Solid Waste Management (SWM 2016) regulations</w:t>
            </w:r>
          </w:p>
        </w:tc>
      </w:tr>
    </w:tbl>
    <w:p>
      <w:pPr>
        <w:spacing w:after="240" w:before="60"/>
      </w:pPr>
      <w:r>
        <w:rPr>
          <w:rFonts w:ascii="Calibri" w:cs="Calibri" w:eastAsia="Calibri" w:hAnsi="Calibri"/>
          <w:i/>
          <w:iCs/>
          <w:color w:val="666666"/>
          <w:sz w:val="18"/>
          <w:szCs w:val="18"/>
        </w:rPr>
        <w:t xml:space="preserve">Table 10: Headline KPIs across the four dimensions the platform is designed to move.</w:t>
      </w:r>
    </w:p>
    <w:p>
      <w:pPr>
        <w:pStyle w:val="Heading1"/>
        <w:pBdr>
          <w:bottom w:val="single" w:color="1E2761" w:sz="6" w:space="4"/>
        </w:pBdr>
        <w:spacing w:after="160" w:before="360"/>
      </w:pPr>
      <w:r>
        <w:t xml:space="preserve">8. Future Roadmap</w:t>
      </w:r>
    </w:p>
    <w:tbl>
      <w:tblPr>
        <w:tblW w:type="dxa" w:w="9026"/>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426"/>
      </w:tblGrid>
      <w:tr>
        <w:trPr>
          <w:tblHeader/>
        </w:trPr>
        <w:tc>
          <w:tcPr>
            <w:tcW w:type="dxa" w:w="2600"/>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Initiative</w:t>
            </w:r>
          </w:p>
        </w:tc>
        <w:tc>
          <w:tcPr>
            <w:tcW w:type="dxa" w:w="6426"/>
            <w:shd w:fill="1E2761" w:val="clear"/>
            <w:tcMar>
              <w:top w:type="dxa" w:w="100"/>
              <w:left w:type="dxa" w:w="140"/>
              <w:bottom w:type="dxa" w:w="100"/>
              <w:right w:type="dxa" w:w="140"/>
            </w:tcMar>
            <w:vAlign w:val="center"/>
          </w:tcPr>
          <w:p>
            <w:r>
              <w:rPr>
                <w:rFonts w:ascii="Calibri" w:cs="Calibri" w:eastAsia="Calibri" w:hAnsi="Calibri"/>
                <w:b/>
                <w:bCs/>
                <w:color w:val="FFFFFF"/>
                <w:sz w:val="21"/>
                <w:szCs w:val="21"/>
              </w:rPr>
              <w:t xml:space="preserve">Description</w:t>
            </w:r>
          </w:p>
        </w:tc>
      </w:tr>
      <w:tr>
        <w:tc>
          <w:tcPr>
            <w:tcW w:type="dxa" w:w="26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IoT Integration</w:t>
            </w:r>
          </w:p>
        </w:tc>
        <w:tc>
          <w:tcPr>
            <w:tcW w:type="dxa" w:w="64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Smart sensors in storage units to auto-capture temperature and spoilage data.</w:t>
            </w:r>
          </w:p>
        </w:tc>
      </w:tr>
      <w:tr>
        <w:tc>
          <w:tcPr>
            <w:tcW w:type="dxa" w:w="26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Advanced AI Models</w:t>
            </w:r>
          </w:p>
        </w:tc>
        <w:tc>
          <w:tcPr>
            <w:tcW w:type="dxa" w:w="64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Move from rule-based logic to trained ML models for demand forecasting and spoilage detection.</w:t>
            </w:r>
          </w:p>
        </w:tc>
      </w:tr>
      <w:tr>
        <w:tc>
          <w:tcPr>
            <w:tcW w:type="dxa" w:w="26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Mobile App Expansion</w:t>
            </w:r>
          </w:p>
        </w:tc>
        <w:tc>
          <w:tcPr>
            <w:tcW w:type="dxa" w:w="64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Dedicated apps for NGOs and mess staff with push notifications and offline support.</w:t>
            </w:r>
          </w:p>
        </w:tc>
      </w:tr>
      <w:tr>
        <w:tc>
          <w:tcPr>
            <w:tcW w:type="dxa" w:w="26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Pan-India Scaling</w:t>
            </w:r>
          </w:p>
        </w:tc>
        <w:tc>
          <w:tcPr>
            <w:tcW w:type="dxa" w:w="64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Expand from pilot institutions to a city-wide and state-wide network.</w:t>
            </w:r>
          </w:p>
        </w:tc>
      </w:tr>
      <w:tr>
        <w:tc>
          <w:tcPr>
            <w:tcW w:type="dxa" w:w="26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Blockchain Transparency</w:t>
            </w:r>
          </w:p>
        </w:tc>
        <w:tc>
          <w:tcPr>
            <w:tcW w:type="dxa" w:w="64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Immutable pickup and delivery logs for full traceability and trust.</w:t>
            </w:r>
          </w:p>
        </w:tc>
      </w:tr>
      <w:tr>
        <w:tc>
          <w:tcPr>
            <w:tcW w:type="dxa" w:w="26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Government Partnerships</w:t>
            </w:r>
          </w:p>
        </w:tc>
        <w:tc>
          <w:tcPr>
            <w:tcW w:type="dxa" w:w="64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Integration with schemes like Eat Right India for funding and institutional tie-ups.</w:t>
            </w:r>
          </w:p>
        </w:tc>
      </w:tr>
      <w:tr>
        <w:tc>
          <w:tcPr>
            <w:tcW w:type="dxa" w:w="2600"/>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Policy Insights</w:t>
            </w:r>
          </w:p>
        </w:tc>
        <w:tc>
          <w:tcPr>
            <w:tcW w:type="dxa" w:w="6426"/>
            <w:tcMar>
              <w:top w:type="dxa" w:w="100"/>
              <w:left w:type="dxa" w:w="140"/>
              <w:bottom w:type="dxa" w:w="100"/>
              <w:right w:type="dxa" w:w="140"/>
            </w:tcMar>
            <w:vAlign w:val="center"/>
          </w:tcPr>
          <w:p>
            <w:r>
              <w:rPr>
                <w:rFonts w:ascii="Calibri" w:cs="Calibri" w:eastAsia="Calibri" w:hAnsi="Calibri"/>
                <w:b w:val="false"/>
                <w:bCs w:val="false"/>
                <w:color w:val="222222"/>
                <w:sz w:val="21"/>
                <w:szCs w:val="21"/>
              </w:rPr>
              <w:t xml:space="preserve">Aggregated wastage analytics shared with municipal bodies to shape reduction policies.</w:t>
            </w:r>
          </w:p>
        </w:tc>
      </w:tr>
    </w:tbl>
    <w:p>
      <w:pPr>
        <w:spacing w:after="240" w:before="60"/>
      </w:pPr>
      <w:r>
        <w:rPr>
          <w:rFonts w:ascii="Calibri" w:cs="Calibri" w:eastAsia="Calibri" w:hAnsi="Calibri"/>
          <w:i/>
          <w:iCs/>
          <w:color w:val="666666"/>
          <w:sz w:val="18"/>
          <w:szCs w:val="18"/>
        </w:rPr>
        <w:t xml:space="preserve">Table 11: Planned initiatives beyond the initial launch, in roughly the order they unlock value.</w:t>
      </w:r>
    </w:p>
    <w:p>
      <w:pPr>
        <w:pStyle w:val="Heading1"/>
        <w:pBdr>
          <w:bottom w:val="single" w:color="1E2761" w:sz="6" w:space="4"/>
        </w:pBdr>
        <w:spacing w:after="160" w:before="360"/>
      </w:pPr>
      <w:r>
        <w:t xml:space="preserve">9. Conclusion</w:t>
      </w:r>
    </w:p>
    <w:p>
      <w:pPr>
        <w:spacing w:after="160" w:line="276"/>
      </w:pPr>
      <w:r>
        <w:rPr>
          <w:rFonts w:ascii="Calibri" w:cs="Calibri" w:eastAsia="Calibri" w:hAnsi="Calibri"/>
          <w:b w:val="false"/>
          <w:bCs w:val="false"/>
          <w:i w:val="false"/>
          <w:iCs w:val="false"/>
          <w:color w:val="222222"/>
          <w:sz w:val="22"/>
          <w:szCs w:val="22"/>
        </w:rPr>
        <w:t xml:space="preserve">India loses an estimated 78 million tonnes of food every year, worth approximately ₹1.55 lakh crore — much of it from institutional kitchens that have no reliable way to predict, verify, or redistribute their own surplus before it spoils. This platform addresses that gap end-to-end: it prevents over-preparation with AI demand forecasting, verifies and routes edible surplus to verified NGOs within minutes using geospatial matching, and diverts anything unsafe to composting and biomass processing instead of a landfill — all under a fully digital, FSSAI-2019-compliant audit trail.</w:t>
      </w:r>
    </w:p>
    <w:p>
      <w:pPr>
        <w:spacing w:after="160" w:line="276"/>
      </w:pPr>
      <w:r>
        <w:rPr>
          <w:rFonts w:ascii="Calibri" w:cs="Calibri" w:eastAsia="Calibri" w:hAnsi="Calibri"/>
          <w:b w:val="false"/>
          <w:bCs w:val="false"/>
          <w:i w:val="false"/>
          <w:iCs w:val="false"/>
          <w:color w:val="222222"/>
          <w:sz w:val="22"/>
          <w:szCs w:val="22"/>
        </w:rPr>
        <w:t xml:space="preserve">With a lean, open-source technology stack, a clear path to positive unit economics (roughly 8x ROI and a 30-day payback for customers), and a monetization model that pairs recurring SaaS revenue with biomass brokerage income, the platform is designed to be technically feasible, economically viable, and commercially sustainable from day one — while delivering measurable economic, environmental, social, and compliance impact to every kitchen it serves.</w:t>
      </w:r>
    </w:p>
    <w:p>
      <w:pPr>
        <w:pStyle w:val="Heading1"/>
        <w:pBdr>
          <w:bottom w:val="single" w:color="1E2761" w:sz="6" w:space="4"/>
        </w:pBdr>
        <w:spacing w:after="160" w:before="360"/>
      </w:pPr>
      <w:r>
        <w:t xml:space="preserve">10. Research &amp; References</w:t>
      </w:r>
    </w:p>
    <w:p>
      <w:pPr>
        <w:spacing w:after="160" w:line="276"/>
      </w:pPr>
      <w:r>
        <w:rPr>
          <w:rFonts w:ascii="Calibri" w:cs="Calibri" w:eastAsia="Calibri" w:hAnsi="Calibri"/>
          <w:b w:val="false"/>
          <w:bCs w:val="false"/>
          <w:i/>
          <w:iCs/>
          <w:color w:val="666666"/>
          <w:sz w:val="22"/>
          <w:szCs w:val="22"/>
        </w:rPr>
        <w:t xml:space="preserve">Details and links of the supporting reference and research work should be added here — including any datasets, regulatory documents (SWM Rules 2016, FSSAI 2019 guidelines), and prior research consulted while building this proposal.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E2761"/>
      <w:sz w:val="32"/>
      <w:szCs w:val="32"/>
    </w:rPr>
  </w:style>
  <w:style w:type="paragraph" w:styleId="Heading2">
    <w:name w:val="Heading 2"/>
    <w:basedOn w:val="Normal"/>
    <w:next w:val="Normal"/>
    <w:qFormat/>
    <w:pPr>
      <w:spacing w:after="120" w:before="260"/>
    </w:pPr>
    <w:rPr>
      <w:rFonts w:ascii="Calibri" w:cs="Calibri" w:eastAsia="Calibri" w:hAnsi="Calibri"/>
      <w:b/>
      <w:bCs/>
      <w:color w:val="028090"/>
      <w:sz w:val="26"/>
      <w:szCs w:val="26"/>
    </w:rPr>
  </w:style>
  <w:style w:type="paragraph" w:styleId="Heading3">
    <w:name w:val="Heading 3"/>
    <w:basedOn w:val="Normal"/>
    <w:next w:val="Normal"/>
    <w:qFormat/>
    <w:pPr>
      <w:spacing w:after="100" w:before="20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2026-09-15T09:32:41.516Z</dcterms:created>
  <dcterms:modified xsi:type="dcterms:W3CDTF">2026-09-15T09:32:41.517Z</dcterms:modified>
</cp:coreProperties>
</file>

<file path=docProps/custom.xml><?xml version="1.0" encoding="utf-8"?>
<Properties xmlns="http://schemas.openxmlformats.org/officeDocument/2006/custom-properties" xmlns:vt="http://schemas.openxmlformats.org/officeDocument/2006/docPropsVTypes"/>
</file>