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 w:tblpY="2119"/>
        <w:tblW w:w="15675" w:type="dxa"/>
        <w:tblBorders>
          <w:top w:val="single" w:sz="6" w:space="0" w:color="FFFFFF"/>
          <w:left w:val="single" w:sz="6" w:space="0" w:color="FFFFFF"/>
          <w:bottom w:val="single" w:sz="6" w:space="0" w:color="FFFFFF"/>
          <w:right w:val="single" w:sz="6" w:space="0" w:color="FFFFFF"/>
        </w:tblBorders>
        <w:shd w:val="clear" w:color="auto" w:fill="FFFFFF"/>
        <w:tblCellMar>
          <w:top w:w="150" w:type="dxa"/>
          <w:left w:w="150" w:type="dxa"/>
          <w:bottom w:w="150" w:type="dxa"/>
          <w:right w:w="150" w:type="dxa"/>
        </w:tblCellMar>
        <w:tblLook w:val="04A0" w:firstRow="1" w:lastRow="0" w:firstColumn="1" w:lastColumn="0" w:noHBand="0" w:noVBand="1"/>
      </w:tblPr>
      <w:tblGrid>
        <w:gridCol w:w="2210"/>
        <w:gridCol w:w="1730"/>
        <w:gridCol w:w="805"/>
        <w:gridCol w:w="1156"/>
        <w:gridCol w:w="1194"/>
        <w:gridCol w:w="1230"/>
        <w:gridCol w:w="1470"/>
        <w:gridCol w:w="1656"/>
        <w:gridCol w:w="1840"/>
        <w:gridCol w:w="1192"/>
        <w:gridCol w:w="1192"/>
      </w:tblGrid>
      <w:tr w:rsidR="002060D9" w:rsidRPr="002060D9" w:rsidTr="002060D9">
        <w:tc>
          <w:tcPr>
            <w:tcW w:w="0" w:type="auto"/>
            <w:tcBorders>
              <w:top w:val="single" w:sz="6" w:space="0" w:color="FFFFFF"/>
              <w:left w:val="single" w:sz="6" w:space="0" w:color="FFFFFF"/>
              <w:bottom w:val="single" w:sz="6" w:space="0" w:color="FFFFFF"/>
              <w:right w:val="single" w:sz="6" w:space="0" w:color="FFFFFF"/>
            </w:tcBorders>
            <w:shd w:val="clear" w:color="auto" w:fill="37474F"/>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Base Model</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cooo890</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cp</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Rent</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2013</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E001</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0.0001</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10000.0</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10125.88</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CGC</w:t>
            </w: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hideMark/>
          </w:tcPr>
          <w:p w:rsidR="002060D9" w:rsidRPr="002060D9" w:rsidRDefault="002060D9" w:rsidP="002060D9">
            <w:pPr>
              <w:spacing w:after="0" w:line="240" w:lineRule="auto"/>
              <w:rPr>
                <w:rFonts w:ascii="Arial" w:eastAsia="Times New Roman" w:hAnsi="Arial" w:cs="Arial"/>
                <w:color w:val="FFFFFF"/>
              </w:rPr>
            </w:pPr>
            <w:r w:rsidRPr="002060D9">
              <w:rPr>
                <w:rFonts w:ascii="Arial" w:eastAsia="Times New Roman" w:hAnsi="Arial" w:cs="Arial"/>
                <w:color w:val="FFFFFF"/>
              </w:rPr>
              <w:t>MGF</w:t>
            </w:r>
          </w:p>
        </w:tc>
      </w:tr>
      <w:tr w:rsidR="002060D9" w:rsidRPr="002060D9" w:rsidTr="002060D9">
        <w:tc>
          <w:tcPr>
            <w:tcW w:w="0" w:type="auto"/>
            <w:tcBorders>
              <w:top w:val="single" w:sz="6" w:space="0" w:color="FFFFFF"/>
              <w:left w:val="single" w:sz="6" w:space="0" w:color="FFFFFF"/>
              <w:bottom w:val="single" w:sz="6" w:space="0" w:color="FFFFFF"/>
              <w:right w:val="single" w:sz="6" w:space="0" w:color="FFFFFF"/>
            </w:tcBorders>
            <w:shd w:val="clear" w:color="auto" w:fill="37474F"/>
            <w:vAlign w:val="center"/>
          </w:tcPr>
          <w:p w:rsidR="002060D9" w:rsidRDefault="002060D9" w:rsidP="002060D9">
            <w:pPr>
              <w:spacing w:after="0" w:line="240" w:lineRule="auto"/>
              <w:rPr>
                <w:rFonts w:ascii="Arial" w:eastAsia="Times New Roman" w:hAnsi="Arial" w:cs="Arial"/>
                <w:color w:val="FFFFFF"/>
              </w:rPr>
            </w:pPr>
            <w:r>
              <w:rPr>
                <w:rFonts w:ascii="Arial" w:eastAsia="Times New Roman" w:hAnsi="Arial" w:cs="Arial"/>
                <w:color w:val="FFFFFF"/>
              </w:rPr>
              <w:t xml:space="preserve">                                                     </w:t>
            </w:r>
          </w:p>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c>
          <w:tcPr>
            <w:tcW w:w="0" w:type="auto"/>
            <w:tcBorders>
              <w:top w:val="single" w:sz="6" w:space="0" w:color="FFFFFF"/>
              <w:left w:val="single" w:sz="6" w:space="0" w:color="FFFFFF"/>
              <w:bottom w:val="single" w:sz="6" w:space="0" w:color="FFFFFF"/>
              <w:right w:val="single" w:sz="6" w:space="0" w:color="FFFFFF"/>
            </w:tcBorders>
            <w:shd w:val="clear" w:color="auto" w:fill="AED581"/>
            <w:vAlign w:val="center"/>
          </w:tcPr>
          <w:p w:rsidR="002060D9" w:rsidRPr="002060D9" w:rsidRDefault="002060D9" w:rsidP="002060D9">
            <w:pPr>
              <w:spacing w:after="0" w:line="240" w:lineRule="auto"/>
              <w:rPr>
                <w:rFonts w:ascii="Arial" w:eastAsia="Times New Roman" w:hAnsi="Arial" w:cs="Arial"/>
                <w:color w:val="FFFFFF"/>
              </w:rPr>
            </w:pPr>
          </w:p>
        </w:tc>
      </w:tr>
    </w:tbl>
    <w:tbl>
      <w:tblPr>
        <w:tblStyle w:val="GridTable4-Accent5"/>
        <w:tblpPr w:leftFromText="180" w:rightFromText="180" w:vertAnchor="page" w:horzAnchor="page" w:tblpX="1" w:tblpY="909"/>
        <w:tblW w:w="12241" w:type="dxa"/>
        <w:tblLook w:val="04A0" w:firstRow="1" w:lastRow="0" w:firstColumn="1" w:lastColumn="0" w:noHBand="0" w:noVBand="1"/>
      </w:tblPr>
      <w:tblGrid>
        <w:gridCol w:w="1455"/>
        <w:gridCol w:w="644"/>
        <w:gridCol w:w="852"/>
        <w:gridCol w:w="886"/>
        <w:gridCol w:w="1524"/>
        <w:gridCol w:w="1249"/>
        <w:gridCol w:w="958"/>
        <w:gridCol w:w="1636"/>
        <w:gridCol w:w="885"/>
        <w:gridCol w:w="900"/>
        <w:gridCol w:w="669"/>
        <w:gridCol w:w="583"/>
      </w:tblGrid>
      <w:tr w:rsidR="002060D9" w:rsidRPr="002060D9" w:rsidTr="002060D9">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0" w:type="auto"/>
            <w:hideMark/>
          </w:tcPr>
          <w:p w:rsidR="002060D9" w:rsidRPr="002060D9" w:rsidRDefault="002060D9" w:rsidP="002060D9">
            <w:pPr>
              <w:rPr>
                <w:rFonts w:ascii="Arial" w:eastAsia="Times New Roman" w:hAnsi="Arial" w:cs="Arial"/>
                <w:color w:val="FFFFFF"/>
              </w:rPr>
            </w:pPr>
            <w:r w:rsidRPr="002060D9">
              <w:rPr>
                <w:rFonts w:ascii="Arial" w:eastAsia="Times New Roman" w:hAnsi="Arial" w:cs="Arial"/>
                <w:color w:val="FFFFFF"/>
              </w:rPr>
              <w:t>Equipment type</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Unit</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Model</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Serail No</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Manufacture</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Physical status</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Model Year</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Owner Equipment Office</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sales Price</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Book value</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LCC</w:t>
            </w:r>
          </w:p>
        </w:tc>
        <w:tc>
          <w:tcPr>
            <w:tcW w:w="0" w:type="auto"/>
            <w:hideMark/>
          </w:tcPr>
          <w:p w:rsidR="002060D9" w:rsidRPr="002060D9" w:rsidRDefault="002060D9" w:rsidP="002060D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2060D9">
              <w:rPr>
                <w:rFonts w:ascii="Arial" w:eastAsia="Times New Roman" w:hAnsi="Arial" w:cs="Arial"/>
                <w:color w:val="FFFFFF"/>
              </w:rPr>
              <w:t>Det</w:t>
            </w:r>
            <w:r w:rsidRPr="002060D9">
              <w:rPr>
                <w:rFonts w:ascii="Arial" w:eastAsia="Times New Roman" w:hAnsi="Arial" w:cs="Arial"/>
                <w:color w:val="FFFFFF"/>
              </w:rPr>
              <w:br/>
              <w:t>ails</w:t>
            </w:r>
          </w:p>
        </w:tc>
      </w:tr>
    </w:tbl>
    <w:p w:rsidR="002060D9" w:rsidRDefault="002060D9" w:rsidP="002060D9">
      <w:pPr>
        <w:pStyle w:val="Heading1"/>
        <w:shd w:val="clear" w:color="auto" w:fill="FFFFFE"/>
        <w:spacing w:before="48" w:beforeAutospacing="0" w:after="120" w:afterAutospacing="0"/>
      </w:pPr>
      <w:r>
        <w:t xml:space="preserve">     </w:t>
      </w:r>
    </w:p>
    <w:p w:rsidR="002060D9" w:rsidRPr="002060D9" w:rsidRDefault="002060D9" w:rsidP="002060D9">
      <w:pPr>
        <w:pStyle w:val="Heading1"/>
        <w:shd w:val="clear" w:color="auto" w:fill="FFFFFE"/>
        <w:spacing w:before="48" w:beforeAutospacing="0" w:after="120" w:afterAutospacing="0"/>
        <w:rPr>
          <w:rFonts w:ascii="Helvetica" w:hAnsi="Helvetica" w:cs="Helvetica"/>
          <w:color w:val="222222"/>
        </w:rPr>
      </w:pPr>
      <w:bookmarkStart w:id="0" w:name="_GoBack"/>
      <w:bookmarkEnd w:id="0"/>
      <w:r w:rsidRPr="002060D9">
        <w:rPr>
          <w:rFonts w:ascii="Helvetica" w:hAnsi="Helvetica" w:cs="Helvetica"/>
          <w:color w:val="222222"/>
        </w:rPr>
        <w:t>Information Technology Equipment (ITE)</w:t>
      </w:r>
    </w:p>
    <w:p w:rsidR="002060D9" w:rsidRPr="002060D9" w:rsidRDefault="002060D9" w:rsidP="002060D9">
      <w:pPr>
        <w:shd w:val="clear" w:color="auto" w:fill="FFFFFE"/>
        <w:spacing w:before="48" w:after="120" w:line="240" w:lineRule="auto"/>
        <w:outlineLvl w:val="1"/>
        <w:rPr>
          <w:rFonts w:ascii="Helvetica" w:eastAsia="Times New Roman" w:hAnsi="Helvetica" w:cs="Helvetica"/>
          <w:b/>
          <w:bCs/>
          <w:color w:val="222222"/>
          <w:sz w:val="36"/>
          <w:szCs w:val="36"/>
        </w:rPr>
      </w:pPr>
      <w:r w:rsidRPr="002060D9">
        <w:rPr>
          <w:rFonts w:ascii="Helvetica" w:eastAsia="Times New Roman" w:hAnsi="Helvetica" w:cs="Helvetica"/>
          <w:b/>
          <w:bCs/>
          <w:color w:val="222222"/>
          <w:sz w:val="36"/>
          <w:szCs w:val="36"/>
        </w:rPr>
        <w:t>ITE Equipment</w:t>
      </w:r>
    </w:p>
    <w:p w:rsidR="002060D9" w:rsidRPr="002060D9" w:rsidRDefault="002060D9" w:rsidP="002060D9">
      <w:pPr>
        <w:shd w:val="clear" w:color="auto" w:fill="FFFFFE"/>
        <w:spacing w:after="300" w:line="240" w:lineRule="auto"/>
        <w:rPr>
          <w:rFonts w:ascii="Helvetica" w:eastAsia="Times New Roman" w:hAnsi="Helvetica" w:cs="Helvetica"/>
          <w:color w:val="222222"/>
          <w:sz w:val="24"/>
          <w:szCs w:val="24"/>
        </w:rPr>
      </w:pPr>
      <w:r w:rsidRPr="002060D9">
        <w:rPr>
          <w:rFonts w:ascii="Helvetica" w:eastAsia="Times New Roman" w:hAnsi="Helvetica" w:cs="Helvetica"/>
          <w:color w:val="222222"/>
          <w:sz w:val="24"/>
          <w:szCs w:val="24"/>
        </w:rPr>
        <w:t>Information Technology Equipment is a group or “family” of product, which include devices that have a primary function related to the collection, transfer, storage, or processing of data. Such devices predominantly generate a multiplicity of periodic pulsed (binary) electrical waveforms. Devices that have only auxiliary data processing functions may be classified under other product family groups. Generally ITE equipment is low voltage in nature, below 600V rated supply.</w:t>
      </w:r>
    </w:p>
    <w:p w:rsidR="002060D9" w:rsidRPr="002060D9" w:rsidRDefault="002060D9" w:rsidP="002060D9">
      <w:pPr>
        <w:shd w:val="clear" w:color="auto" w:fill="FFFFFE"/>
        <w:spacing w:after="300" w:line="240" w:lineRule="auto"/>
        <w:rPr>
          <w:rFonts w:ascii="Helvetica" w:eastAsia="Times New Roman" w:hAnsi="Helvetica" w:cs="Helvetica"/>
          <w:color w:val="222222"/>
          <w:sz w:val="24"/>
          <w:szCs w:val="24"/>
        </w:rPr>
      </w:pPr>
      <w:r w:rsidRPr="002060D9">
        <w:rPr>
          <w:rFonts w:ascii="Helvetica" w:eastAsia="Times New Roman" w:hAnsi="Helvetica" w:cs="Helvetica"/>
          <w:color w:val="222222"/>
          <w:sz w:val="24"/>
          <w:szCs w:val="24"/>
        </w:rPr>
        <w:t>With respect to the European EMC Directive, the product family standards EN (European Norm) </w:t>
      </w:r>
      <w:hyperlink r:id="rId4" w:history="1">
        <w:r w:rsidRPr="002060D9">
          <w:rPr>
            <w:rFonts w:ascii="Helvetica" w:eastAsia="Times New Roman" w:hAnsi="Helvetica" w:cs="Helvetica"/>
            <w:color w:val="1B4376"/>
            <w:sz w:val="24"/>
            <w:szCs w:val="24"/>
          </w:rPr>
          <w:t>55022:</w:t>
        </w:r>
      </w:hyperlink>
      <w:r w:rsidRPr="002060D9">
        <w:rPr>
          <w:rFonts w:ascii="Helvetica" w:eastAsia="Times New Roman" w:hAnsi="Helvetica" w:cs="Helvetica"/>
          <w:color w:val="222222"/>
          <w:sz w:val="24"/>
          <w:szCs w:val="24"/>
        </w:rPr>
        <w:t> for Emissions and EN </w:t>
      </w:r>
      <w:hyperlink r:id="rId5" w:history="1">
        <w:r w:rsidRPr="002060D9">
          <w:rPr>
            <w:rFonts w:ascii="Helvetica" w:eastAsia="Times New Roman" w:hAnsi="Helvetica" w:cs="Helvetica"/>
            <w:color w:val="1B4376"/>
            <w:sz w:val="24"/>
            <w:szCs w:val="24"/>
          </w:rPr>
          <w:t>55024:</w:t>
        </w:r>
      </w:hyperlink>
      <w:r w:rsidRPr="002060D9">
        <w:rPr>
          <w:rFonts w:ascii="Helvetica" w:eastAsia="Times New Roman" w:hAnsi="Helvetica" w:cs="Helvetica"/>
          <w:color w:val="222222"/>
          <w:sz w:val="24"/>
          <w:szCs w:val="24"/>
        </w:rPr>
        <w:t> for Immunity address Information Technology Equipment. These product family standards are for; “any equipment which has a </w:t>
      </w:r>
      <w:r w:rsidRPr="002060D9">
        <w:rPr>
          <w:rFonts w:ascii="Helvetica" w:eastAsia="Times New Roman" w:hAnsi="Helvetica" w:cs="Helvetica"/>
          <w:b/>
          <w:bCs/>
          <w:color w:val="222222"/>
          <w:sz w:val="24"/>
          <w:szCs w:val="24"/>
        </w:rPr>
        <w:t>primary function</w:t>
      </w:r>
      <w:r w:rsidRPr="002060D9">
        <w:rPr>
          <w:rFonts w:ascii="Helvetica" w:eastAsia="Times New Roman" w:hAnsi="Helvetica" w:cs="Helvetica"/>
          <w:color w:val="222222"/>
          <w:sz w:val="24"/>
          <w:szCs w:val="24"/>
        </w:rPr>
        <w:t> of either or a combination of, entry, storage, display, retrieval, transmission, processing, switching or control, of data and of telecommunication messages and which may be equipped with one or more terminal ports typically operated for information transfer” as defined in EN 55022 Section 3.1. Examples of ITE may be any of or similar to examples such as;</w:t>
      </w:r>
    </w:p>
    <w:p w:rsidR="0047521E" w:rsidRDefault="002060D9">
      <w:r>
        <w:t xml:space="preserve"> </w:t>
      </w:r>
    </w:p>
    <w:sectPr w:rsidR="0047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B1"/>
    <w:rsid w:val="002060D9"/>
    <w:rsid w:val="0047521E"/>
    <w:rsid w:val="00D3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059C2-5190-4E84-B4A2-D8F9951E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2060D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2060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6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60D9"/>
  </w:style>
  <w:style w:type="character" w:styleId="Hyperlink">
    <w:name w:val="Hyperlink"/>
    <w:basedOn w:val="DefaultParagraphFont"/>
    <w:uiPriority w:val="99"/>
    <w:semiHidden/>
    <w:unhideWhenUsed/>
    <w:rsid w:val="002060D9"/>
    <w:rPr>
      <w:color w:val="0000FF"/>
      <w:u w:val="single"/>
    </w:rPr>
  </w:style>
  <w:style w:type="character" w:styleId="Strong">
    <w:name w:val="Strong"/>
    <w:basedOn w:val="DefaultParagraphFont"/>
    <w:uiPriority w:val="22"/>
    <w:qFormat/>
    <w:rsid w:val="00206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1524">
      <w:bodyDiv w:val="1"/>
      <w:marLeft w:val="0"/>
      <w:marRight w:val="0"/>
      <w:marTop w:val="0"/>
      <w:marBottom w:val="0"/>
      <w:divBdr>
        <w:top w:val="none" w:sz="0" w:space="0" w:color="auto"/>
        <w:left w:val="none" w:sz="0" w:space="0" w:color="auto"/>
        <w:bottom w:val="none" w:sz="0" w:space="0" w:color="auto"/>
        <w:right w:val="none" w:sz="0" w:space="0" w:color="auto"/>
      </w:divBdr>
    </w:div>
    <w:div w:id="1083375630">
      <w:bodyDiv w:val="1"/>
      <w:marLeft w:val="0"/>
      <w:marRight w:val="0"/>
      <w:marTop w:val="0"/>
      <w:marBottom w:val="0"/>
      <w:divBdr>
        <w:top w:val="none" w:sz="0" w:space="0" w:color="auto"/>
        <w:left w:val="none" w:sz="0" w:space="0" w:color="auto"/>
        <w:bottom w:val="none" w:sz="0" w:space="0" w:color="auto"/>
        <w:right w:val="none" w:sz="0" w:space="0" w:color="auto"/>
      </w:divBdr>
    </w:div>
    <w:div w:id="191084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electronics.com/training/learning/method/EN55024.html" TargetMode="External"/><Relationship Id="rId4" Type="http://schemas.openxmlformats.org/officeDocument/2006/relationships/hyperlink" Target="https://celectronics.com/training/learning/method/EN550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2016-12-15T13:21:00Z</dcterms:created>
  <dcterms:modified xsi:type="dcterms:W3CDTF">2016-12-15T13:34:00Z</dcterms:modified>
</cp:coreProperties>
</file>