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loci and sensor layout for influence-area bridge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(10)</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(8) and (7)</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rPr>
                    <m:t>side</m:t>
                  </m:r>
                </m:sub>
              </m:sSub>
            </m:oMath>
            <w:r>
              <w:t xml:space="preserve"> </w:t>
            </w:r>
            <w:r>
              <w:t xml:space="preserve">(three spans); Eqs. (4), (14)</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2892"/>
          </w:tcPr>
          <w:p>
            <w:pPr>
              <w:pStyle w:val="Compact"/>
              <w:jc w:val="left"/>
            </w:pPr>
            <w:r>
              <w:t xml:space="preserve">T5–T8</w:t>
            </w:r>
          </w:p>
        </w:tc>
        <w:tc>
          <w:tcPr>
            <w:tcW w:type="dxa" w:w="617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p>
      <w:pPr>
        <w:pStyle w:val="BodyText"/>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p>
      <w:pPr>
        <w:pStyle w:val="FirstParagraph"/>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p>
      <w:pPr>
        <w:pStyle w:val="BodyText"/>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p>
      <w:pPr>
        <w:pStyle w:val="FirstParagraph"/>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rPr>
              <m:t>side</m:t>
            </m:r>
          </m:sub>
        </m:sSub>
        <m:r>
          <m:rPr>
            <m:sty m:val="p"/>
          </m:rPr>
          <m:t>/</m:t>
        </m:r>
        <m:r>
          <m:t>E</m:t>
        </m:r>
        <m:sSub>
          <m:e>
            <m:r>
              <m:t>I</m:t>
            </m:r>
          </m:e>
          <m:sub>
            <m:r>
              <m:rPr>
                <m:sty m:val="p"/>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sty m:val="p"/>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pStyle w:val="Compact"/>
              <w:jc w:val="left"/>
            </w:pPr>
            <w:r>
              <w:t xml:space="preserve">Tolerance, prior</w:t>
            </w:r>
          </w:p>
        </w:tc>
        <w:tc>
          <w:tcPr>
            <w:tcW w:type="dxa" w:w="979"/>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pStyle w:val="Compact"/>
              <w:jc w:val="right"/>
            </w:pPr>
            <m:oMath>
              <m:r>
                <m:t>α</m:t>
              </m:r>
            </m:oMath>
          </w:p>
        </w:tc>
        <w:tc>
          <w:tcPr>
            <w:tcW w:type="dxa" w:w="103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339"/>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082"/>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max/min</w:t>
            </w:r>
          </w:p>
        </w:tc>
      </w:tr>
      <w:tr>
        <w:trPr>
          <w:cantSplit/>
        </w:trPr>
        <w:tc>
          <w:tcPr>
            <w:tcW w:type="dxa" w:w="1546"/>
          </w:tcPr>
          <w:p>
            <w:pPr>
              <w:pStyle w:val="Compact"/>
              <w:jc w:val="left"/>
            </w:pPr>
            <m:oMath>
              <m:r>
                <m:t>τ</m:t>
              </m:r>
            </m:oMath>
            <w:r>
              <w:t xml:space="preserve"> </w:t>
            </w:r>
            <w:r>
              <w:t xml:space="preserve">= 3 %</w:t>
            </w:r>
          </w:p>
        </w:tc>
        <w:tc>
          <w:tcPr>
            <w:tcW w:type="dxa" w:w="979"/>
          </w:tcPr>
          <w:p>
            <w:pPr>
              <w:pStyle w:val="Compact"/>
              <w:jc w:val="right"/>
            </w:pPr>
            <w:r>
              <w:t xml:space="preserve">1.0–3.0 × 10⁸</w:t>
            </w:r>
          </w:p>
        </w:tc>
        <w:tc>
          <w:tcPr>
            <w:tcW w:type="dxa" w:w="901"/>
          </w:tcPr>
          <w:p>
            <w:pPr>
              <w:pStyle w:val="Compact"/>
              <w:jc w:val="right"/>
            </w:pPr>
            <w:r>
              <w:t xml:space="preserve">0.64–0.80</w:t>
            </w:r>
          </w:p>
        </w:tc>
        <w:tc>
          <w:tcPr>
            <w:tcW w:type="dxa" w:w="1030"/>
          </w:tcPr>
          <w:p>
            <w:pPr>
              <w:pStyle w:val="Compact"/>
              <w:jc w:val="right"/>
            </w:pPr>
            <w:r>
              <w:t xml:space="preserve">0.30–0.37</w:t>
            </w:r>
          </w:p>
        </w:tc>
        <w:tc>
          <w:tcPr>
            <w:tcW w:type="dxa" w:w="1339"/>
          </w:tcPr>
          <w:p>
            <w:pPr>
              <w:pStyle w:val="Compact"/>
              <w:jc w:val="right"/>
            </w:pPr>
            <w:r>
              <w:t xml:space="preserve">0.38–0.58</w:t>
            </w:r>
          </w:p>
        </w:tc>
        <w:tc>
          <w:tcPr>
            <w:tcW w:type="dxa" w:w="1082"/>
          </w:tcPr>
          <w:p>
            <w:pPr>
              <w:pStyle w:val="Compact"/>
              <w:jc w:val="right"/>
            </w:pPr>
            <w:r>
              <w:t xml:space="preserve">9.1 × 10⁻⁵–1.4 × 10⁻⁴</w:t>
            </w:r>
          </w:p>
        </w:tc>
        <w:tc>
          <w:tcPr>
            <w:tcW w:type="dxa" w:w="730"/>
          </w:tcPr>
          <w:p>
            <w:pPr>
              <w:pStyle w:val="Compact"/>
              <w:jc w:val="right"/>
            </w:pPr>
            <w:r>
              <w:t xml:space="preserve">1.5</w:t>
            </w:r>
          </w:p>
        </w:tc>
        <w:tc>
          <w:tcPr>
            <w:tcW w:type="dxa" w:w="730"/>
          </w:tcPr>
          <w:p>
            <w:pPr>
              <w:pStyle w:val="Compact"/>
              <w:jc w:val="right"/>
            </w:pPr>
            <w:r>
              <w:t xml:space="preserve">3.8–4.3 × 10⁻⁴</w:t>
            </w:r>
          </w:p>
        </w:tc>
        <w:tc>
          <w:tcPr>
            <w:tcW w:type="dxa" w:w="730"/>
          </w:tcPr>
          <w:p>
            <w:pPr>
              <w:pStyle w:val="Compact"/>
              <w:jc w:val="right"/>
            </w:pPr>
            <w:r>
              <w:t xml:space="preserve">1.1</w:t>
            </w:r>
          </w:p>
        </w:tc>
      </w:tr>
      <w:tr>
        <w:trPr>
          <w:cantSplit/>
        </w:trPr>
        <w:tc>
          <w:tcPr>
            <w:tcW w:type="dxa" w:w="1546"/>
          </w:tcPr>
          <w:p>
            <w:pPr>
              <w:pStyle w:val="Compact"/>
              <w:jc w:val="left"/>
            </w:pPr>
            <m:oMath>
              <m:r>
                <m:t>τ</m:t>
              </m:r>
            </m:oMath>
            <w:r>
              <w:t xml:space="preserve"> </w:t>
            </w:r>
            <w:r>
              <w:t xml:space="preserve">= 4 %</w:t>
            </w:r>
          </w:p>
        </w:tc>
        <w:tc>
          <w:tcPr>
            <w:tcW w:type="dxa" w:w="979"/>
          </w:tcPr>
          <w:p>
            <w:pPr>
              <w:pStyle w:val="Compact"/>
              <w:jc w:val="right"/>
            </w:pPr>
            <w:r>
              <w:t xml:space="preserve">4.2 × 10⁷–2.0 × 10⁹</w:t>
            </w:r>
          </w:p>
        </w:tc>
        <w:tc>
          <w:tcPr>
            <w:tcW w:type="dxa" w:w="901"/>
          </w:tcPr>
          <w:p>
            <w:pPr>
              <w:pStyle w:val="Compact"/>
              <w:jc w:val="right"/>
            </w:pPr>
            <w:r>
              <w:t xml:space="preserve">0.54–0.98</w:t>
            </w:r>
          </w:p>
        </w:tc>
        <w:tc>
          <w:tcPr>
            <w:tcW w:type="dxa" w:w="1030"/>
          </w:tcPr>
          <w:p>
            <w:pPr>
              <w:pStyle w:val="Compact"/>
              <w:jc w:val="right"/>
            </w:pPr>
            <w:r>
              <w:t xml:space="preserve">0.22–0.41</w:t>
            </w:r>
          </w:p>
        </w:tc>
        <w:tc>
          <w:tcPr>
            <w:tcW w:type="dxa" w:w="1339"/>
          </w:tcPr>
          <w:p>
            <w:pPr>
              <w:pStyle w:val="Compact"/>
              <w:jc w:val="right"/>
            </w:pPr>
            <w:r>
              <w:t xml:space="preserve">0.23–0.77</w:t>
            </w:r>
          </w:p>
        </w:tc>
        <w:tc>
          <w:tcPr>
            <w:tcW w:type="dxa" w:w="1082"/>
          </w:tcPr>
          <w:p>
            <w:pPr>
              <w:pStyle w:val="Compact"/>
              <w:jc w:val="right"/>
            </w:pPr>
            <w:r>
              <w:t xml:space="preserve">5.5 × 10⁻⁵–1.9 × 10⁻⁴</w:t>
            </w:r>
          </w:p>
        </w:tc>
        <w:tc>
          <w:tcPr>
            <w:tcW w:type="dxa" w:w="730"/>
          </w:tcPr>
          <w:p>
            <w:pPr>
              <w:pStyle w:val="Compact"/>
              <w:jc w:val="right"/>
            </w:pPr>
            <w:r>
              <w:t xml:space="preserve">3.4</w:t>
            </w:r>
          </w:p>
        </w:tc>
        <w:tc>
          <w:tcPr>
            <w:tcW w:type="dxa" w:w="730"/>
          </w:tcPr>
          <w:p>
            <w:pPr>
              <w:pStyle w:val="Compact"/>
              <w:jc w:val="right"/>
            </w:pPr>
            <w:r>
              <w:t xml:space="preserve">3.5–4.8 × 10⁻⁴</w:t>
            </w:r>
          </w:p>
        </w:tc>
        <w:tc>
          <w:tcPr>
            <w:tcW w:type="dxa" w:w="730"/>
          </w:tcPr>
          <w:p>
            <w:pPr>
              <w:pStyle w:val="Compact"/>
              <w:jc w:val="right"/>
            </w:pPr>
            <w:r>
              <w:t xml:space="preserve">1.4</w:t>
            </w:r>
          </w:p>
        </w:tc>
      </w:tr>
      <w:tr>
        <w:trPr>
          <w:cantSplit/>
        </w:trPr>
        <w:tc>
          <w:tcPr>
            <w:tcW w:type="dxa" w:w="1546"/>
          </w:tcPr>
          <w:p>
            <w:pPr>
              <w:pStyle w:val="Compact"/>
              <w:jc w:val="left"/>
            </w:pPr>
            <m:oMath>
              <m:r>
                <m:t>τ</m:t>
              </m:r>
            </m:oMath>
            <w:r>
              <w:t xml:space="preserve"> </w:t>
            </w:r>
            <w:r>
              <w:t xml:space="preserve">= 5.3 %</w:t>
            </w:r>
          </w:p>
        </w:tc>
        <w:tc>
          <w:tcPr>
            <w:tcW w:type="dxa" w:w="979"/>
          </w:tcPr>
          <w:p>
            <w:pPr>
              <w:pStyle w:val="Compact"/>
              <w:jc w:val="right"/>
            </w:pPr>
            <w:r>
              <w:t xml:space="preserve">≥ 1.8 × 10⁷</w:t>
            </w:r>
          </w:p>
        </w:tc>
        <w:tc>
          <w:tcPr>
            <w:tcW w:type="dxa" w:w="901"/>
          </w:tcPr>
          <w:p>
            <w:pPr>
              <w:pStyle w:val="Compact"/>
              <w:jc w:val="right"/>
            </w:pPr>
            <w:r>
              <w:t xml:space="preserve">0.51–1.15</w:t>
            </w:r>
          </w:p>
        </w:tc>
        <w:tc>
          <w:tcPr>
            <w:tcW w:type="dxa" w:w="1030"/>
          </w:tcPr>
          <w:p>
            <w:pPr>
              <w:pStyle w:val="Compact"/>
              <w:jc w:val="right"/>
            </w:pPr>
            <w:r>
              <w:t xml:space="preserve">0.14–0.42</w:t>
            </w:r>
          </w:p>
        </w:tc>
        <w:tc>
          <w:tcPr>
            <w:tcW w:type="dxa" w:w="1339"/>
          </w:tcPr>
          <w:p>
            <w:pPr>
              <w:pStyle w:val="Compact"/>
              <w:jc w:val="right"/>
            </w:pPr>
            <w:r>
              <w:t xml:space="preserve">0.12–0.82</w:t>
            </w:r>
          </w:p>
        </w:tc>
        <w:tc>
          <w:tcPr>
            <w:tcW w:type="dxa" w:w="1082"/>
          </w:tcPr>
          <w:p>
            <w:pPr>
              <w:pStyle w:val="Compact"/>
              <w:jc w:val="right"/>
            </w:pPr>
            <w:r>
              <w:t xml:space="preserve">3.0 × 10⁻⁵–2.0 × 10⁻⁴</w:t>
            </w:r>
          </w:p>
        </w:tc>
        <w:tc>
          <w:tcPr>
            <w:tcW w:type="dxa" w:w="730"/>
          </w:tcPr>
          <w:p>
            <w:pPr>
              <w:pStyle w:val="Compact"/>
              <w:jc w:val="right"/>
            </w:pPr>
            <w:r>
              <w:t xml:space="preserve">6.6</w:t>
            </w:r>
          </w:p>
        </w:tc>
        <w:tc>
          <w:tcPr>
            <w:tcW w:type="dxa" w:w="730"/>
          </w:tcPr>
          <w:p>
            <w:pPr>
              <w:pStyle w:val="Compact"/>
              <w:jc w:val="right"/>
            </w:pPr>
            <w:r>
              <w:t xml:space="preserve">3.3–5.0 × 10⁻⁴</w:t>
            </w:r>
          </w:p>
        </w:tc>
        <w:tc>
          <w:tcPr>
            <w:tcW w:type="dxa" w:w="730"/>
          </w:tcPr>
          <w:p>
            <w:pPr>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the haunch-length variants (</w:t>
      </w:r>
      <m:oMath>
        <m:sSub>
          <m:e>
            <m:r>
              <m:t>L</m:t>
            </m:r>
          </m:e>
          <m:sub>
            <m:r>
              <m:rPr>
                <m:sty m:val="p"/>
              </m:rPr>
              <m:t>v</m:t>
            </m:r>
          </m:sub>
        </m:sSub>
      </m:oMath>
      <w:r>
        <w:t xml:space="preserve"> </w:t>
      </w:r>
      <w:r>
        <w:t xml:space="preserve">= 40–45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0.023</w:t>
            </w:r>
          </w:p>
        </w:tc>
        <w:tc>
          <w:tcPr>
            <w:tcW w:type="dxa" w:w="1330"/>
          </w:tcPr>
          <w:p>
            <w:pPr>
              <w:pStyle w:val="Compact"/>
              <w:jc w:val="right"/>
            </w:pPr>
            <w:r>
              <w:t xml:space="preserve">−0.066</w:t>
            </w:r>
          </w:p>
        </w:tc>
        <w:tc>
          <w:tcPr>
            <w:tcW w:type="dxa" w:w="1204"/>
          </w:tcPr>
          <w:p>
            <w:pPr>
              <w:pStyle w:val="Compact"/>
              <w:jc w:val="right"/>
            </w:pPr>
            <w:r>
              <w:t xml:space="preserve">0.263</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0.446</w:t>
            </w:r>
          </w:p>
        </w:tc>
        <w:tc>
          <w:tcPr>
            <w:tcW w:type="dxa" w:w="1330"/>
          </w:tcPr>
          <w:p>
            <w:pPr>
              <w:pStyle w:val="Compact"/>
              <w:jc w:val="right"/>
            </w:pPr>
            <w:r>
              <w:t xml:space="preserve">0.375</w:t>
            </w:r>
          </w:p>
        </w:tc>
        <w:tc>
          <w:tcPr>
            <w:tcW w:type="dxa" w:w="1204"/>
          </w:tcPr>
          <w:p>
            <w:pPr>
              <w:pStyle w:val="Compact"/>
              <w:jc w:val="right"/>
            </w:pPr>
            <w:r>
              <w:t xml:space="preserve">0.145</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3.3–5.0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82–543 %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(mean absolute error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2026-10-20T11:17:36Z</dcterms:created>
  <dcterms:modified xsi:type="dcterms:W3CDTF">2026-10-20T11:17:36Z</dcterms:modified>
</cp:coreProperties>
</file>

<file path=docProps/custom.xml><?xml version="1.0" encoding="utf-8"?>
<Properties xmlns="http://schemas.openxmlformats.org/officeDocument/2006/custom-properties" xmlns:vt="http://schemas.openxmlformats.org/officeDocument/2006/docPropsVTypes"/>
</file>