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generalised least-squares estimator are classical, and the manuscript says so; the contributions are the criteria built on them:</w:t>
      </w:r>
    </w:p>
    <w:p>
      <w:pPr>
        <w:numPr>
          <w:ilvl w:val="0"/>
          <w:numId w:val="1001"/>
        </w:numPr>
        <w:pStyle w:val="BodyText"/>
      </w:pPr>
      <w:r>
        <w:t xml:space="preserve">a closed-form catalogue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2026-10-19T10:48:03Z</dcterms:created>
  <dcterms:modified xsi:type="dcterms:W3CDTF">2026-10-19T10:48:03Z</dcterms:modified>
</cp:coreProperties>
</file>

<file path=docProps/custom.xml><?xml version="1.0" encoding="utf-8"?>
<Properties xmlns="http://schemas.openxmlformats.org/officeDocument/2006/custom-properties" xmlns:vt="http://schemas.openxmlformats.org/officeDocument/2006/docPropsVTypes"/>
</file>