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is consistent with the identity. Public moving-truck records, whose reference weights vary too little to test weight discrimination, are consistent with the assumptions of the identity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m:t>
            </m:r>
            <m:r>
              <m:rPr>
                <m:sty m:val="p"/>
              </m:rPr>
              <m:t>a</m:t>
            </m:r>
            <m:r>
              <m:rPr>
                <m:sty m:val="p"/>
              </m:rPr>
              <m:t>x</m:t>
            </m:r>
          </m:sub>
        </m:sSub>
      </m:oMath>
      <w:r>
        <w:t xml:space="preserve"> </w:t>
      </w:r>
      <w:r>
        <w:t xml:space="preserve">is the largest axle offset,</w:t>
      </w:r>
      <w:r>
        <w:t xml:space="preserve"> </w:t>
      </w:r>
      <m:oMath>
        <m:sSub>
          <m:e>
            <m:r>
              <m:t>P</m:t>
            </m:r>
          </m:e>
          <m:sub>
            <m:r>
              <m:rPr>
                <m:sty m:val="p"/>
              </m:rPr>
              <m:t>t</m:t>
            </m:r>
            <m:r>
              <m:rPr>
                <m:sty m:val="p"/>
              </m:rPr>
              <m:t>o</m:t>
            </m:r>
            <m:r>
              <m:rPr>
                <m:sty m:val="p"/>
              </m:rPr>
              <m:t>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m:t>
            </m:r>
            <m:r>
              <m:rPr>
                <m:sty m:val="p"/>
              </m:rPr>
              <m:t>o</m:t>
            </m:r>
            <m:r>
              <m:rPr>
                <m:sty m:val="p"/>
              </m:rPr>
              <m:t>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907"/>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5039999" cy="524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5039999" cy="524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a spread of gauge factors is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 weight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p>
      <w:pPr>
        <w:pStyle w:val="Figure"/>
      </w:pPr>
      <w:r>
        <w:drawing>
          <wp:inline>
            <wp:extent cx="5039999" cy="528847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5039999" cy="528847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bookmarkEnd w:id="51"/>
    <w:bookmarkStart w:id="55"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0.4L</w:t>
            </w:r>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0.4L /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Lobo-Aguilar S and Christenson RE (2021) Sparse sensing bridge weigh-in-motion for single-span bridges. Métodos y Materiales 11: 43–53. DOI: 10.15517/mym.v11i0.46400.</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Fan Y, Zhu J, Pei J and Li Z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and Yang C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Zhu J, Wang C, Qi T and Zhou Y (2022) Vehicle load identification on orthotropic steel box beam bridge based on the strain response area. Applied Sciences 12(23): 12394. DOI: 10.3390/app122312394.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2026-10-19T10:48:01Z</dcterms:created>
  <dcterms:modified xsi:type="dcterms:W3CDTF">2026-10-19T10:48:01Z</dcterms:modified>
</cp:coreProperties>
</file>

<file path=docProps/custom.xml><?xml version="1.0" encoding="utf-8"?>
<Properties xmlns="http://schemas.openxmlformats.org/officeDocument/2006/custom-properties" xmlns:vt="http://schemas.openxmlformats.org/officeDocument/2006/docPropsVTypes"/>
</file>