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Observability and sensor layout for influence-area load monitoring of continuous girder bridges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generalised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rPr>
          <w:cantSplit/>
        </w:trP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47894"/>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47894"/>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m:t>
            </m:r>
            <m:r>
              <m:rPr>
                <m:sty m:val="p"/>
              </m:rPr>
              <m:t>o</m:t>
            </m:r>
            <m:r>
              <m:rPr>
                <m:sty m:val="p"/>
              </m:rPr>
              <m:t>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08826"/>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08826"/>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Figure"/>
      </w:pPr>
      <w:r>
        <w:drawing>
          <wp:inline>
            <wp:extent cx="5039999" cy="273527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73527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Figure"/>
      </w:pPr>
      <w:r>
        <w:drawing>
          <wp:inline>
            <wp:extent cx="5039999" cy="1658220"/>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658220"/>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S4).</w:t>
      </w:r>
    </w:p>
    <w:p>
      <w:pPr>
        <w:pStyle w:val="BodyText"/>
        <w:keepN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w:t>
            </w:r>
          </w:p>
        </w:tc>
        <w:tc>
          <w:tcPr>
            <w:tcW w:type="dxa" w:w="1694"/>
          </w:tcPr>
          <w:p>
            <w:pPr>
              <w:pStyle w:val="Compact"/>
              <w:jc w:val="right"/>
            </w:pPr>
            <w:r>
              <w:t xml:space="preserve">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11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9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correlation matrices of the integrated vehicle-free noise between gauges, for windows of crossing length; day 1 (12 gauges) and day 2 (4 gauges).</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by truck and lane, and for a 3-axle truck against speed.</w:t>
      </w:r>
    </w:p>
    <w:p>
      <w:pPr>
        <w:pStyle w:val="BodyText"/>
        <w:keepN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w:r>
              <w:t xml:space="preserve">χ² p</w:t>
            </w:r>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 χ² test, Table S5)</w:t>
            </w:r>
          </w:p>
        </w:tc>
      </w:tr>
    </w:tbl>
    <w:p>
      <w:pPr>
        <w:pStyle w:val="BodyText"/>
        <w:keepN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neighbours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 weight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Cầu Mây: first, second and third vertical frequencies against the scaled pier stiffness</w:t>
      </w:r>
      <w:r>
        <w:t xml:space="preserve"> </w:t>
      </w:r>
      <m:oMath>
        <m:r>
          <m:t>κ</m:t>
        </m:r>
      </m:oMath>
      <w:r>
        <w:t xml:space="preserve">, for low, base and high mass, with the measured band.</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Cầu Mây: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keepNext/>
      </w:pPr>
      <w:r>
        <w:rPr>
          <w:bCs/>
          <w:b/>
        </w:rPr>
        <w:t xml:space="preserve">Table S10.</w:t>
      </w:r>
      <w:r>
        <w:t xml:space="preserve"> </w:t>
      </w:r>
      <w:r>
        <w:t xml:space="preserve">Admissible set of the Cầu Mây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blHeader w:val="true"/>
          <w:cantSplit/>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right"/>
            </w:pPr>
            <m:oMath>
              <m:r>
                <m:t>α</m:t>
              </m:r>
            </m:oMath>
          </w:p>
        </w:tc>
        <w:tc>
          <w:tcPr>
            <w:tcW w:type="dxa" w:w="1358"/>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m:t>
                  </m:r>
                  <m:r>
                    <m:rPr>
                      <m:sty m:val="p"/>
                    </m:rPr>
                    <m:t>i</m:t>
                  </m:r>
                  <m:r>
                    <m:rPr>
                      <m:sty m:val="p"/>
                    </m:rPr>
                    <m:t>d</m:t>
                  </m:r>
                </m:sub>
              </m:sSub>
            </m:oMath>
          </w:p>
        </w:tc>
        <w:tc>
          <w:tcPr>
            <w:tcW w:type="dxa" w:w="1766"/>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m:t>
                  </m:r>
                  <m:r>
                    <m:rPr>
                      <m:sty m:val="p"/>
                    </m:rPr>
                    <m:t>i</m:t>
                  </m:r>
                  <m:r>
                    <m:rPr>
                      <m:sty m:val="p"/>
                    </m:rPr>
                    <m:t>d</m:t>
                  </m:r>
                </m:sub>
              </m:sSub>
            </m:oMath>
          </w:p>
        </w:tc>
        <w:tc>
          <w:tcPr>
            <w:tcW w:type="dxa" w:w="142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r>
      <w:tr>
        <w:trPr>
          <w:cantSplit/>
        </w:trP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right"/>
            </w:pPr>
            <w:r>
              <w:t xml:space="preserve">0.64–0.80</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right"/>
            </w:pPr>
            <w:r>
              <w:t xml:space="preserve">0.54–0.98</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right"/>
            </w:pPr>
            <w:r>
              <w:t xml:space="preserve">0.51–1.15</w:t>
            </w:r>
          </w:p>
        </w:tc>
        <w:tc>
          <w:tcPr>
            <w:tcW w:type="dxa" w:w="1358"/>
          </w:tcPr>
          <w:p>
            <w:pPr>
              <w:pStyle w:val="Compact"/>
              <w:jc w:val="right"/>
            </w:pPr>
            <w:r>
              <w:t xml:space="preserve">0.14–0.42</w:t>
            </w:r>
          </w:p>
        </w:tc>
        <w:tc>
          <w:tcPr>
            <w:tcW w:type="dxa" w:w="1766"/>
          </w:tcPr>
          <w:p>
            <w:pPr>
              <w:pStyle w:val="Compact"/>
              <w:jc w:val="right"/>
            </w:pPr>
            <w:r>
              <w:t xml:space="preserve">0.12–0.82</w:t>
            </w:r>
          </w:p>
        </w:tc>
        <w:tc>
          <w:tcPr>
            <w:tcW w:type="dxa" w:w="1426"/>
          </w:tcPr>
          <w:p>
            <w:pPr>
              <w:pStyle w:val="Compact"/>
              <w:jc w:val="right"/>
            </w:pPr>
            <w:r>
              <w:t xml:space="preserve">3.0 × 10⁻⁵–2.0 × 10⁻⁴</w:t>
            </w:r>
          </w:p>
        </w:tc>
      </w:tr>
      <w:tr>
        <w:trPr>
          <w:cantSplit/>
        </w:trP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right"/>
            </w:pPr>
            <w:r>
              <w:t xml:space="preserve">–</w:t>
            </w:r>
          </w:p>
        </w:tc>
        <w:tc>
          <w:tcPr>
            <w:tcW w:type="dxa" w:w="1358"/>
          </w:tcPr>
          <w:p>
            <w:pPr>
              <w:pStyle w:val="Compact"/>
              <w:jc w:val="right"/>
            </w:pPr>
            <w:r>
              <w:t xml:space="preserve">0.14–0.27</w:t>
            </w:r>
          </w:p>
        </w:tc>
        <w:tc>
          <w:tcPr>
            <w:tcW w:type="dxa" w:w="1766"/>
          </w:tcPr>
          <w:p>
            <w:pPr>
              <w:pStyle w:val="Compact"/>
              <w:jc w:val="right"/>
            </w:pPr>
            <w:r>
              <w:t xml:space="preserve">0.12–0.30</w:t>
            </w:r>
          </w:p>
        </w:tc>
        <w:tc>
          <w:tcPr>
            <w:tcW w:type="dxa" w:w="1426"/>
          </w:tcPr>
          <w:p>
            <w:pPr>
              <w:pStyle w:val="Compact"/>
              <w:jc w:val="right"/>
            </w:pPr>
            <w:r>
              <w:t xml:space="preserve">–</w:t>
            </w:r>
          </w:p>
        </w:tc>
      </w:tr>
    </w:tbl>
    <w:p>
      <w:pPr>
        <w:pStyle w:val="BodyText"/>
        <w:keepN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centreline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centreline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0.4L</w:t>
            </w:r>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0.4L</w:t>
            </w:r>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blHeader w:val="true"/>
          <w:cantSplit/>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righ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rPr>
          <w:cantSplit/>
        </w:trPr>
        <w:tc>
          <w:tcPr>
            <w:tcW w:type="dxa" w:w="2045"/>
          </w:tcPr>
          <w:p>
            <w:pPr>
              <w:pStyle w:val="Compact"/>
              <w:jc w:val="left"/>
            </w:pPr>
            <w:r>
              <w:t xml:space="preserve">Flexural rigidity</w:t>
            </w:r>
            <w:r>
              <w:t xml:space="preserve"> </w:t>
            </w:r>
            <m:oMath>
              <m:r>
                <m:t>E</m:t>
              </m:r>
              <m:r>
                <m:t>I</m:t>
              </m:r>
            </m:oMath>
          </w:p>
        </w:tc>
        <w:tc>
          <w:tcPr>
            <w:tcW w:type="dxa" w:w="2114"/>
          </w:tcPr>
          <w:p>
            <w:pPr>
              <w:pStyle w:val="Compact"/>
              <w:jc w:val="righ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rPr>
          <w:cantSplit/>
        </w:trPr>
        <w:tc>
          <w:tcPr>
            <w:tcW w:type="dxa" w:w="2045"/>
          </w:tcPr>
          <w:p>
            <w:pPr>
              <w:pStyle w:val="Compact"/>
              <w:jc w:val="left"/>
            </w:pPr>
            <w:r>
              <w:t xml:space="preserve">Span length</w:t>
            </w:r>
          </w:p>
        </w:tc>
        <w:tc>
          <w:tcPr>
            <w:tcW w:type="dxa" w:w="2114"/>
          </w:tcPr>
          <w:p>
            <w:pPr>
              <w:pStyle w:val="Compact"/>
              <w:jc w:val="righ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rPr>
          <w:cantSplit/>
        </w:trPr>
        <w:tc>
          <w:tcPr>
            <w:tcW w:type="dxa" w:w="2045"/>
          </w:tcPr>
          <w:p>
            <w:pPr>
              <w:pStyle w:val="Compact"/>
              <w:jc w:val="left"/>
            </w:pPr>
            <w:r>
              <w:t xml:space="preserve">Gain</w:t>
            </w:r>
          </w:p>
        </w:tc>
        <w:tc>
          <w:tcPr>
            <w:tcW w:type="dxa" w:w="2114"/>
          </w:tcPr>
          <w:p>
            <w:pPr>
              <w:pStyle w:val="Compact"/>
              <w:jc w:val="righ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rPr>
          <w:cantSplit/>
        </w:trP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rPr>
          <w:cantSplit/>
        </w:trP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righ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rPr>
          <w:cantSplit/>
        </w:trPr>
        <w:tc>
          <w:tcPr>
            <w:tcW w:type="dxa" w:w="2045"/>
          </w:tcPr>
          <w:p>
            <w:pPr>
              <w:pStyle w:val="Compact"/>
              <w:jc w:val="left"/>
            </w:pPr>
            <w:r>
              <w:t xml:space="preserve">Speed effect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rPr>
          <w:cantSplit/>
        </w:trPr>
        <w:tc>
          <w:tcPr>
            <w:tcW w:type="dxa" w:w="2045"/>
          </w:tcPr>
          <w:p>
            <w:pPr>
              <w:pStyle w:val="Compact"/>
              <w:jc w:val="left"/>
            </w:pPr>
            <w:r>
              <w:t xml:space="preserve">Speed measurement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rPr>
          <w:cantSplit/>
        </w:trPr>
        <w:tc>
          <w:tcPr>
            <w:tcW w:type="dxa" w:w="2045"/>
          </w:tcPr>
          <w:p>
            <w:pPr>
              <w:pStyle w:val="Compact"/>
              <w:jc w:val="left"/>
            </w:pPr>
            <w:r>
              <w:t xml:space="preserve">Dynamics</w:t>
            </w:r>
          </w:p>
        </w:tc>
        <w:tc>
          <w:tcPr>
            <w:tcW w:type="dxa" w:w="2114"/>
          </w:tcPr>
          <w:p>
            <w:pPr>
              <w:pStyle w:val="Compact"/>
              <w:jc w:val="righ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5"/>
          </w:tcPr>
          <w:p>
            <w:pPr>
              <w:pStyle w:val="Compact"/>
              <w:jc w:val="left"/>
            </w:pPr>
            <w:r>
              <w:t xml:space="preserve">Transverse position</w:t>
            </w:r>
          </w:p>
        </w:tc>
        <w:tc>
          <w:tcPr>
            <w:tcW w:type="dxa" w:w="2114"/>
          </w:tcPr>
          <w:p>
            <w:pPr>
              <w:pStyle w:val="Compact"/>
              <w:jc w:val="righ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rPr>
          <w:cantSplit/>
        </w:trPr>
        <w:tc>
          <w:tcPr>
            <w:tcW w:type="dxa" w:w="2045"/>
          </w:tcPr>
          <w:p>
            <w:pPr>
              <w:pStyle w:val="Compact"/>
              <w:jc w:val="left"/>
            </w:pPr>
            <w:r>
              <w:t xml:space="preserve">Multiple presence</w:t>
            </w:r>
          </w:p>
        </w:tc>
        <w:tc>
          <w:tcPr>
            <w:tcW w:type="dxa" w:w="2114"/>
          </w:tcPr>
          <w:p>
            <w:pPr>
              <w:pStyle w:val="Compact"/>
              <w:jc w:val="righ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rPr>
          <w:cantSplit/>
        </w:trPr>
        <w:tc>
          <w:tcPr>
            <w:tcW w:type="dxa" w:w="2045"/>
          </w:tcPr>
          <w:p>
            <w:pPr>
              <w:pStyle w:val="Compact"/>
              <w:jc w:val="left"/>
            </w:pPr>
            <w:r>
              <w:t xml:space="preserve">Linearity, seating</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the numbering of the README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0" Type="http://schemas.openxmlformats.org/officeDocument/2006/relationships/image" Target="media/rId50.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2026-10-19T10:48:02Z</dcterms:created>
  <dcterms:modified xsi:type="dcterms:W3CDTF">2026-10-19T10:48:02Z</dcterms:modified>
</cp:coreProperties>
</file>

<file path=docProps/custom.xml><?xml version="1.0" encoding="utf-8"?>
<Properties xmlns="http://schemas.openxmlformats.org/officeDocument/2006/custom-properties" xmlns:vt="http://schemas.openxmlformats.org/officeDocument/2006/docPropsVTypes"/>
</file>