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[NEED VALUE: date]</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a near-blind ring for strain gauges set back from the piers;</w:t>
      </w:r>
    </w:p>
    <w:p>
      <w:pPr>
        <w:numPr>
          <w:ilvl w:val="0"/>
          <w:numId w:val="1001"/>
        </w:numPr>
        <w:pStyle w:val="BodyText"/>
      </w:pPr>
      <w:r>
        <w:t xml:space="preserve">a strain indicator that needs no reference stiffness, a cancellation ratio that separates cancellation from restraint, and a corrected normalisation of the deflection indicator;</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one stiffness ratio,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every channel with 95 % confidence intervals and equivalence tests, and it reports negative results. The reference weights on these records vary so little that predicting the mean weight beats every estimator, so the records cannot test weight discrimination. Constants are consistent with axle-configuration invariance but the test is inconclusive at better than about 27 %. Generalised least squares with the measured noise covariance did worse out of sample than the plain gauge average, because errors during crossings are much less correlated between gauges than vehicle-free noise; we present this as a design caution for offset-immune estimation. An application to an in-service 55 + 90 + 55 m box girder shows that its side-span deflection gauge is not identifiable from static acceptance data, and predicts the measurements that would decide.</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and the processed in-service bridge data will be deposited at [NEED VALUE: repository name and DOI].</w:t>
      </w:r>
    </w:p>
    <w:p>
      <w:pPr>
        <w:pStyle w:val="BodyText"/>
      </w:pPr>
      <w:r>
        <w:t xml:space="preserve">The manuscript is original, has not been published, and is not under consideration by any other journal. [NEED VALUE: two related papers by the authors are under review at</w:t>
      </w:r>
      <w:r>
        <w:t xml:space="preserve"> </w:t>
      </w:r>
      <w:r>
        <w:rPr>
          <w:iCs/>
          <w:i/>
        </w:rPr>
        <w:t xml:space="preserve">Structures</w:t>
      </w:r>
      <w:r>
        <w:t xml:space="preserve">; state here whether they share the laboratory rig, data or text with this manuscript and how they are cited, or confirm that there is no overlap, and attach them as papers for the editor.]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2026-10-18T12:39:10Z</dcterms:created>
  <dcterms:modified xsi:type="dcterms:W3CDTF">2026-10-18T12:39:10Z</dcterms:modified>
</cp:coreProperties>
</file>

<file path=docProps/custom.xml><?xml version="1.0" encoding="utf-8"?>
<Properties xmlns="http://schemas.openxmlformats.org/officeDocument/2006/custom-properties" xmlns:vt="http://schemas.openxmlformats.org/officeDocument/2006/docPropsVTypes"/>
</file>