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X68b2cf6050e025dd72932fbd4f5f229751b791f"/>
    <w:p>
      <w:pPr>
        <w:pStyle w:val="Heading1"/>
      </w:pPr>
      <w:r>
        <w:t xml:space="preserve">Load observability of continuous girder bridges: a general response-integral theorem, optimal offset-immune estimation and field verification</w:t>
      </w:r>
    </w:p>
    <w:p>
      <w:pPr>
        <w:pStyle w:val="FirstParagraph"/>
      </w:pPr>
      <w:r>
        <w:t xml:space="preserve">Quoc-Bao Nguyen</w:t>
      </w:r>
      <w:r>
        <w:rPr>
          <w:vertAlign w:val="superscript"/>
        </w:rPr>
        <w:t xml:space="preserve">a</w:t>
      </w:r>
      <w:r>
        <w:t xml:space="preserve">, Thai-Son Vu</w:t>
      </w:r>
      <w:r>
        <w:rPr>
          <w:vertAlign w:val="superscript"/>
        </w:rPr>
        <w:t xml:space="preserve">a,*</w:t>
      </w:r>
      <w:r>
        <w:t xml:space="preserve">, Hung-Son Nguyen</w:t>
      </w:r>
      <w:r>
        <w:rPr>
          <w:vertAlign w:val="superscript"/>
        </w:rPr>
        <w:t xml:space="preserve">a</w:t>
      </w:r>
    </w:p>
    <w:p>
      <w:pPr>
        <w:pStyle w:val="BodyText"/>
      </w:pPr>
      <w:r>
        <w:rPr>
          <w:vertAlign w:val="superscript"/>
        </w:rPr>
        <w:t xml:space="preserve">a</w:t>
      </w:r>
      <w:r>
        <w:t xml:space="preserve"> </w:t>
      </w:r>
      <w:r>
        <w:t xml:space="preserve">Faculty of Bridge and Road Engineering, Hanoi University of Civil Engineering, 55 Giai Phong, Bach Mai ward, 11618 Ha Noi, Viet Nam</w:t>
      </w:r>
    </w:p>
    <w:p>
      <w:pPr>
        <w:pStyle w:val="BodyText"/>
      </w:pPr>
      <w:r>
        <w:t xml:space="preserve">* Corresponding author: Thai-Son Vu. Tel.: +84 971 899 888. E-mail: sonvt2@huce.edu.vn</w:t>
      </w:r>
    </w:p>
    <w:p>
      <w:pPr>
        <w:pStyle w:val="BodyText"/>
      </w:pPr>
      <w:r>
        <w:t xml:space="preserve">E-mail addresses: baonq@huce.edu.vn (Q.-B. Nguyen), sonvt2@huce.edu.vn (T.-S. Vu), sonnh@huce.edu.vn (H.-S. Nguyen)</w:t>
      </w:r>
    </w:p>
    <w:bookmarkStart w:id="20" w:name="abstract"/>
    <w:p>
      <w:pPr>
        <w:pStyle w:val="Heading2"/>
      </w:pPr>
      <w:r>
        <w:t xml:space="preserve">Abstract</w:t>
      </w:r>
    </w:p>
    <w:p>
      <w:pPr>
        <w:pStyle w:val="FirstParagraph"/>
      </w:pPr>
      <w:r>
        <w:t xml:space="preserve">Influence-area weigh-in-motion estimates gross vehicle weight from the area under one bridge response record. We ask which response channels, at which positions, can observe the total load on a continuous girder. For any linear channel (deflection, rotation, strain or support reaction) and a complete quasi-static crossing, the record integral equals the total load times a constant, the channel’s response to a uniform unit load. Blind positions follow from one static analysis: strain gauges are blind at the zeros of the uniform-load moment diagram, which every continuous girder has; deflection gauges are blind only at particular span ratios, for example</w:t>
      </w:r>
      <w:r>
        <w:t xml:space="preserve"> </w:t>
      </w:r>
      <m:oMath>
        <m:d>
          <m:dPr>
            <m:begChr m:val="("/>
            <m:endChr m:val=")"/>
            <m:sepChr m:val=""/>
            <m:grow/>
          </m:dPr>
          <m:e>
            <m:r>
              <m:t>3</m:t>
            </m:r>
            <m:r>
              <m:rPr>
                <m:sty m:val="p"/>
              </m:rPr>
              <m:t>+</m:t>
            </m:r>
            <m:rad>
              <m:radPr>
                <m:degHide m:val="on"/>
              </m:radPr>
              <m:deg/>
              <m:e>
                <m:r>
                  <m:t>33</m:t>
                </m:r>
              </m:e>
            </m:rad>
          </m:e>
        </m:d>
        <m:r>
          <m:rPr>
            <m:sty m:val="p"/>
          </m:rPr>
          <m:t>/</m:t>
        </m:r>
        <m:r>
          <m:t>6</m:t>
        </m:r>
      </m:oMath>
      <w:r>
        <w:t xml:space="preserve"> </w:t>
      </w:r>
      <w:r>
        <w:t xml:space="preserve">for two spans. For several channels, generalised least squares gives the minimum-variance invariant estimator; zero-sum weights make it immune to common-mode offset and drift, and the optimal sensors lie at the extremes of the uniform-load response. On public moving-truck strain records from a five-span continuous box girder, a 5-axle and a 3-axle truck gave the same constant (ratio 0.999 ± 0.140), and one weighed reference crossing predicted the other trucks within 6.5–7.0 % mean absolute error on the quieter day. Gauges 2 m apart had constants differing by up to 2.7 times, which a beam model cannot predict. On a 55 + 90 + 55 m box girder, two static readings bound the pier-to-girder stiffness ratio only from below, leaving the side-span deflection index between 0.12 and 0.82. A residual offset of 0.1 mm would bias a 25 t truck by 21–25 % at mid main span.</w:t>
      </w:r>
    </w:p>
    <w:p>
      <w:pPr>
        <w:pStyle w:val="BodyText"/>
      </w:pPr>
      <w:r>
        <w:rPr>
          <w:bCs/>
          <w:b/>
        </w:rPr>
        <w:t xml:space="preserve">Keywords:</w:t>
      </w:r>
      <w:r>
        <w:t xml:space="preserve"> </w:t>
      </w:r>
      <w:r>
        <w:t xml:space="preserve">Structural health monitoring; Sensor placement; Bridge weigh-in-motion; Continuous girder; Observability; Identifiability</w:t>
      </w:r>
    </w:p>
    <w:bookmarkEnd w:id="20"/>
    <w:bookmarkStart w:id="21" w:name="nomenclature"/>
    <w:p>
      <w:pPr>
        <w:pStyle w:val="Heading2"/>
      </w:pPr>
      <w:r>
        <w:t xml:space="preserve">Nomenclature</w:t>
      </w:r>
    </w:p>
    <w:tbl>
      <w:tblPr>
        <w:tblStyle w:val="Table"/>
        <w:tblW w:type="pct" w:w="5000"/>
        <w:tblLook w:firstRow="1" w:lastRow="0" w:firstColumn="0" w:lastColumn="0" w:noHBand="0" w:noVBand="0" w:val="0020"/>
        <w:jc w:val="start"/>
        <w:tblBorders>
          <w:top w:val="single" w:sz="8" w:space="0" w:color="000000"/>
          <w:left w:val="nil"/>
          <w:bottom w:val="single" w:sz="8" w:space="0" w:color="000000"/>
          <w:right w:val="nil"/>
          <w:insideH w:val="nil"/>
          <w:insideV w:val="nil"/>
        </w:tblBorders>
      </w:tblPr>
      <w:tblGrid>
        <w:gridCol w:w="2061"/>
        <w:gridCol w:w="7008"/>
      </w:tblGrid>
      <w:tr>
        <w:trPr>
          <w:tblHeader w:val="true"/>
        </w:trPr>
        <w:tc>
          <w:tcPr>
            <w:tcW w:type="dxa" w:w="2061"/>
            <w:tcBorders>
              <w:top w:val="nil"/>
              <w:left w:val="nil"/>
              <w:bottom w:val="single" w:sz="6" w:space="0" w:color="000000"/>
              <w:right w:val="nil"/>
            </w:tcBorders>
          </w:tcPr>
          <w:p>
            <w:pPr>
              <w:pStyle w:val="Compact"/>
              <w:jc w:val="left"/>
            </w:pPr>
            <w:r>
              <w:t xml:space="preserve">Symbol</w:t>
            </w:r>
          </w:p>
        </w:tc>
        <w:tc>
          <w:tcPr>
            <w:tcW w:type="dxa" w:w="7008"/>
            <w:tcBorders>
              <w:top w:val="nil"/>
              <w:left w:val="nil"/>
              <w:bottom w:val="single" w:sz="6" w:space="0" w:color="000000"/>
              <w:right w:val="nil"/>
            </w:tcBorders>
          </w:tcPr>
          <w:p>
            <w:pPr>
              <w:pStyle w:val="Compact"/>
              <w:jc w:val="left"/>
            </w:pPr>
            <w:r>
              <w:t xml:space="preserve">Meaning</w:t>
            </w:r>
          </w:p>
        </w:tc>
      </w:tr>
      <w:tr>
        <w:tc>
          <w:tcPr>
            <w:tcW w:type="dxa" w:w="2061"/>
          </w:tcPr>
          <w:p>
            <w:pPr>
              <w:pStyle w:val="Compact"/>
              <w:jc w:val="left"/>
            </w:pPr>
            <m:oMath>
              <m:sSup>
                <m:e>
                  <m:r>
                    <m:t>A</m:t>
                  </m:r>
                </m:e>
                <m:sup>
                  <m:r>
                    <m:rPr>
                      <m:sty m:val="p"/>
                    </m:rPr>
                    <m:t>+</m:t>
                  </m:r>
                </m:sup>
              </m:sSup>
            </m:oMath>
          </w:p>
        </w:tc>
        <w:tc>
          <w:tcPr>
            <w:tcW w:type="dxa" w:w="7008"/>
          </w:tcPr>
          <w:p>
            <w:pPr>
              <w:pStyle w:val="Compact"/>
              <w:jc w:val="left"/>
            </w:pPr>
            <w:r>
              <w:t xml:space="preserve">positive part of the area under an influence line</w:t>
            </w:r>
          </w:p>
        </w:tc>
      </w:tr>
      <w:tr>
        <w:tc>
          <w:tcPr>
            <w:tcW w:type="dxa" w:w="2061"/>
          </w:tcPr>
          <w:p>
            <w:pPr>
              <w:pStyle w:val="Compact"/>
              <w:jc w:val="left"/>
            </w:pPr>
            <m:oMath>
              <m:sSub>
                <m:e>
                  <m:r>
                    <m:t>B</m:t>
                  </m:r>
                </m:e>
                <m:sub>
                  <m:r>
                    <m:t>m</m:t>
                  </m:r>
                </m:sub>
              </m:sSub>
            </m:oMath>
          </w:p>
        </w:tc>
        <w:tc>
          <w:tcPr>
            <w:tcW w:type="dxa" w:w="7008"/>
          </w:tcPr>
          <w:p>
            <w:pPr>
              <w:pStyle w:val="Compact"/>
              <w:jc w:val="left"/>
            </w:pPr>
            <w:r>
              <w:t xml:space="preserve">boundary-conditioning indicator</w:t>
            </w:r>
            <w:r>
              <w:t xml:space="preserve"> </w:t>
            </w:r>
            <m:oMath>
              <m:r>
                <m:rPr>
                  <m:sty m:val="p"/>
                </m:rPr>
                <m:t>|</m:t>
              </m:r>
              <m:r>
                <m:rPr>
                  <m:sty m:val="p"/>
                </m:rPr>
                <m:t>∂</m:t>
              </m:r>
              <m:r>
                <m:rPr>
                  <m:sty m:val="p"/>
                </m:rPr>
                <m:t>ln</m:t>
              </m:r>
              <m:sSub>
                <m:e>
                  <m:r>
                    <m:t>C</m:t>
                  </m:r>
                </m:e>
                <m:sub>
                  <m:r>
                    <m:t>m</m:t>
                  </m:r>
                </m:sub>
              </m:sSub>
              <m:r>
                <m:rPr>
                  <m:sty m:val="p"/>
                </m:rPr>
                <m:t>/</m:t>
              </m:r>
              <m:r>
                <m:rPr>
                  <m:sty m:val="p"/>
                </m:rPr>
                <m:t>∂</m:t>
              </m:r>
              <m:r>
                <m:rPr>
                  <m:sty m:val="p"/>
                </m:rPr>
                <m:t>ln</m:t>
              </m:r>
              <m:r>
                <m:t>κ</m:t>
              </m:r>
              <m:r>
                <m:rPr>
                  <m:sty m:val="p"/>
                </m:rPr>
                <m:t>|</m:t>
              </m:r>
            </m:oMath>
          </w:p>
        </w:tc>
      </w:tr>
      <w:tr>
        <w:tc>
          <w:tcPr>
            <w:tcW w:type="dxa" w:w="2061"/>
          </w:tcPr>
          <w:p>
            <w:pPr>
              <w:pStyle w:val="Compact"/>
              <w:jc w:val="left"/>
            </w:pPr>
            <m:oMath>
              <m:sSub>
                <m:e>
                  <m:r>
                    <m:t>C</m:t>
                  </m:r>
                </m:e>
                <m:sub>
                  <m:r>
                    <m:t>r</m:t>
                  </m:r>
                </m:sub>
              </m:sSub>
            </m:oMath>
            <w:r>
              <w:t xml:space="preserve">,</w:t>
            </w:r>
            <w:r>
              <w:t xml:space="preserve"> </w:t>
            </w:r>
            <m:oMath>
              <m:sSub>
                <m:e>
                  <m:r>
                    <m:t>C</m:t>
                  </m:r>
                </m:e>
                <m:sub>
                  <m:r>
                    <m:t>m</m:t>
                  </m:r>
                </m:sub>
              </m:sSub>
            </m:oMath>
          </w:p>
        </w:tc>
        <w:tc>
          <w:tcPr>
            <w:tcW w:type="dxa" w:w="7008"/>
          </w:tcPr>
          <w:p>
            <w:pPr>
              <w:pStyle w:val="Compact"/>
              <w:jc w:val="left"/>
            </w:pPr>
            <w:r>
              <w:t xml:space="preserve">invariance constant of channel</w:t>
            </w:r>
            <w:r>
              <w:t xml:space="preserve"> </w:t>
            </w:r>
            <m:oMath>
              <m:r>
                <m:t>r</m:t>
              </m:r>
            </m:oMath>
            <w:r>
              <w:t xml:space="preserve">; of a deflection channel at</w:t>
            </w:r>
            <w:r>
              <w:t xml:space="preserve"> </w:t>
            </w:r>
            <m:oMath>
              <m:r>
                <m:t>m</m:t>
              </m:r>
            </m:oMath>
            <w:r>
              <w:t xml:space="preserve"> </w:t>
            </w:r>
            <w:r>
              <w:t xml:space="preserve">(m²/kN)</w:t>
            </w:r>
          </w:p>
        </w:tc>
      </w:tr>
      <w:tr>
        <w:tc>
          <w:tcPr>
            <w:tcW w:type="dxa" w:w="2061"/>
          </w:tcPr>
          <w:p>
            <w:pPr>
              <w:pStyle w:val="Compact"/>
              <w:jc w:val="left"/>
            </w:pPr>
            <m:oMath>
              <m:r>
                <m:t>c</m:t>
              </m:r>
            </m:oMath>
          </w:p>
        </w:tc>
        <w:tc>
          <w:tcPr>
            <w:tcW w:type="dxa" w:w="7008"/>
          </w:tcPr>
          <w:p>
            <w:pPr>
              <w:pStyle w:val="Compact"/>
              <w:jc w:val="left"/>
            </w:pPr>
            <w:r>
              <w:t xml:space="preserve">distance of the gauged fibre from the neutral axis (m)</w:t>
            </w:r>
          </w:p>
        </w:tc>
      </w:tr>
      <w:tr>
        <w:tc>
          <w:tcPr>
            <w:tcW w:type="dxa" w:w="2061"/>
          </w:tcPr>
          <w:p>
            <w:pPr>
              <w:pStyle w:val="Compact"/>
              <w:jc w:val="left"/>
            </w:pPr>
            <m:oMath>
              <m:r>
                <m:t>E</m:t>
              </m:r>
              <m:r>
                <m:t>I</m:t>
              </m:r>
            </m:oMath>
            <w:r>
              <w:t xml:space="preserve">,</w:t>
            </w:r>
            <w:r>
              <w:t xml:space="preserve"> </w:t>
            </w:r>
            <m:oMath>
              <m:r>
                <m:t>E</m:t>
              </m:r>
              <m:sSub>
                <m:e>
                  <m:r>
                    <m:t>I</m:t>
                  </m:r>
                </m:e>
                <m:sub>
                  <m:r>
                    <m:rPr>
                      <m:sty m:val="p"/>
                    </m:rPr>
                    <m:t>m</m:t>
                  </m:r>
                  <m:r>
                    <m:rPr>
                      <m:sty m:val="p"/>
                    </m:rPr>
                    <m:t>i</m:t>
                  </m:r>
                  <m:r>
                    <m:rPr>
                      <m:sty m:val="p"/>
                    </m:rPr>
                    <m:t>d</m:t>
                  </m:r>
                </m:sub>
              </m:sSub>
            </m:oMath>
          </w:p>
        </w:tc>
        <w:tc>
          <w:tcPr>
            <w:tcW w:type="dxa" w:w="7008"/>
          </w:tcPr>
          <w:p>
            <w:pPr>
              <w:pStyle w:val="Compact"/>
              <w:jc w:val="left"/>
            </w:pPr>
            <w:r>
              <w:t xml:space="preserve">flexural rigidity; design value at mid main span (kN m²)</w:t>
            </w:r>
          </w:p>
        </w:tc>
      </w:tr>
      <w:tr>
        <w:tc>
          <w:tcPr>
            <w:tcW w:type="dxa" w:w="2061"/>
          </w:tcPr>
          <w:p>
            <w:pPr>
              <w:pStyle w:val="Compact"/>
              <w:jc w:val="left"/>
            </w:pPr>
            <m:oMath>
              <m:sSub>
                <m:e>
                  <m:r>
                    <m:t>I</m:t>
                  </m:r>
                </m:e>
                <m:sub>
                  <m:r>
                    <m:t>r</m:t>
                  </m:r>
                </m:sub>
              </m:sSub>
            </m:oMath>
          </w:p>
        </w:tc>
        <w:tc>
          <w:tcPr>
            <w:tcW w:type="dxa" w:w="7008"/>
          </w:tcPr>
          <w:p>
            <w:pPr>
              <w:pStyle w:val="Compact"/>
              <w:jc w:val="left"/>
            </w:pPr>
            <w:r>
              <w:t xml:space="preserve">record integral over a complete crossing, in space</w:t>
            </w:r>
          </w:p>
        </w:tc>
      </w:tr>
      <w:tr>
        <w:tc>
          <w:tcPr>
            <w:tcW w:type="dxa" w:w="2061"/>
          </w:tcPr>
          <w:p>
            <w:pPr>
              <w:pStyle w:val="Compact"/>
              <w:jc w:val="left"/>
            </w:pPr>
            <m:oMath>
              <m:r>
                <m:t>k</m:t>
              </m:r>
            </m:oMath>
            <w:r>
              <w:t xml:space="preserve">,</w:t>
            </w:r>
            <w:r>
              <w:t xml:space="preserve"> </w:t>
            </w:r>
            <m:oMath>
              <m:sSub>
                <m:e>
                  <m:r>
                    <m:t>k</m:t>
                  </m:r>
                </m:e>
                <m:sub>
                  <m:r>
                    <m:t>g</m:t>
                  </m:r>
                </m:sub>
              </m:sSub>
            </m:oMath>
          </w:p>
        </w:tc>
        <w:tc>
          <w:tcPr>
            <w:tcW w:type="dxa" w:w="7008"/>
          </w:tcPr>
          <w:p>
            <w:pPr>
              <w:pStyle w:val="Compact"/>
              <w:jc w:val="left"/>
            </w:pPr>
            <w:r>
              <w:t xml:space="preserve">rotational stiffness of a monolithic pier; antisymmetric pier stiffness of the girder (kN m/rad)</w:t>
            </w:r>
          </w:p>
        </w:tc>
      </w:tr>
      <w:tr>
        <w:tc>
          <w:tcPr>
            <w:tcW w:type="dxa" w:w="2061"/>
          </w:tcPr>
          <w:p>
            <w:pPr>
              <w:pStyle w:val="Compact"/>
              <w:jc w:val="left"/>
            </w:pPr>
            <m:oMath>
              <m:sSub>
                <m:e>
                  <m:r>
                    <m:t>L</m:t>
                  </m:r>
                </m:e>
                <m:sub>
                  <m:r>
                    <m:rPr>
                      <m:sty m:val="p"/>
                    </m:rPr>
                    <m:t>t</m:t>
                  </m:r>
                  <m:r>
                    <m:rPr>
                      <m:sty m:val="p"/>
                    </m:rPr>
                    <m:t>o</m:t>
                  </m:r>
                  <m:r>
                    <m:rPr>
                      <m:sty m:val="p"/>
                    </m:rPr>
                    <m:t>t</m:t>
                  </m:r>
                </m:sub>
              </m:sSub>
            </m:oMath>
          </w:p>
        </w:tc>
        <w:tc>
          <w:tcPr>
            <w:tcW w:type="dxa" w:w="7008"/>
          </w:tcPr>
          <w:p>
            <w:pPr>
              <w:pStyle w:val="Compact"/>
              <w:jc w:val="left"/>
            </w:pPr>
            <w:r>
              <w:t xml:space="preserve">length of the integration record (m)</w:t>
            </w:r>
          </w:p>
        </w:tc>
      </w:tr>
      <w:tr>
        <w:tc>
          <w:tcPr>
            <w:tcW w:type="dxa" w:w="2061"/>
          </w:tcPr>
          <w:p>
            <w:pPr>
              <w:pStyle w:val="Compact"/>
              <w:jc w:val="left"/>
            </w:pPr>
            <m:oMath>
              <m:sSub>
                <m:e>
                  <m:r>
                    <m:t>M</m:t>
                  </m:r>
                </m:e>
                <m:sub>
                  <m:r>
                    <m:t>q</m:t>
                  </m:r>
                </m:sub>
              </m:sSub>
            </m:oMath>
          </w:p>
        </w:tc>
        <w:tc>
          <w:tcPr>
            <w:tcW w:type="dxa" w:w="7008"/>
          </w:tcPr>
          <w:p>
            <w:pPr>
              <w:pStyle w:val="Compact"/>
              <w:jc w:val="left"/>
            </w:pPr>
            <w:r>
              <w:t xml:space="preserve">bending moment under a uniform load</w:t>
            </w:r>
            <w:r>
              <w:t xml:space="preserve"> </w:t>
            </w:r>
            <m:oMath>
              <m:sSub>
                <m:e>
                  <m:r>
                    <m:t>q</m:t>
                  </m:r>
                </m:e>
                <m:sub>
                  <m:r>
                    <m:t>0</m:t>
                  </m:r>
                </m:sub>
              </m:sSub>
            </m:oMath>
            <w:r>
              <w:t xml:space="preserve"> </w:t>
            </w:r>
            <w:r>
              <w:t xml:space="preserve">over the whole path</w:t>
            </w:r>
          </w:p>
        </w:tc>
      </w:tr>
      <w:tr>
        <w:tc>
          <w:tcPr>
            <w:tcW w:type="dxa" w:w="2061"/>
          </w:tcPr>
          <w:p>
            <w:pPr>
              <w:pStyle w:val="Compact"/>
              <w:jc w:val="left"/>
            </w:pPr>
            <m:oMath>
              <m:sSub>
                <m:e>
                  <m:r>
                    <m:t>N</m:t>
                  </m:r>
                </m:e>
                <m:sub>
                  <m:r>
                    <m:t>w</m:t>
                  </m:r>
                </m:sub>
              </m:sSub>
            </m:oMath>
            <w:r>
              <w:t xml:space="preserve">,</w:t>
            </w:r>
            <w:r>
              <w:t xml:space="preserve"> </w:t>
            </w:r>
            <m:oMath>
              <m:sSub>
                <m:e>
                  <m:r>
                    <m:t>N</m:t>
                  </m:r>
                </m:e>
                <m:sub>
                  <m:r>
                    <m:t>M</m:t>
                  </m:r>
                </m:sub>
              </m:sSub>
            </m:oMath>
          </w:p>
        </w:tc>
        <w:tc>
          <w:tcPr>
            <w:tcW w:type="dxa" w:w="7008"/>
          </w:tcPr>
          <w:p>
            <w:pPr>
              <w:pStyle w:val="Compact"/>
              <w:jc w:val="left"/>
            </w:pPr>
            <w:r>
              <w:t xml:space="preserve">deflection and strain (moment) indicators, Eqs. (10) and (9)</w:t>
            </w:r>
          </w:p>
        </w:tc>
      </w:tr>
      <w:tr>
        <w:tc>
          <w:tcPr>
            <w:tcW w:type="dxa" w:w="2061"/>
          </w:tcPr>
          <w:p>
            <w:pPr>
              <w:pStyle w:val="Compact"/>
              <w:jc w:val="left"/>
            </w:pPr>
            <m:oMath>
              <m:sSub>
                <m:e>
                  <m:r>
                    <m:t>P</m:t>
                  </m:r>
                </m:e>
                <m:sub>
                  <m:r>
                    <m:rPr>
                      <m:sty m:val="p"/>
                    </m:rPr>
                    <m:t>t</m:t>
                  </m:r>
                  <m:r>
                    <m:rPr>
                      <m:sty m:val="p"/>
                    </m:rPr>
                    <m:t>o</m:t>
                  </m:r>
                  <m:r>
                    <m:rPr>
                      <m:sty m:val="p"/>
                    </m:rPr>
                    <m:t>t</m:t>
                  </m:r>
                </m:sub>
              </m:sSub>
            </m:oMath>
            <w:r>
              <w:t xml:space="preserve">,</w:t>
            </w:r>
            <w:r>
              <w:t xml:space="preserve"> </w:t>
            </w:r>
            <m:oMath>
              <m:sSub>
                <m:e>
                  <m:r>
                    <m:t>P</m:t>
                  </m:r>
                </m:e>
                <m:sub>
                  <m:r>
                    <m:t>0</m:t>
                  </m:r>
                </m:sub>
              </m:sSub>
            </m:oMath>
          </w:p>
        </w:tc>
        <w:tc>
          <w:tcPr>
            <w:tcW w:type="dxa" w:w="7008"/>
          </w:tcPr>
          <w:p>
            <w:pPr>
              <w:pStyle w:val="Compact"/>
              <w:jc w:val="left"/>
            </w:pPr>
            <w:r>
              <w:t xml:space="preserve">total load of a crossing; weighed reference load (kN)</w:t>
            </w:r>
          </w:p>
        </w:tc>
      </w:tr>
      <w:tr>
        <w:tc>
          <w:tcPr>
            <w:tcW w:type="dxa" w:w="2061"/>
          </w:tcPr>
          <w:p>
            <w:pPr>
              <w:pStyle w:val="Compact"/>
              <w:jc w:val="left"/>
            </w:pPr>
            <m:oMath>
              <m:sSub>
                <m:e>
                  <m:r>
                    <m:t>P</m:t>
                  </m:r>
                </m:e>
                <m:sub>
                  <m:r>
                    <m:t>ε</m:t>
                  </m:r>
                </m:sub>
              </m:sSub>
            </m:oMath>
          </w:p>
        </w:tc>
        <w:tc>
          <w:tcPr>
            <w:tcW w:type="dxa" w:w="7008"/>
          </w:tcPr>
          <w:p>
            <w:pPr>
              <w:pStyle w:val="Compact"/>
              <w:jc w:val="left"/>
            </w:pPr>
            <w:r>
              <w:t xml:space="preserve">offset-equivalent load</w:t>
            </w:r>
            <w:r>
              <w:t xml:space="preserve"> </w:t>
            </w:r>
            <m:oMath>
              <m:sSub>
                <m:e>
                  <m:r>
                    <m:t>ε</m:t>
                  </m:r>
                </m:e>
                <m:sub>
                  <m:r>
                    <m:t>0</m:t>
                  </m:r>
                </m:sub>
              </m:sSub>
              <m:sSub>
                <m:e>
                  <m:r>
                    <m:t>L</m:t>
                  </m:r>
                </m:e>
                <m:sub>
                  <m:r>
                    <m:rPr>
                      <m:sty m:val="p"/>
                    </m:rPr>
                    <m:t>t</m:t>
                  </m:r>
                  <m:r>
                    <m:rPr>
                      <m:sty m:val="p"/>
                    </m:rPr>
                    <m:t>o</m:t>
                  </m:r>
                  <m:r>
                    <m:rPr>
                      <m:sty m:val="p"/>
                    </m:rPr>
                    <m:t>t</m:t>
                  </m:r>
                </m:sub>
              </m:sSub>
              <m:r>
                <m:rPr>
                  <m:sty m:val="p"/>
                </m:rPr>
                <m:t>/</m:t>
              </m:r>
              <m:sSub>
                <m:e>
                  <m:r>
                    <m:t>C</m:t>
                  </m:r>
                </m:e>
                <m:sub>
                  <m:r>
                    <m:t>m</m:t>
                  </m:r>
                </m:sub>
              </m:sSub>
            </m:oMath>
            <w:r>
              <w:t xml:space="preserve"> </w:t>
            </w:r>
            <w:r>
              <w:t xml:space="preserve">(kN)</w:t>
            </w:r>
          </w:p>
        </w:tc>
      </w:tr>
      <w:tr>
        <w:tc>
          <w:tcPr>
            <w:tcW w:type="dxa" w:w="2061"/>
          </w:tcPr>
          <w:p>
            <w:pPr>
              <w:pStyle w:val="Compact"/>
              <w:jc w:val="left"/>
            </w:pPr>
            <m:oMath>
              <m:r>
                <m:t>R</m:t>
              </m:r>
            </m:oMath>
          </w:p>
        </w:tc>
        <w:tc>
          <w:tcPr>
            <w:tcW w:type="dxa" w:w="7008"/>
          </w:tcPr>
          <w:p>
            <w:pPr>
              <w:pStyle w:val="Compact"/>
              <w:jc w:val="left"/>
            </w:pPr>
            <w:r>
              <w:t xml:space="preserve">cancellation ratio</w:t>
            </w:r>
            <w:r>
              <w:t xml:space="preserve"> </w:t>
            </w:r>
            <m:oMath>
              <m:r>
                <m:t>C</m:t>
              </m:r>
              <m:r>
                <m:rPr>
                  <m:sty m:val="p"/>
                </m:rPr>
                <m:t>/</m:t>
              </m:r>
              <m:sSup>
                <m:e>
                  <m:r>
                    <m:t>A</m:t>
                  </m:r>
                </m:e>
                <m:sup>
                  <m:r>
                    <m:rPr>
                      <m:sty m:val="p"/>
                    </m:rPr>
                    <m:t>+</m:t>
                  </m:r>
                </m:sup>
              </m:sSup>
            </m:oMath>
          </w:p>
        </w:tc>
      </w:tr>
      <w:tr>
        <w:tc>
          <w:tcPr>
            <w:tcW w:type="dxa" w:w="2061"/>
          </w:tcPr>
          <w:p>
            <w:pPr>
              <w:pStyle w:val="Compact"/>
              <w:jc w:val="left"/>
            </w:pPr>
            <m:oMath>
              <m:r>
                <m:t>w</m:t>
              </m:r>
            </m:oMath>
          </w:p>
        </w:tc>
        <w:tc>
          <w:tcPr>
            <w:tcW w:type="dxa" w:w="7008"/>
          </w:tcPr>
          <w:p>
            <w:pPr>
              <w:pStyle w:val="Compact"/>
              <w:jc w:val="left"/>
            </w:pPr>
            <w:r>
              <w:t xml:space="preserve">weight vector of a multi-channel estimator</w:t>
            </w:r>
          </w:p>
        </w:tc>
      </w:tr>
      <w:tr>
        <w:tc>
          <w:tcPr>
            <w:tcW w:type="dxa" w:w="2061"/>
          </w:tcPr>
          <w:p>
            <w:pPr>
              <w:pStyle w:val="Compact"/>
              <w:jc w:val="left"/>
            </w:pPr>
            <m:oMath>
              <m:r>
                <m:t>α</m:t>
              </m:r>
            </m:oMath>
          </w:p>
        </w:tc>
        <w:tc>
          <w:tcPr>
            <w:tcW w:type="dxa" w:w="7008"/>
          </w:tcPr>
          <w:p>
            <w:pPr>
              <w:pStyle w:val="Compact"/>
              <w:jc w:val="left"/>
            </w:pPr>
            <w:r>
              <w:t xml:space="preserve">ratio of effective to design girder rigidity</w:t>
            </w:r>
          </w:p>
        </w:tc>
      </w:tr>
      <w:tr>
        <w:tc>
          <w:tcPr>
            <w:tcW w:type="dxa" w:w="2061"/>
          </w:tcPr>
          <w:p>
            <w:pPr>
              <w:pStyle w:val="Compact"/>
              <w:jc w:val="left"/>
            </w:pPr>
            <m:oMath>
              <m:r>
                <m:t>β</m:t>
              </m:r>
            </m:oMath>
            <w:r>
              <w:t xml:space="preserve">,</w:t>
            </w:r>
            <w:r>
              <w:t xml:space="preserve"> </w:t>
            </w:r>
            <m:oMath>
              <m:sSub>
                <m:e>
                  <m:r>
                    <m:t>ρ</m:t>
                  </m:r>
                </m:e>
                <m:sub>
                  <m:r>
                    <m:t>L</m:t>
                  </m:r>
                </m:sub>
              </m:sSub>
            </m:oMath>
          </w:p>
        </w:tc>
        <w:tc>
          <w:tcPr>
            <w:tcW w:type="dxa" w:w="7008"/>
          </w:tcPr>
          <w:p>
            <w:pPr>
              <w:pStyle w:val="Compact"/>
              <w:jc w:val="left"/>
            </w:pPr>
            <w:r>
              <w:t xml:space="preserve">main-to-side span ratio (three spans); adjacent-to-instrumented span ratio (two spans)</w:t>
            </w:r>
          </w:p>
        </w:tc>
      </w:tr>
      <w:tr>
        <w:tc>
          <w:tcPr>
            <w:tcW w:type="dxa" w:w="2061"/>
          </w:tcPr>
          <w:p>
            <w:pPr>
              <w:pStyle w:val="Compact"/>
              <w:jc w:val="left"/>
            </w:pPr>
            <m:oMath>
              <m:sSub>
                <m:e>
                  <m:r>
                    <m:t>ε</m:t>
                  </m:r>
                </m:e>
                <m:sub>
                  <m:r>
                    <m:t>0</m:t>
                  </m:r>
                </m:sub>
              </m:sSub>
            </m:oMath>
          </w:p>
        </w:tc>
        <w:tc>
          <w:tcPr>
            <w:tcW w:type="dxa" w:w="7008"/>
          </w:tcPr>
          <w:p>
            <w:pPr>
              <w:pStyle w:val="Compact"/>
              <w:jc w:val="left"/>
            </w:pPr>
            <w:r>
              <w:t xml:space="preserve">residual zero offset after pre/post re-zeroing (mm)</w:t>
            </w:r>
          </w:p>
        </w:tc>
      </w:tr>
      <w:tr>
        <w:tc>
          <w:tcPr>
            <w:tcW w:type="dxa" w:w="2061"/>
          </w:tcPr>
          <w:p>
            <w:pPr>
              <w:pStyle w:val="Compact"/>
              <w:jc w:val="left"/>
            </w:pPr>
            <m:oMath>
              <m:sSub>
                <m:e>
                  <m:r>
                    <m:t>η</m:t>
                  </m:r>
                </m:e>
                <m:sub>
                  <m:r>
                    <m:t>m</m:t>
                  </m:r>
                </m:sub>
              </m:sSub>
            </m:oMath>
          </w:p>
        </w:tc>
        <w:tc>
          <w:tcPr>
            <w:tcW w:type="dxa" w:w="7008"/>
          </w:tcPr>
          <w:p>
            <w:pPr>
              <w:pStyle w:val="Compact"/>
              <w:jc w:val="left"/>
            </w:pPr>
            <w:r>
              <w:t xml:space="preserve">influence line of the channel at</w:t>
            </w:r>
            <w:r>
              <w:t xml:space="preserve"> </w:t>
            </w:r>
            <m:oMath>
              <m:r>
                <m:t>m</m:t>
              </m:r>
            </m:oMath>
          </w:p>
        </w:tc>
      </w:tr>
      <w:tr>
        <w:tc>
          <w:tcPr>
            <w:tcW w:type="dxa" w:w="2061"/>
          </w:tcPr>
          <w:p>
            <w:pPr>
              <w:pStyle w:val="Compact"/>
              <w:jc w:val="left"/>
            </w:pPr>
            <m:oMath>
              <m:r>
                <m:t>κ</m:t>
              </m:r>
            </m:oMath>
          </w:p>
        </w:tc>
        <w:tc>
          <w:tcPr>
            <w:tcW w:type="dxa" w:w="7008"/>
          </w:tcPr>
          <w:p>
            <w:pPr>
              <w:pStyle w:val="Compact"/>
              <w:jc w:val="left"/>
            </w:pPr>
            <w:r>
              <w:t xml:space="preserve">pier-to-girder stiffness ratio</w:t>
            </w:r>
            <w:r>
              <w:t xml:space="preserve"> </w:t>
            </w:r>
            <m:oMath>
              <m:r>
                <m:t>k</m:t>
              </m:r>
              <m:r>
                <m:rPr>
                  <m:sty m:val="p"/>
                </m:rPr>
                <m:t>/</m:t>
              </m:r>
              <m:r>
                <m:t>α</m:t>
              </m:r>
            </m:oMath>
            <w:r>
              <w:t xml:space="preserve"> </w:t>
            </w:r>
            <w:r>
              <w:t xml:space="preserve">(kN m/rad)</w:t>
            </w:r>
          </w:p>
        </w:tc>
      </w:tr>
      <w:tr>
        <w:tc>
          <w:tcPr>
            <w:tcW w:type="dxa" w:w="2061"/>
          </w:tcPr>
          <w:p>
            <w:pPr>
              <w:pStyle w:val="Compact"/>
              <w:jc w:val="left"/>
            </w:pPr>
            <m:oMath>
              <m:r>
                <m:t>μ</m:t>
              </m:r>
            </m:oMath>
          </w:p>
        </w:tc>
        <w:tc>
          <w:tcPr>
            <w:tcW w:type="dxa" w:w="7008"/>
          </w:tcPr>
          <w:p>
            <w:pPr>
              <w:pStyle w:val="Compact"/>
              <w:jc w:val="left"/>
            </w:pPr>
            <w:r>
              <w:t xml:space="preserve">interior-moment parameter,</w:t>
            </w:r>
            <w:r>
              <w:t xml:space="preserve"> </w:t>
            </w:r>
            <m:oMath>
              <m:r>
                <m:t>μ</m:t>
              </m:r>
              <m:r>
                <m:rPr>
                  <m:sty m:val="p"/>
                </m:rPr>
                <m:t>=</m:t>
              </m:r>
              <m:r>
                <m:rPr>
                  <m:sty m:val="p"/>
                </m:rPr>
                <m:t>−</m:t>
              </m:r>
              <m:r>
                <m:t>8</m:t>
              </m:r>
              <m:sSub>
                <m:e>
                  <m:r>
                    <m:t>M</m:t>
                  </m:r>
                </m:e>
                <m:sub>
                  <m:r>
                    <m:t>B</m:t>
                  </m:r>
                </m:sub>
              </m:sSub>
              <m:r>
                <m:rPr>
                  <m:sty m:val="p"/>
                </m:rPr>
                <m:t>/</m:t>
              </m:r>
              <m:d>
                <m:dPr>
                  <m:begChr m:val="("/>
                  <m:endChr m:val=")"/>
                  <m:sepChr m:val=""/>
                  <m:grow/>
                </m:dPr>
                <m:e>
                  <m:sSub>
                    <m:e>
                      <m:r>
                        <m:t>q</m:t>
                      </m:r>
                    </m:e>
                    <m:sub>
                      <m:r>
                        <m:t>0</m:t>
                      </m:r>
                    </m:sub>
                  </m:sSub>
                  <m:sSubSup>
                    <m:e>
                      <m:r>
                        <m:t>L</m:t>
                      </m:r>
                    </m:e>
                    <m:sub>
                      <m:r>
                        <m:t>1</m:t>
                      </m:r>
                    </m:sub>
                    <m:sup>
                      <m:r>
                        <m:t>2</m:t>
                      </m:r>
                    </m:sup>
                  </m:sSubSup>
                </m:e>
              </m:d>
            </m:oMath>
          </w:p>
        </w:tc>
      </w:tr>
      <w:tr>
        <w:tc>
          <w:tcPr>
            <w:tcW w:type="dxa" w:w="2061"/>
          </w:tcPr>
          <w:p>
            <w:pPr>
              <w:pStyle w:val="Compact"/>
              <w:jc w:val="left"/>
            </w:pPr>
            <m:oMath>
              <m:r>
                <m:t>ρ</m:t>
              </m:r>
            </m:oMath>
          </w:p>
        </w:tc>
        <w:tc>
          <w:tcPr>
            <w:tcW w:type="dxa" w:w="7008"/>
          </w:tcPr>
          <w:p>
            <w:pPr>
              <w:pStyle w:val="Compact"/>
              <w:jc w:val="left"/>
            </w:pPr>
            <w:r>
              <w:t xml:space="preserve">common-mode fraction of the offset between channels</w:t>
            </w:r>
          </w:p>
        </w:tc>
      </w:tr>
      <w:tr>
        <w:tc>
          <w:tcPr>
            <w:tcW w:type="dxa" w:w="2061"/>
          </w:tcPr>
          <w:p>
            <w:pPr>
              <w:pStyle w:val="Compact"/>
              <w:jc w:val="left"/>
            </w:pPr>
            <m:oMath>
              <m:r>
                <m:t>ξ</m:t>
              </m:r>
            </m:oMath>
          </w:p>
        </w:tc>
        <w:tc>
          <w:tcPr>
            <w:tcW w:type="dxa" w:w="7008"/>
          </w:tcPr>
          <w:p>
            <w:pPr>
              <w:pStyle w:val="Compact"/>
              <w:jc w:val="left"/>
            </w:pPr>
            <w:r>
              <w:t xml:space="preserve">sensor position as a fraction of its span</w:t>
            </w:r>
          </w:p>
        </w:tc>
      </w:tr>
      <w:tr>
        <w:tc>
          <w:tcPr>
            <w:tcW w:type="dxa" w:w="2061"/>
          </w:tcPr>
          <w:p>
            <w:pPr>
              <w:pStyle w:val="Compact"/>
              <w:jc w:val="left"/>
            </w:pPr>
            <w:r>
              <w:t xml:space="preserve">BPM, SLM</w:t>
            </w:r>
          </w:p>
        </w:tc>
        <w:tc>
          <w:tcPr>
            <w:tcW w:type="dxa" w:w="7008"/>
          </w:tcPr>
          <w:p>
            <w:pPr>
              <w:pStyle w:val="Compact"/>
              <w:jc w:val="left"/>
            </w:pPr>
            <w:r>
              <w:t xml:space="preserve">beam-property method; standard-load method</w:t>
            </w:r>
          </w:p>
        </w:tc>
      </w:tr>
    </w:tbl>
    <w:bookmarkEnd w:id="21"/>
    <w:bookmarkStart w:id="22" w:name="introduction"/>
    <w:p>
      <w:pPr>
        <w:pStyle w:val="Heading2"/>
      </w:pPr>
      <w:r>
        <w:t xml:space="preserve">1. Introduction</w:t>
      </w:r>
    </w:p>
    <w:p>
      <w:pPr>
        <w:pStyle w:val="FirstParagraph"/>
      </w:pPr>
      <w:r>
        <w:t xml:space="preserve">Heavy vehicles above the design envelope shorten the life of highway bridges and, in extreme cases, contribute to collapse. A span of the Yangmingtan Bridge failed in 2012 under four overloaded trucks crossing together [1]. In other documented failures, heavy traffic acted together with design deficiencies or material degradation [2–4]. Knowing the loads that a bridge actually carries is therefore part of risk-informed asset management [5,6].</w:t>
      </w:r>
    </w:p>
    <w:p>
      <w:pPr>
        <w:pStyle w:val="BodyText"/>
      </w:pPr>
      <w:r>
        <w:t xml:space="preserve">Pavement weigh-in-motion (WIM) is mature [7,8] and has codified accuracy classes [9], but stations are costly to install and maintain [10], and they weigh the vehicle rather than the load on a particular bridge. Bridge weigh-in-motion (BWIM), introduced by Moses [11], fits the measured response to axle loads times influence-line ordinates. It now includes influence lines calibrated from measurements [12], regularised solutions [13], accuracy improvements [14,15], contactless sensing [16] and virtual-axle methods without axle detectors [17]. Moving-force identification recovers axle-load histories in the time or frequency domain [18–20], on multi-span bridges [21] and with dynamic, Bayesian, Kalman-filter and machine-learning formulations [22–26]. These methods aim at axle loads and need several sensors, a structural model or a regularised inversion.</w:t>
      </w:r>
    </w:p>
    <w:p>
      <w:pPr>
        <w:pStyle w:val="BodyText"/>
      </w:pPr>
      <w:r>
        <w:t xml:space="preserve">A simpler family estimates only the gross weight from the area under the response. Ojio and Yamada integrated the strain records of plate-girder stringers, multiplied the result by the speed and calibrated it against a truck of known weight [27]. The method has been used in long-term monitoring [28] and on a seven-span slab-on-girder bridge, where it was accurate to within 5 % for test trucks with well-estimated speeds [29,30]. Strain-area and strain-integral variants [31–34], a sparse-sensing influence-area system that chose the number and location of strain gauges on a single-span bridge [35], simplified BWIM in the field [36] and load-cell reactions [37] followed. The integral of the influence line has also served as a damage feature [38,39]. The present authors used the integral of mid-span deflection to identify the total load on a simply supported beam [40], where the influence line has one sign.</w:t>
      </w:r>
    </w:p>
    <w:p>
      <w:pPr>
        <w:pStyle w:val="BodyText"/>
      </w:pPr>
      <w:r>
        <w:t xml:space="preserve">On continuous girders the influence line changes sign over each interior support, so positive and negative areas partly cancel. Gross weight has been obtained without influence lines from distributed fibre-optic strain on a five-span continuous bridge [41]. Lane-specific influence lines were needed on a continuous multi-girder bridge [42]. Long-span continuous box girders have been weighed from deck strain with a nothing-on-road BWIM system [43–45]. Optimal sensor placement for BWIM has been posed through an augmented Kalman filter [46], and deflection-based load identification as a regularised stochastic problem [47,48]. Measured deflection influence lines have been inverted for the stiffness of variable-section continuous girders [49]. What these studies do not provide is a criterion, available before installation, that says which channel at which position can observe the total load at all, how well, and how robustly to the uncertain boundary conditions of a real girder.</w:t>
      </w:r>
    </w:p>
    <w:p>
      <w:pPr>
        <w:pStyle w:val="BodyText"/>
      </w:pPr>
      <w:r>
        <w:t xml:space="preserve">This paper develops such criteria for designing load-monitoring channels on continuous girders. Its contributions are as follows.</w:t>
      </w:r>
    </w:p>
    <w:p>
      <w:pPr>
        <w:numPr>
          <w:ilvl w:val="0"/>
          <w:numId w:val="1001"/>
        </w:numPr>
        <w:pStyle w:val="BodyText"/>
      </w:pPr>
      <w:r>
        <w:t xml:space="preserve">A theorem for any linear response channel: over a complete crossing, the record integral equals the total load times the channel’s response to a uniform unit load. It yields closed-form blind loci for deflection, strain, rotation and reaction channels on two- and three-span girders. Strain channels are blind at every zero of the uniform-load moment diagram, deflection channels only near particular span ratios.</w:t>
      </w:r>
    </w:p>
    <w:p>
      <w:pPr>
        <w:numPr>
          <w:ilvl w:val="0"/>
          <w:numId w:val="1001"/>
        </w:numPr>
        <w:pStyle w:val="BodyText"/>
      </w:pPr>
      <w:r>
        <w:t xml:space="preserve">Observability and conditioning indicators that remain valid for non-prismatic girders. The strain indicator</w:t>
      </w:r>
      <w:r>
        <w:t xml:space="preserve"> </w:t>
      </w:r>
      <m:oMath>
        <m:sSub>
          <m:e>
            <m:r>
              <m:t>N</m:t>
            </m:r>
          </m:e>
          <m:sub>
            <m:r>
              <m:t>M</m:t>
            </m:r>
          </m:sub>
        </m:sSub>
      </m:oMath>
      <w:r>
        <w:t xml:space="preserve"> </w:t>
      </w:r>
      <w:r>
        <w:t xml:space="preserve">needs no reference stiffness, and the cancellation ratio</w:t>
      </w:r>
      <w:r>
        <w:t xml:space="preserve"> </w:t>
      </w:r>
      <m:oMath>
        <m:r>
          <m:t>R</m:t>
        </m:r>
        <m:r>
          <m:rPr>
            <m:sty m:val="p"/>
          </m:rPr>
          <m:t>=</m:t>
        </m:r>
        <m:r>
          <m:t>C</m:t>
        </m:r>
        <m:r>
          <m:rPr>
            <m:sty m:val="p"/>
          </m:rPr>
          <m:t>/</m:t>
        </m:r>
        <m:sSup>
          <m:e>
            <m:r>
              <m:t>A</m:t>
            </m:r>
          </m:e>
          <m:sup>
            <m:r>
              <m:rPr>
                <m:sty m:val="p"/>
              </m:rPr>
              <m:t>+</m:t>
            </m:r>
          </m:sup>
        </m:sSup>
      </m:oMath>
      <w:r>
        <w:t xml:space="preserve"> </w:t>
      </w:r>
      <w:r>
        <w:t xml:space="preserve">separates cancellation between spans from restraint.</w:t>
      </w:r>
    </w:p>
    <w:p>
      <w:pPr>
        <w:numPr>
          <w:ilvl w:val="0"/>
          <w:numId w:val="1001"/>
        </w:numPr>
        <w:pStyle w:val="BodyText"/>
      </w:pPr>
      <w:r>
        <w:t xml:space="preserve">A minimum-variance invariant multi-channel estimator and an offset-immune variant with zero-sum weights, together with a placement rule proved for both: sensors belong at the extremes of the uniform-load response.</w:t>
      </w:r>
    </w:p>
    <w:p>
      <w:pPr>
        <w:numPr>
          <w:ilvl w:val="0"/>
          <w:numId w:val="1001"/>
        </w:numPr>
        <w:pStyle w:val="BodyText"/>
      </w:pPr>
      <w:r>
        <w:t xml:space="preserve">An identifiability analysis of the indicator under boundary uncertainty. For a symmetric girder with monolithic piers, the constant depends on the pier stiffness through one ratio and a Möbius law, which shows which additional measurement identifies it.</w:t>
      </w:r>
    </w:p>
    <w:p>
      <w:pPr>
        <w:numPr>
          <w:ilvl w:val="0"/>
          <w:numId w:val="1001"/>
        </w:numPr>
        <w:pStyle w:val="BodyText"/>
      </w:pPr>
      <w:r>
        <w:t xml:space="preserve">Verification at three levels: a laboratory two-span beam, public moving-truck strain records with weighed trucks on a five-span continuous box girder [50,51], and an application to an in-service 55 + 90 + 55 m box girder, for which the measurements that would decide between competing models are predicted.</w:t>
      </w:r>
    </w:p>
    <w:p>
      <w:pPr>
        <w:pStyle w:val="FirstParagraph"/>
      </w:pPr>
      <w:r>
        <w:t xml:space="preserve">“</w:t>
      </w:r>
      <w:r>
        <w:t xml:space="preserve">Observability</w:t>
      </w:r>
      <w:r>
        <w:t xml:space="preserve">”</w:t>
      </w:r>
      <w:r>
        <w:t xml:space="preserve"> </w:t>
      </w:r>
      <w:r>
        <w:t xml:space="preserve">is used in the narrow sense of total-load observability: a non-zero constant, so that the total load maps to a non-zero integral. It is not the observability of a state-space model. Section 2 develops the theory, Sections 3–5 the laboratory, field and in-service verification, Section 6 the error budget and Section 7 the design workflow.</w:t>
      </w:r>
    </w:p>
    <w:bookmarkEnd w:id="22"/>
    <w:bookmarkStart w:id="28" w:name="theory"/>
    <w:p>
      <w:pPr>
        <w:pStyle w:val="Heading2"/>
      </w:pPr>
      <w:r>
        <w:t xml:space="preserve">2. Theory</w:t>
      </w:r>
    </w:p>
    <w:p>
      <w:pPr>
        <w:pStyle w:val="FirstParagraph"/>
      </w:pPr>
      <w:r>
        <w:t xml:space="preserve">This section states the response-integral theorem for any channel, gives closed-form blind loci, defines the indicators, derives the optimal multi-channel estimator and analyses how boundary uncertainty enters the constant. Derivations are in Appendices A–C.</w:t>
      </w:r>
    </w:p>
    <w:bookmarkStart w:id="23" w:name="X712f5dbb4d9a0f0195e5da06fa58e567c57b001"/>
    <w:p>
      <w:pPr>
        <w:pStyle w:val="Heading3"/>
      </w:pPr>
      <w:r>
        <w:t xml:space="preserve">2.1. Response-integral theorem for any channel</w:t>
      </w:r>
    </w:p>
    <w:p>
      <w:pPr>
        <w:pStyle w:val="FirstParagraph"/>
      </w:pPr>
      <w:r>
        <w:t xml:space="preserve">Consider a linear-elastic structure whose properties do not change during a crossing, with any distribution</w:t>
      </w:r>
      <w:r>
        <w:t xml:space="preserve"> </w:t>
      </w:r>
      <m:oMath>
        <m:r>
          <m:t>E</m:t>
        </m:r>
        <m:r>
          <m:t>I</m:t>
        </m:r>
        <m:d>
          <m:dPr>
            <m:begChr m:val="("/>
            <m:endChr m:val=")"/>
            <m:sepChr m:val=""/>
            <m:grow/>
          </m:dPr>
          <m:e>
            <m:r>
              <m:t>x</m:t>
            </m:r>
          </m:e>
        </m:d>
      </m:oMath>
      <w:r>
        <w:t xml:space="preserve"> </w:t>
      </w:r>
      <w:r>
        <w:t xml:space="preserve">and any linear elastic supports. A response channel at a fixed point</w:t>
      </w:r>
      <w:r>
        <w:t xml:space="preserve"> </w:t>
      </w:r>
      <m:oMath>
        <m:r>
          <m:t>m</m:t>
        </m:r>
      </m:oMath>
      <w:r>
        <w:t xml:space="preserve"> </w:t>
      </w:r>
      <w:r>
        <w:t xml:space="preserve">is any fixed linear functional</w:t>
      </w:r>
      <w:r>
        <w:t xml:space="preserve"> </w:t>
      </w:r>
      <m:oMath>
        <m:sSub>
          <m:e>
            <m:r>
              <m:t>r</m:t>
            </m:r>
          </m:e>
          <m:sub>
            <m:r>
              <m:t>m</m:t>
            </m:r>
          </m:sub>
        </m:sSub>
      </m:oMath>
      <w:r>
        <w:t xml:space="preserve"> </w:t>
      </w:r>
      <w:r>
        <w:t xml:space="preserve">of the displacement field, measured from the unloaded state: the deflection</w:t>
      </w:r>
      <w:r>
        <w:t xml:space="preserve"> </w:t>
      </w:r>
      <m:oMath>
        <m:r>
          <m:t>w</m:t>
        </m:r>
        <m:d>
          <m:dPr>
            <m:begChr m:val="("/>
            <m:endChr m:val=")"/>
            <m:sepChr m:val=""/>
            <m:grow/>
          </m:dPr>
          <m:e>
            <m:sSub>
              <m:e>
                <m:r>
                  <m:t>x</m:t>
                </m:r>
              </m:e>
              <m:sub>
                <m:r>
                  <m:t>m</m:t>
                </m:r>
              </m:sub>
            </m:sSub>
          </m:e>
        </m:d>
      </m:oMath>
      <w:r>
        <w:t xml:space="preserve">, the rotation</w:t>
      </w:r>
      <w:r>
        <w:t xml:space="preserve"> </w:t>
      </w:r>
      <m:oMath>
        <m:r>
          <m:t>w</m:t>
        </m:r>
        <m:r>
          <m:rPr>
            <m:sty m:val="p"/>
          </m:rPr>
          <m:t>′</m:t>
        </m:r>
        <m:d>
          <m:dPr>
            <m:begChr m:val="("/>
            <m:endChr m:val=")"/>
            <m:sepChr m:val=""/>
            <m:grow/>
          </m:dPr>
          <m:e>
            <m:sSub>
              <m:e>
                <m:r>
                  <m:t>x</m:t>
                </m:r>
              </m:e>
              <m:sub>
                <m:r>
                  <m:t>m</m:t>
                </m:r>
              </m:sub>
            </m:sSub>
          </m:e>
        </m:d>
      </m:oMath>
      <w:r>
        <w:t xml:space="preserve">, the bending moment, the fibre strain</w:t>
      </w:r>
      <w:r>
        <w:t xml:space="preserve"> </w:t>
      </w:r>
      <m:oMath>
        <m:r>
          <m:t>ε</m:t>
        </m:r>
        <m:r>
          <m:rPr>
            <m:sty m:val="p"/>
          </m:rPr>
          <m:t>=</m:t>
        </m:r>
        <m:r>
          <m:t>c</m:t>
        </m:r>
        <m:r>
          <m:t>M</m:t>
        </m:r>
        <m:r>
          <m:rPr>
            <m:sty m:val="p"/>
          </m:rPr>
          <m:t>/</m:t>
        </m:r>
        <m:r>
          <m:t>E</m:t>
        </m:r>
        <m:r>
          <m:t>I</m:t>
        </m:r>
      </m:oMath>
      <w:r>
        <w:t xml:space="preserve">, the shear force or a support reaction. Let</w:t>
      </w:r>
      <w:r>
        <w:t xml:space="preserve"> </w:t>
      </w:r>
      <m:oMath>
        <m:sSub>
          <m:e>
            <m:r>
              <m:t>η</m:t>
            </m:r>
          </m:e>
          <m:sub>
            <m:r>
              <m:t>m</m:t>
            </m:r>
          </m:sub>
        </m:sSub>
        <m:d>
          <m:dPr>
            <m:begChr m:val="("/>
            <m:endChr m:val=")"/>
            <m:sepChr m:val=""/>
            <m:grow/>
          </m:dPr>
          <m:e>
            <m:r>
              <m:t>x</m:t>
            </m:r>
          </m:e>
        </m:d>
      </m:oMath>
      <w:r>
        <w:t xml:space="preserve"> </w:t>
      </w:r>
      <w:r>
        <w:t xml:space="preserve">be its influence line, the response to a unit vertical force at</w:t>
      </w:r>
      <w:r>
        <w:t xml:space="preserve"> </w:t>
      </w:r>
      <m:oMath>
        <m:r>
          <m:t>x</m:t>
        </m:r>
      </m:oMath>
      <w:r>
        <w:t xml:space="preserve">, with</w:t>
      </w:r>
      <w:r>
        <w:t xml:space="preserve"> </w:t>
      </w:r>
      <m:oMath>
        <m:sSub>
          <m:e>
            <m:r>
              <m:t>η</m:t>
            </m:r>
          </m:e>
          <m:sub>
            <m:r>
              <m:t>m</m:t>
            </m:r>
          </m:sub>
        </m:sSub>
        <m:r>
          <m:rPr>
            <m:sty m:val="p"/>
          </m:rPr>
          <m:t>=</m:t>
        </m:r>
        <m:r>
          <m:t>0</m:t>
        </m:r>
      </m:oMath>
      <w:r>
        <w:t xml:space="preserve"> </w:t>
      </w:r>
      <w:r>
        <w:t xml:space="preserve">outside the loaded path</w:t>
      </w:r>
      <w:r>
        <w:t xml:space="preserve"> </w:t>
      </w:r>
      <m:oMath>
        <m:d>
          <m:dPr>
            <m:begChr m:val="["/>
            <m:endChr m:val="]"/>
            <m:sepChr m:val=""/>
            <m:grow/>
          </m:dPr>
          <m:e>
            <m:r>
              <m:t>0</m:t>
            </m:r>
            <m:r>
              <m:rPr>
                <m:sty m:val="p"/>
              </m:rPr>
              <m:t>,</m:t>
            </m:r>
            <m:r>
              <m:t>L</m:t>
            </m:r>
          </m:e>
        </m:d>
      </m:oMath>
      <w:r>
        <w:t xml:space="preserve">. A convoy of axle loads</w:t>
      </w:r>
      <w:r>
        <w:t xml:space="preserve"> </w:t>
      </w:r>
      <m:oMath>
        <m:sSub>
          <m:e>
            <m:r>
              <m:t>P</m:t>
            </m:r>
          </m:e>
          <m:sub>
            <m:r>
              <m:t>i</m:t>
            </m:r>
          </m:sub>
        </m:sSub>
      </m:oMath>
      <w:r>
        <w:t xml:space="preserve"> </w:t>
      </w:r>
      <w:r>
        <w:t xml:space="preserve">at fixed offsets</w:t>
      </w:r>
      <w:r>
        <w:t xml:space="preserve"> </w:t>
      </w:r>
      <m:oMath>
        <m:sSub>
          <m:e>
            <m:r>
              <m:t>a</m:t>
            </m:r>
          </m:e>
          <m:sub>
            <m:r>
              <m:t>i</m:t>
            </m:r>
          </m:sub>
        </m:sSub>
      </m:oMath>
      <w:r>
        <w:t xml:space="preserve"> </w:t>
      </w:r>
      <w:r>
        <w:t xml:space="preserve">(</w:t>
      </w:r>
      <m:oMath>
        <m:sSub>
          <m:e>
            <m:r>
              <m:t>a</m:t>
            </m:r>
          </m:e>
          <m:sub>
            <m:r>
              <m:t>1</m:t>
            </m:r>
          </m:sub>
        </m:sSub>
        <m:r>
          <m:rPr>
            <m:sty m:val="p"/>
          </m:rPr>
          <m:t>=</m:t>
        </m:r>
        <m:r>
          <m:t>0</m:t>
        </m:r>
      </m:oMath>
      <w:r>
        <w:t xml:space="preserve">) crosses quasi-statically, so the record is, by superposition,</w:t>
      </w:r>
    </w:p>
    <w:tbl>
      <w:tblPr>
        <w:tblStyle w:val="Table"/>
        <w:tblW w:type="pct" w:w="5000"/>
        <w:tblLook w:firstRow="0" w:lastRow="0" w:firstColumn="0" w:lastColumn="0" w:noHBand="0" w:noVBand="0" w:val="0000"/>
        <w:jc w:val="start"/>
        <w:tblBorders>
          <w:top w:val="nil"/>
          <w:left w:val="nil"/>
          <w:bottom w:val="nil"/>
          <w:right w:val="nil"/>
          <w:insideH w:val="nil"/>
          <w:insideV w:val="nil"/>
        </w:tblBorders>
      </w:tblPr>
      <w:tblGrid>
        <w:gridCol w:w="7981"/>
        <w:gridCol w:w="1088"/>
      </w:tblGrid>
      <w:tr>
        <w:tc>
          <w:tcPr>
            <w:tcW w:type="dxa" w:w="7981"/>
            <w:vAlign w:val="center"/>
          </w:tcPr>
          <w:p>
            <w:pPr>
              <w:jc w:val="center"/>
            </w:pPr>
            <m:oMathPara>
              <m:oMathParaPr>
                <m:jc m:val="center"/>
              </m:oMathParaPr>
              <m:oMath>
                <m:sSub>
                  <m:e>
                    <m:r>
                      <m:t>y</m:t>
                    </m:r>
                  </m:e>
                  <m:sub>
                    <m:r>
                      <m:t>m</m:t>
                    </m:r>
                  </m:sub>
                </m:sSub>
                <m:d>
                  <m:dPr>
                    <m:begChr m:val="("/>
                    <m:endChr m:val=")"/>
                    <m:sepChr m:val=""/>
                    <m:grow/>
                  </m:dPr>
                  <m:e>
                    <m:r>
                      <m:t>x</m:t>
                    </m:r>
                  </m:e>
                </m:d>
                <m:r>
                  <m:rPr>
                    <m:sty m:val="p"/>
                  </m:rPr>
                  <m:t>=</m:t>
                </m:r>
                <m:nary>
                  <m:naryPr>
                    <m:chr m:val="∑"/>
                    <m:limLoc m:val="undOvr"/>
                    <m:subHide m:val="off"/>
                    <m:supHide m:val="off"/>
                  </m:naryPr>
                  <m:sub>
                    <m:r>
                      <m:t>i</m:t>
                    </m:r>
                    <m:r>
                      <m:rPr>
                        <m:sty m:val="p"/>
                      </m:rPr>
                      <m:t>=</m:t>
                    </m:r>
                    <m:r>
                      <m:t>1</m:t>
                    </m:r>
                  </m:sub>
                  <m:sup>
                    <m:r>
                      <m:t>n</m:t>
                    </m:r>
                  </m:sup>
                  <m:e>
                    <m:sSub>
                      <m:e>
                        <m:r>
                          <m:t>P</m:t>
                        </m:r>
                      </m:e>
                      <m:sub>
                        <m:r>
                          <m:t>i</m:t>
                        </m:r>
                      </m:sub>
                    </m:sSub>
                  </m:e>
                </m:nary>
                <m:r>
                  <m:t> </m:t>
                </m:r>
                <m:sSub>
                  <m:e>
                    <m:r>
                      <m:t>η</m:t>
                    </m:r>
                  </m:e>
                  <m:sub>
                    <m:r>
                      <m:t>m</m:t>
                    </m:r>
                  </m:sub>
                </m:sSub>
                <m:d>
                  <m:dPr>
                    <m:begChr m:val="("/>
                    <m:endChr m:val=")"/>
                    <m:sepChr m:val=""/>
                    <m:grow/>
                  </m:dPr>
                  <m:e>
                    <m:r>
                      <m:t>x</m:t>
                    </m:r>
                    <m:r>
                      <m:rPr>
                        <m:sty m:val="p"/>
                      </m:rPr>
                      <m:t>−</m:t>
                    </m:r>
                    <m:sSub>
                      <m:e>
                        <m:r>
                          <m:t>a</m:t>
                        </m:r>
                      </m:e>
                      <m:sub>
                        <m:r>
                          <m:t>i</m:t>
                        </m:r>
                      </m:sub>
                    </m:sSub>
                  </m:e>
                </m:d>
                <m:r>
                  <m:rPr>
                    <m:sty m:val="p"/>
                  </m:rPr>
                  <m:t>.</m:t>
                </m:r>
              </m:oMath>
            </m:oMathPara>
          </w:p>
        </w:tc>
        <w:tc>
          <w:tcPr>
            <w:tcW w:type="dxa" w:w="1088"/>
            <w:vAlign w:val="center"/>
          </w:tcPr>
          <w:p>
            <w:pPr>
              <w:jc w:val="right"/>
            </w:pPr>
            <w:r>
              <w:t xml:space="preserve">(1)</w:t>
            </w:r>
          </w:p>
        </w:tc>
      </w:tr>
    </w:tbl>
    <w:p>
      <w:pPr>
        <w:pStyle w:val="BodyText"/>
      </w:pPr>
      <w:r>
        <w:t xml:space="preserve">Integrating Eq. (1) over the complete crossing, from the entry of the first axle to the exit of the last, and substituting</w:t>
      </w:r>
      <w:r>
        <w:t xml:space="preserve"> </w:t>
      </w:r>
      <m:oMath>
        <m:r>
          <m:t>u</m:t>
        </m:r>
        <m:r>
          <m:rPr>
            <m:sty m:val="p"/>
          </m:rPr>
          <m:t>=</m:t>
        </m:r>
        <m:r>
          <m:t>x</m:t>
        </m:r>
        <m:r>
          <m:rPr>
            <m:sty m:val="p"/>
          </m:rPr>
          <m:t>−</m:t>
        </m:r>
        <m:sSub>
          <m:e>
            <m:r>
              <m:t>a</m:t>
            </m:r>
          </m:e>
          <m:sub>
            <m:r>
              <m:t>i</m:t>
            </m:r>
          </m:sub>
        </m:sSub>
      </m:oMath>
      <w:r>
        <w:t xml:space="preserve"> </w:t>
      </w:r>
      <w:r>
        <w:t xml:space="preserve">term by term gives</w:t>
      </w:r>
    </w:p>
    <w:tbl>
      <w:tblPr>
        <w:tblStyle w:val="Table"/>
        <w:tblW w:type="pct" w:w="5000"/>
        <w:tblLook w:firstRow="0" w:lastRow="0" w:firstColumn="0" w:lastColumn="0" w:noHBand="0" w:noVBand="0" w:val="0000"/>
        <w:jc w:val="start"/>
        <w:tblBorders>
          <w:top w:val="nil"/>
          <w:left w:val="nil"/>
          <w:bottom w:val="nil"/>
          <w:right w:val="nil"/>
          <w:insideH w:val="nil"/>
          <w:insideV w:val="nil"/>
        </w:tblBorders>
      </w:tblPr>
      <w:tblGrid>
        <w:gridCol w:w="7981"/>
        <w:gridCol w:w="1088"/>
      </w:tblGrid>
      <w:tr>
        <w:tc>
          <w:tcPr>
            <w:tcW w:type="dxa" w:w="7981"/>
            <w:vAlign w:val="center"/>
          </w:tcPr>
          <w:p>
            <w:pPr>
              <w:jc w:val="center"/>
            </w:pPr>
            <m:oMathPara>
              <m:oMathParaPr>
                <m:jc m:val="center"/>
              </m:oMathParaPr>
              <m:oMath>
                <m:sSub>
                  <m:e>
                    <m:r>
                      <m:t>I</m:t>
                    </m:r>
                  </m:e>
                  <m:sub>
                    <m:r>
                      <m:t>r</m:t>
                    </m:r>
                  </m:sub>
                </m:sSub>
                <m:r>
                  <m:rPr>
                    <m:sty m:val="p"/>
                  </m:rPr>
                  <m:t>=</m:t>
                </m:r>
                <m:nary>
                  <m:naryPr>
                    <m:chr m:val="∫"/>
                    <m:limLoc m:val="subSup"/>
                    <m:subHide m:val="off"/>
                    <m:supHide m:val="off"/>
                  </m:naryPr>
                  <m:sub>
                    <m:r>
                      <m:t>0</m:t>
                    </m:r>
                  </m:sub>
                  <m:sup>
                    <m:r>
                      <m:t>L</m:t>
                    </m:r>
                    <m:r>
                      <m:rPr>
                        <m:sty m:val="p"/>
                      </m:rPr>
                      <m:t>+</m:t>
                    </m:r>
                    <m:sSub>
                      <m:e>
                        <m:r>
                          <m:t>a</m:t>
                        </m:r>
                      </m:e>
                      <m:sub>
                        <m:r>
                          <m:rPr>
                            <m:sty m:val="p"/>
                          </m:rPr>
                          <m:t>m</m:t>
                        </m:r>
                        <m:r>
                          <m:rPr>
                            <m:sty m:val="p"/>
                          </m:rPr>
                          <m:t>a</m:t>
                        </m:r>
                        <m:r>
                          <m:rPr>
                            <m:sty m:val="p"/>
                          </m:rPr>
                          <m:t>x</m:t>
                        </m:r>
                      </m:sub>
                    </m:sSub>
                  </m:sup>
                  <m:e>
                    <m:sSub>
                      <m:e>
                        <m:r>
                          <m:t>y</m:t>
                        </m:r>
                      </m:e>
                      <m:sub>
                        <m:r>
                          <m:t>m</m:t>
                        </m:r>
                      </m:sub>
                    </m:sSub>
                  </m:e>
                </m:nary>
                <m:r>
                  <m:t> </m:t>
                </m:r>
                <m:r>
                  <m:rPr>
                    <m:sty m:val="p"/>
                  </m:rPr>
                  <m:t>d</m:t>
                </m:r>
                <m:r>
                  <m:t>x</m:t>
                </m:r>
                <m:r>
                  <m:rPr>
                    <m:sty m:val="p"/>
                  </m:rPr>
                  <m:t>=</m:t>
                </m:r>
                <m:sSub>
                  <m:e>
                    <m:r>
                      <m:t>P</m:t>
                    </m:r>
                  </m:e>
                  <m:sub>
                    <m:r>
                      <m:rPr>
                        <m:sty m:val="p"/>
                      </m:rPr>
                      <m:t>t</m:t>
                    </m:r>
                    <m:r>
                      <m:rPr>
                        <m:sty m:val="p"/>
                      </m:rPr>
                      <m:t>o</m:t>
                    </m:r>
                    <m:r>
                      <m:rPr>
                        <m:sty m:val="p"/>
                      </m:rPr>
                      <m:t>t</m:t>
                    </m:r>
                  </m:sub>
                </m:sSub>
                <m:r>
                  <m:t> </m:t>
                </m:r>
                <m:sSub>
                  <m:e>
                    <m:r>
                      <m:t>C</m:t>
                    </m:r>
                  </m:e>
                  <m:sub>
                    <m:r>
                      <m:t>r</m:t>
                    </m:r>
                  </m:sub>
                </m:sSub>
                <m:r>
                  <m:rPr>
                    <m:sty m:val="p"/>
                  </m:rPr>
                  <m:t>,</m:t>
                </m:r>
                <m:r>
                  <m:t>  </m:t>
                </m:r>
                <m:sSub>
                  <m:e>
                    <m:r>
                      <m:t>C</m:t>
                    </m:r>
                  </m:e>
                  <m:sub>
                    <m:r>
                      <m:t>r</m:t>
                    </m:r>
                  </m:sub>
                </m:sSub>
                <m:r>
                  <m:rPr>
                    <m:sty m:val="p"/>
                  </m:rPr>
                  <m:t>=</m:t>
                </m:r>
                <m:nary>
                  <m:naryPr>
                    <m:chr m:val="∫"/>
                    <m:limLoc m:val="subSup"/>
                    <m:subHide m:val="off"/>
                    <m:supHide m:val="off"/>
                  </m:naryPr>
                  <m:sub>
                    <m:r>
                      <m:t>0</m:t>
                    </m:r>
                  </m:sub>
                  <m:sup>
                    <m:r>
                      <m:t>L</m:t>
                    </m:r>
                  </m:sup>
                  <m:e>
                    <m:sSub>
                      <m:e>
                        <m:r>
                          <m:t>η</m:t>
                        </m:r>
                      </m:e>
                      <m:sub>
                        <m:r>
                          <m:t>m</m:t>
                        </m:r>
                      </m:sub>
                    </m:sSub>
                  </m:e>
                </m:nary>
                <m:d>
                  <m:dPr>
                    <m:begChr m:val="("/>
                    <m:endChr m:val=")"/>
                    <m:sepChr m:val=""/>
                    <m:grow/>
                  </m:dPr>
                  <m:e>
                    <m:r>
                      <m:t>u</m:t>
                    </m:r>
                  </m:e>
                </m:d>
                <m:r>
                  <m:t> </m:t>
                </m:r>
                <m:r>
                  <m:rPr>
                    <m:sty m:val="p"/>
                  </m:rPr>
                  <m:t>d</m:t>
                </m:r>
                <m:r>
                  <m:t>u</m:t>
                </m:r>
                <m:r>
                  <m:rPr>
                    <m:sty m:val="p"/>
                  </m:rPr>
                  <m:t>=</m:t>
                </m:r>
                <m:f>
                  <m:fPr>
                    <m:type m:val="bar"/>
                  </m:fPr>
                  <m:num>
                    <m:sSub>
                      <m:e>
                        <m:r>
                          <m:t>r</m:t>
                        </m:r>
                      </m:e>
                      <m:sub>
                        <m:r>
                          <m:t>m</m:t>
                        </m:r>
                      </m:sub>
                    </m:sSub>
                    <m:d>
                      <m:dPr>
                        <m:begChr m:val="["/>
                        <m:endChr m:val="]"/>
                        <m:sepChr m:val=""/>
                        <m:grow/>
                      </m:dPr>
                      <m:e>
                        <m:sSub>
                          <m:e>
                            <m:r>
                              <m:t>q</m:t>
                            </m:r>
                          </m:e>
                          <m:sub>
                            <m:r>
                              <m:t>0</m:t>
                            </m:r>
                          </m:sub>
                        </m:sSub>
                      </m:e>
                    </m:d>
                  </m:num>
                  <m:den>
                    <m:sSub>
                      <m:e>
                        <m:r>
                          <m:t>q</m:t>
                        </m:r>
                      </m:e>
                      <m:sub>
                        <m:r>
                          <m:t>0</m:t>
                        </m:r>
                      </m:sub>
                    </m:sSub>
                  </m:den>
                </m:f>
                <m:r>
                  <m:rPr>
                    <m:sty m:val="p"/>
                  </m:rPr>
                  <m:t>,</m:t>
                </m:r>
              </m:oMath>
            </m:oMathPara>
          </w:p>
        </w:tc>
        <w:tc>
          <w:tcPr>
            <w:tcW w:type="dxa" w:w="1088"/>
            <w:vAlign w:val="center"/>
          </w:tcPr>
          <w:p>
            <w:pPr>
              <w:jc w:val="right"/>
            </w:pPr>
            <w:r>
              <w:t xml:space="preserve">(2)</w:t>
            </w:r>
          </w:p>
        </w:tc>
      </w:tr>
    </w:tbl>
    <w:p>
      <w:pPr>
        <w:pStyle w:val="BodyText"/>
      </w:pPr>
      <w:r>
        <w:t xml:space="preserve">where</w:t>
      </w:r>
      <w:r>
        <w:t xml:space="preserve"> </w:t>
      </w:r>
      <m:oMath>
        <m:sSub>
          <m:e>
            <m:r>
              <m:t>r</m:t>
            </m:r>
          </m:e>
          <m:sub>
            <m:r>
              <m:t>m</m:t>
            </m:r>
          </m:sub>
        </m:sSub>
        <m:d>
          <m:dPr>
            <m:begChr m:val="["/>
            <m:endChr m:val="]"/>
            <m:sepChr m:val=""/>
            <m:grow/>
          </m:dPr>
          <m:e>
            <m:sSub>
              <m:e>
                <m:r>
                  <m:t>q</m:t>
                </m:r>
              </m:e>
              <m:sub>
                <m:r>
                  <m:t>0</m:t>
                </m:r>
              </m:sub>
            </m:sSub>
          </m:e>
        </m:d>
      </m:oMath>
      <w:r>
        <w:t xml:space="preserve"> </w:t>
      </w:r>
      <w:r>
        <w:t xml:space="preserve">is the response of the channel to a uniform load</w:t>
      </w:r>
      <w:r>
        <w:t xml:space="preserve"> </w:t>
      </w:r>
      <m:oMath>
        <m:sSub>
          <m:e>
            <m:r>
              <m:t>q</m:t>
            </m:r>
          </m:e>
          <m:sub>
            <m:r>
              <m:t>0</m:t>
            </m:r>
          </m:sub>
        </m:sSub>
      </m:oMath>
      <w:r>
        <w:t xml:space="preserve"> </w:t>
      </w:r>
      <w:r>
        <w:t xml:space="preserve">over the whole path. The second equality needs superposition only: a uniform load is a continuous sum of point loads. For a deflection channel Eq. (2) reduces to</w:t>
      </w:r>
      <w:r>
        <w:t xml:space="preserve"> </w:t>
      </w:r>
      <m:oMath>
        <m:sSub>
          <m:e>
            <m:r>
              <m:t>C</m:t>
            </m:r>
          </m:e>
          <m:sub>
            <m:r>
              <m:t>m</m:t>
            </m:r>
          </m:sub>
        </m:sSub>
        <m:r>
          <m:rPr>
            <m:sty m:val="p"/>
          </m:rPr>
          <m:t>=</m:t>
        </m:r>
        <m:sSub>
          <m:e>
            <m:r>
              <m:t>w</m:t>
            </m:r>
          </m:e>
          <m:sub>
            <m:r>
              <m:t>q</m:t>
            </m:r>
          </m:sub>
        </m:sSub>
        <m:d>
          <m:dPr>
            <m:begChr m:val="("/>
            <m:endChr m:val=")"/>
            <m:sepChr m:val=""/>
            <m:grow/>
          </m:dPr>
          <m:e>
            <m:sSub>
              <m:e>
                <m:r>
                  <m:t>x</m:t>
                </m:r>
              </m:e>
              <m:sub>
                <m:r>
                  <m:t>m</m:t>
                </m:r>
              </m:sub>
            </m:sSub>
          </m:e>
        </m:d>
        <m:r>
          <m:rPr>
            <m:sty m:val="p"/>
          </m:rPr>
          <m:t>/</m:t>
        </m:r>
        <m:sSub>
          <m:e>
            <m:r>
              <m:t>q</m:t>
            </m:r>
          </m:e>
          <m:sub>
            <m:r>
              <m:t>0</m:t>
            </m:r>
          </m:sub>
        </m:sSub>
      </m:oMath>
      <w:r>
        <w:t xml:space="preserve">, the deflection at the sensor under a uniform unit load. For a strain gauge,</w:t>
      </w:r>
    </w:p>
    <w:tbl>
      <w:tblPr>
        <w:tblStyle w:val="Table"/>
        <w:tblW w:type="pct" w:w="5000"/>
        <w:tblLook w:firstRow="0" w:lastRow="0" w:firstColumn="0" w:lastColumn="0" w:noHBand="0" w:noVBand="0" w:val="0000"/>
        <w:jc w:val="start"/>
        <w:tblBorders>
          <w:top w:val="nil"/>
          <w:left w:val="nil"/>
          <w:bottom w:val="nil"/>
          <w:right w:val="nil"/>
          <w:insideH w:val="nil"/>
          <w:insideV w:val="nil"/>
        </w:tblBorders>
      </w:tblPr>
      <w:tblGrid>
        <w:gridCol w:w="7981"/>
        <w:gridCol w:w="1088"/>
      </w:tblGrid>
      <w:tr>
        <w:tc>
          <w:tcPr>
            <w:tcW w:type="dxa" w:w="7981"/>
            <w:vAlign w:val="center"/>
          </w:tcPr>
          <w:p>
            <w:pPr>
              <w:jc w:val="center"/>
            </w:pPr>
            <m:oMathPara>
              <m:oMathParaPr>
                <m:jc m:val="center"/>
              </m:oMathParaPr>
              <m:oMath>
                <m:sSub>
                  <m:e>
                    <m:r>
                      <m:t>C</m:t>
                    </m:r>
                  </m:e>
                  <m:sub>
                    <m:r>
                      <m:t>ε</m:t>
                    </m:r>
                  </m:sub>
                </m:sSub>
                <m:r>
                  <m:rPr>
                    <m:sty m:val="p"/>
                  </m:rPr>
                  <m:t>=</m:t>
                </m:r>
                <m:f>
                  <m:fPr>
                    <m:type m:val="bar"/>
                  </m:fPr>
                  <m:num>
                    <m:sSub>
                      <m:e>
                        <m:r>
                          <m:t>c</m:t>
                        </m:r>
                      </m:e>
                      <m:sub>
                        <m:r>
                          <m:t>m</m:t>
                        </m:r>
                      </m:sub>
                    </m:sSub>
                    <m:r>
                      <m:t> </m:t>
                    </m:r>
                    <m:sSub>
                      <m:e>
                        <m:r>
                          <m:t>M</m:t>
                        </m:r>
                      </m:e>
                      <m:sub>
                        <m:r>
                          <m:t>q</m:t>
                        </m:r>
                      </m:sub>
                    </m:sSub>
                    <m:d>
                      <m:dPr>
                        <m:begChr m:val="("/>
                        <m:endChr m:val=")"/>
                        <m:sepChr m:val=""/>
                        <m:grow/>
                      </m:dPr>
                      <m:e>
                        <m:sSub>
                          <m:e>
                            <m:r>
                              <m:t>x</m:t>
                            </m:r>
                          </m:e>
                          <m:sub>
                            <m:r>
                              <m:t>m</m:t>
                            </m:r>
                          </m:sub>
                        </m:sSub>
                      </m:e>
                    </m:d>
                  </m:num>
                  <m:den>
                    <m:r>
                      <m:t>E</m:t>
                    </m:r>
                    <m:sSub>
                      <m:e>
                        <m:r>
                          <m:t>I</m:t>
                        </m:r>
                      </m:e>
                      <m:sub>
                        <m:r>
                          <m:t>m</m:t>
                        </m:r>
                      </m:sub>
                    </m:sSub>
                    <m:r>
                      <m:t> </m:t>
                    </m:r>
                    <m:sSub>
                      <m:e>
                        <m:r>
                          <m:t>q</m:t>
                        </m:r>
                      </m:e>
                      <m:sub>
                        <m:r>
                          <m:t>0</m:t>
                        </m:r>
                      </m:sub>
                    </m:sSub>
                  </m:den>
                </m:f>
                <m:r>
                  <m:rPr>
                    <m:sty m:val="p"/>
                  </m:rPr>
                  <m:t>.</m:t>
                </m:r>
              </m:oMath>
            </m:oMathPara>
          </w:p>
        </w:tc>
        <w:tc>
          <w:tcPr>
            <w:tcW w:type="dxa" w:w="1088"/>
            <w:vAlign w:val="center"/>
          </w:tcPr>
          <w:p>
            <w:pPr>
              <w:jc w:val="right"/>
            </w:pPr>
            <w:r>
              <w:t xml:space="preserve">(3)</w:t>
            </w:r>
          </w:p>
        </w:tc>
      </w:tr>
    </w:tbl>
    <w:p>
      <w:pPr>
        <w:pStyle w:val="BodyText"/>
      </w:pPr>
      <w:r>
        <w:t xml:space="preserve">The constant depends only on the structure, the channel and the load path, not on the number, loads or spacings of the axles. The local section constants</w:t>
      </w:r>
      <w:r>
        <w:t xml:space="preserve"> </w:t>
      </w:r>
      <m:oMath>
        <m:sSub>
          <m:e>
            <m:r>
              <m:t>c</m:t>
            </m:r>
          </m:e>
          <m:sub>
            <m:r>
              <m:t>m</m:t>
            </m:r>
          </m:sub>
        </m:sSub>
      </m:oMath>
      <w:r>
        <w:t xml:space="preserve"> </w:t>
      </w:r>
      <w:r>
        <w:t xml:space="preserve">and</w:t>
      </w:r>
      <w:r>
        <w:t xml:space="preserve"> </w:t>
      </w:r>
      <m:oMath>
        <m:r>
          <m:t>E</m:t>
        </m:r>
        <m:sSub>
          <m:e>
            <m:r>
              <m:t>I</m:t>
            </m:r>
          </m:e>
          <m:sub>
            <m:r>
              <m:t>m</m:t>
            </m:r>
          </m:sub>
        </m:sSub>
      </m:oMath>
      <w:r>
        <w:t xml:space="preserve"> </w:t>
      </w:r>
      <w:r>
        <w:t xml:space="preserve">enter Eq. (3) only as a gain, so a strain channel is blind exactly at the zeros of the uniform-load moment diagram, for any</w:t>
      </w:r>
      <w:r>
        <w:t xml:space="preserve"> </w:t>
      </w:r>
      <m:oMath>
        <m:r>
          <m:t>E</m:t>
        </m:r>
        <m:r>
          <m:t>I</m:t>
        </m:r>
        <m:d>
          <m:dPr>
            <m:begChr m:val="("/>
            <m:endChr m:val=")"/>
            <m:sepChr m:val=""/>
            <m:grow/>
          </m:dPr>
          <m:e>
            <m:r>
              <m:t>x</m:t>
            </m:r>
          </m:e>
        </m:d>
      </m:oMath>
      <w:r>
        <w:t xml:space="preserve"> </w:t>
      </w:r>
      <w:r>
        <w:t xml:space="preserve">and any elastic supports. At constant speed</w:t>
      </w:r>
      <w:r>
        <w:t xml:space="preserve"> </w:t>
      </w:r>
      <m:oMath>
        <m:r>
          <m:t>v</m:t>
        </m:r>
      </m:oMath>
      <w:r>
        <w:t xml:space="preserve"> </w:t>
      </w:r>
      <w:r>
        <w:t xml:space="preserve">the time integral is</w:t>
      </w:r>
      <w:r>
        <w:t xml:space="preserve"> </w:t>
      </w:r>
      <m:oMath>
        <m:sSub>
          <m:e>
            <m:r>
              <m:t>I</m:t>
            </m:r>
          </m:e>
          <m:sub>
            <m:r>
              <m:t>r</m:t>
            </m:r>
          </m:sub>
        </m:sSub>
        <m:r>
          <m:rPr>
            <m:sty m:val="p"/>
          </m:rPr>
          <m:t>/</m:t>
        </m:r>
        <m:r>
          <m:t>v</m:t>
        </m:r>
      </m:oMath>
      <w:r>
        <w:t xml:space="preserve">. The theorem requires linearity, time invariance, a quasi-static response, axles that follow the path on which</w:t>
      </w:r>
      <w:r>
        <w:t xml:space="preserve"> </w:t>
      </w:r>
      <m:oMath>
        <m:sSub>
          <m:e>
            <m:r>
              <m:t>η</m:t>
            </m:r>
          </m:e>
          <m:sub>
            <m:r>
              <m:t>m</m:t>
            </m:r>
          </m:sub>
        </m:sSub>
      </m:oMath>
      <w:r>
        <w:t xml:space="preserve"> </w:t>
      </w:r>
      <w:r>
        <w:t xml:space="preserve">is defined, and a record re-zeroed to the unloaded state. On a deck, the path is a lane, and</w:t>
      </w:r>
      <w:r>
        <w:t xml:space="preserve"> </w:t>
      </w:r>
      <m:oMath>
        <m:sSub>
          <m:e>
            <m:r>
              <m:t>C</m:t>
            </m:r>
          </m:e>
          <m:sub>
            <m:r>
              <m:t>r</m:t>
            </m:r>
          </m:sub>
        </m:sSub>
      </m:oMath>
      <w:r>
        <w:t xml:space="preserve"> </w:t>
      </w:r>
      <w:r>
        <w:t xml:space="preserve">is the response to a uniform load on that lane. Truncating the record when the first axle leaves is not harmless: on a two-span example it changes the rotation integral by up to 59 % (Appendix B).</w:t>
      </w:r>
    </w:p>
    <w:bookmarkEnd w:id="23"/>
    <w:bookmarkStart w:id="24" w:name="closed-form-blind-loci"/>
    <w:p>
      <w:pPr>
        <w:pStyle w:val="Heading3"/>
      </w:pPr>
      <w:r>
        <w:t xml:space="preserve">2.2. Closed-form blind loci</w:t>
      </w:r>
    </w:p>
    <w:p>
      <w:pPr>
        <w:pStyle w:val="FirstParagraph"/>
      </w:pPr>
      <w:r>
        <w:t xml:space="preserve">For a prismatic span under a uniform load, every channel is fixed by the two end moments. Write them as hogging parameters</w:t>
      </w:r>
      <w:r>
        <w:t xml:space="preserve"> </w:t>
      </w:r>
      <m:oMath>
        <m:sSub>
          <m:e>
            <m:r>
              <m:t>m</m:t>
            </m:r>
          </m:e>
          <m:sub>
            <m:r>
              <m:t>l</m:t>
            </m:r>
          </m:sub>
        </m:sSub>
      </m:oMath>
      <w:r>
        <w:t xml:space="preserve"> </w:t>
      </w:r>
      <w:r>
        <w:t xml:space="preserve">and</w:t>
      </w:r>
      <w:r>
        <w:t xml:space="preserve"> </w:t>
      </w:r>
      <m:oMath>
        <m:sSub>
          <m:e>
            <m:r>
              <m:t>m</m:t>
            </m:r>
          </m:e>
          <m:sub>
            <m:r>
              <m:t>r</m:t>
            </m:r>
          </m:sub>
        </m:sSub>
      </m:oMath>
      <w:r>
        <w:t xml:space="preserve">, with</w:t>
      </w:r>
      <w:r>
        <w:t xml:space="preserve"> </w:t>
      </w:r>
      <m:oMath>
        <m:r>
          <m:t>m</m:t>
        </m:r>
        <m:r>
          <m:rPr>
            <m:sty m:val="p"/>
          </m:rPr>
          <m:t>=</m:t>
        </m:r>
        <m:r>
          <m:rPr>
            <m:sty m:val="p"/>
          </m:rPr>
          <m:t>−</m:t>
        </m:r>
        <m:r>
          <m:t>8</m:t>
        </m:r>
        <m:r>
          <m:t>M</m:t>
        </m:r>
        <m:r>
          <m:rPr>
            <m:sty m:val="p"/>
          </m:rPr>
          <m:t>/</m:t>
        </m:r>
        <m:d>
          <m:dPr>
            <m:begChr m:val="("/>
            <m:endChr m:val=")"/>
            <m:sepChr m:val=""/>
            <m:grow/>
          </m:dPr>
          <m:e>
            <m:sSub>
              <m:e>
                <m:r>
                  <m:t>q</m:t>
                </m:r>
              </m:e>
              <m:sub>
                <m:r>
                  <m:t>0</m:t>
                </m:r>
              </m:sub>
            </m:sSub>
            <m:sSup>
              <m:e>
                <m:r>
                  <m:t>L</m:t>
                </m:r>
              </m:e>
              <m:sup>
                <m:r>
                  <m:t>2</m:t>
                </m:r>
              </m:sup>
            </m:sSup>
          </m:e>
        </m:d>
      </m:oMath>
      <w:r>
        <w:t xml:space="preserve">. For the instrumented span of a two-span beam and for the side span of a symmetric three-span beam,</w:t>
      </w:r>
      <w:r>
        <w:t xml:space="preserve"> </w:t>
      </w:r>
      <m:oMath>
        <m:d>
          <m:dPr>
            <m:begChr m:val="("/>
            <m:endChr m:val=")"/>
            <m:sepChr m:val=""/>
            <m:grow/>
          </m:dPr>
          <m:e>
            <m:sSub>
              <m:e>
                <m:r>
                  <m:t>m</m:t>
                </m:r>
              </m:e>
              <m:sub>
                <m:r>
                  <m:t>l</m:t>
                </m:r>
              </m:sub>
            </m:sSub>
            <m:r>
              <m:rPr>
                <m:sty m:val="p"/>
              </m:rPr>
              <m:t>,</m:t>
            </m:r>
            <m:sSub>
              <m:e>
                <m:r>
                  <m:t>m</m:t>
                </m:r>
              </m:e>
              <m:sub>
                <m:r>
                  <m:t>r</m:t>
                </m:r>
              </m:sub>
            </m:sSub>
          </m:e>
        </m:d>
        <m:r>
          <m:rPr>
            <m:sty m:val="p"/>
          </m:rPr>
          <m:t>=</m:t>
        </m:r>
        <m:d>
          <m:dPr>
            <m:begChr m:val="("/>
            <m:endChr m:val=")"/>
            <m:sepChr m:val=""/>
            <m:grow/>
          </m:dPr>
          <m:e>
            <m:r>
              <m:t>0</m:t>
            </m:r>
            <m:r>
              <m:rPr>
                <m:sty m:val="p"/>
              </m:rPr>
              <m:t>,</m:t>
            </m:r>
            <m:r>
              <m:t>μ</m:t>
            </m:r>
          </m:e>
        </m:d>
      </m:oMath>
      <w:r>
        <w:t xml:space="preserve">. Here</w:t>
      </w:r>
      <w:r>
        <w:t xml:space="preserve"> </w:t>
      </w:r>
      <m:oMath>
        <m:r>
          <m:t>μ</m:t>
        </m:r>
      </m:oMath>
      <w:r>
        <w:t xml:space="preserve"> </w:t>
      </w:r>
      <w:r>
        <w:t xml:space="preserve">is the classical interior-moment parameter (Appendix A; [52]):</w:t>
      </w:r>
    </w:p>
    <w:tbl>
      <w:tblPr>
        <w:tblStyle w:val="Table"/>
        <w:tblW w:type="pct" w:w="5000"/>
        <w:tblLook w:firstRow="0" w:lastRow="0" w:firstColumn="0" w:lastColumn="0" w:noHBand="0" w:noVBand="0" w:val="0000"/>
        <w:jc w:val="start"/>
        <w:tblBorders>
          <w:top w:val="nil"/>
          <w:left w:val="nil"/>
          <w:bottom w:val="nil"/>
          <w:right w:val="nil"/>
          <w:insideH w:val="nil"/>
          <w:insideV w:val="nil"/>
        </w:tblBorders>
      </w:tblPr>
      <w:tblGrid>
        <w:gridCol w:w="7981"/>
        <w:gridCol w:w="1088"/>
      </w:tblGrid>
      <w:tr>
        <w:tc>
          <w:tcPr>
            <w:tcW w:type="dxa" w:w="7981"/>
            <w:vAlign w:val="center"/>
          </w:tcPr>
          <w:p>
            <w:pPr>
              <w:jc w:val="center"/>
            </w:pPr>
            <m:oMathPara>
              <m:oMathParaPr>
                <m:jc m:val="center"/>
              </m:oMathParaPr>
              <m:oMath>
                <m:sSub>
                  <m:e>
                    <m:r>
                      <m:t>μ</m:t>
                    </m:r>
                  </m:e>
                  <m:sub>
                    <m:r>
                      <m:rPr>
                        <m:sty m:val="p"/>
                      </m:rPr>
                      <m:t>2</m:t>
                    </m:r>
                    <m:r>
                      <m:rPr>
                        <m:sty m:val="p"/>
                      </m:rPr>
                      <m:t>s</m:t>
                    </m:r>
                    <m:r>
                      <m:rPr>
                        <m:sty m:val="p"/>
                      </m:rPr>
                      <m:t>p</m:t>
                    </m:r>
                    <m:r>
                      <m:rPr>
                        <m:sty m:val="p"/>
                      </m:rPr>
                      <m:t>a</m:t>
                    </m:r>
                    <m:r>
                      <m:rPr>
                        <m:sty m:val="p"/>
                      </m:rPr>
                      <m:t>n</m:t>
                    </m:r>
                  </m:sub>
                </m:sSub>
                <m:r>
                  <m:rPr>
                    <m:sty m:val="p"/>
                  </m:rPr>
                  <m:t>=</m:t>
                </m:r>
                <m:f>
                  <m:fPr>
                    <m:type m:val="bar"/>
                  </m:fPr>
                  <m:num>
                    <m:r>
                      <m:t>1</m:t>
                    </m:r>
                    <m:r>
                      <m:rPr>
                        <m:sty m:val="p"/>
                      </m:rPr>
                      <m:t>+</m:t>
                    </m:r>
                    <m:sSubSup>
                      <m:e>
                        <m:r>
                          <m:t>ρ</m:t>
                        </m:r>
                      </m:e>
                      <m:sub>
                        <m:r>
                          <m:t>L</m:t>
                        </m:r>
                      </m:sub>
                      <m:sup>
                        <m:r>
                          <m:t>3</m:t>
                        </m:r>
                      </m:sup>
                    </m:sSubSup>
                    <m:r>
                      <m:rPr>
                        <m:sty m:val="p"/>
                      </m:rPr>
                      <m:t>/</m:t>
                    </m:r>
                    <m:sSub>
                      <m:e>
                        <m:r>
                          <m:t>ρ</m:t>
                        </m:r>
                      </m:e>
                      <m:sub>
                        <m:r>
                          <m:t>E</m:t>
                        </m:r>
                        <m:r>
                          <m:t>I</m:t>
                        </m:r>
                      </m:sub>
                    </m:sSub>
                  </m:num>
                  <m:den>
                    <m:r>
                      <m:t>1</m:t>
                    </m:r>
                    <m:r>
                      <m:rPr>
                        <m:sty m:val="p"/>
                      </m:rPr>
                      <m:t>+</m:t>
                    </m:r>
                    <m:sSub>
                      <m:e>
                        <m:r>
                          <m:t>ρ</m:t>
                        </m:r>
                      </m:e>
                      <m:sub>
                        <m:r>
                          <m:t>L</m:t>
                        </m:r>
                      </m:sub>
                    </m:sSub>
                    <m:r>
                      <m:rPr>
                        <m:sty m:val="p"/>
                      </m:rPr>
                      <m:t>/</m:t>
                    </m:r>
                    <m:sSub>
                      <m:e>
                        <m:r>
                          <m:t>ρ</m:t>
                        </m:r>
                      </m:e>
                      <m:sub>
                        <m:r>
                          <m:t>E</m:t>
                        </m:r>
                        <m:r>
                          <m:t>I</m:t>
                        </m:r>
                      </m:sub>
                    </m:sSub>
                  </m:den>
                </m:f>
                <m:r>
                  <m:rPr>
                    <m:sty m:val="p"/>
                  </m:rPr>
                  <m:t>,</m:t>
                </m:r>
                <m:r>
                  <m:t>  </m:t>
                </m:r>
                <m:sSub>
                  <m:e>
                    <m:r>
                      <m:t>μ</m:t>
                    </m:r>
                  </m:e>
                  <m:sub>
                    <m:r>
                      <m:rPr>
                        <m:sty m:val="p"/>
                      </m:rPr>
                      <m:t>3</m:t>
                    </m:r>
                    <m:r>
                      <m:rPr>
                        <m:sty m:val="p"/>
                      </m:rPr>
                      <m:t>s</m:t>
                    </m:r>
                    <m:r>
                      <m:rPr>
                        <m:sty m:val="p"/>
                      </m:rPr>
                      <m:t>p</m:t>
                    </m:r>
                    <m:r>
                      <m:rPr>
                        <m:sty m:val="p"/>
                      </m:rPr>
                      <m:t>a</m:t>
                    </m:r>
                    <m:r>
                      <m:rPr>
                        <m:sty m:val="p"/>
                      </m:rPr>
                      <m:t>n</m:t>
                    </m:r>
                  </m:sub>
                </m:sSub>
                <m:r>
                  <m:rPr>
                    <m:sty m:val="p"/>
                  </m:rPr>
                  <m:t>=</m:t>
                </m:r>
                <m:f>
                  <m:fPr>
                    <m:type m:val="bar"/>
                  </m:fPr>
                  <m:num>
                    <m:r>
                      <m:t>2</m:t>
                    </m:r>
                    <m:d>
                      <m:dPr>
                        <m:begChr m:val="("/>
                        <m:endChr m:val=")"/>
                        <m:sepChr m:val=""/>
                        <m:grow/>
                      </m:dPr>
                      <m:e>
                        <m:sSub>
                          <m:e>
                            <m:r>
                              <m:t>ρ</m:t>
                            </m:r>
                          </m:e>
                          <m:sub>
                            <m:r>
                              <m:t>E</m:t>
                            </m:r>
                            <m:r>
                              <m:t>I</m:t>
                            </m:r>
                          </m:sub>
                        </m:sSub>
                        <m:r>
                          <m:rPr>
                            <m:sty m:val="p"/>
                          </m:rPr>
                          <m:t>+</m:t>
                        </m:r>
                        <m:sSup>
                          <m:e>
                            <m:r>
                              <m:t>β</m:t>
                            </m:r>
                          </m:e>
                          <m:sup>
                            <m:r>
                              <m:t>3</m:t>
                            </m:r>
                          </m:sup>
                        </m:sSup>
                      </m:e>
                    </m:d>
                  </m:num>
                  <m:den>
                    <m:r>
                      <m:t>2</m:t>
                    </m:r>
                    <m:sSub>
                      <m:e>
                        <m:r>
                          <m:t>ρ</m:t>
                        </m:r>
                      </m:e>
                      <m:sub>
                        <m:r>
                          <m:t>E</m:t>
                        </m:r>
                        <m:r>
                          <m:t>I</m:t>
                        </m:r>
                      </m:sub>
                    </m:sSub>
                    <m:r>
                      <m:rPr>
                        <m:sty m:val="p"/>
                      </m:rPr>
                      <m:t>+</m:t>
                    </m:r>
                    <m:r>
                      <m:t>3</m:t>
                    </m:r>
                    <m:r>
                      <m:t>β</m:t>
                    </m:r>
                  </m:den>
                </m:f>
                <m:r>
                  <m:rPr>
                    <m:sty m:val="p"/>
                  </m:rPr>
                  <m:t>,</m:t>
                </m:r>
              </m:oMath>
            </m:oMathPara>
          </w:p>
        </w:tc>
        <w:tc>
          <w:tcPr>
            <w:tcW w:type="dxa" w:w="1088"/>
            <w:vAlign w:val="center"/>
          </w:tcPr>
          <w:p>
            <w:pPr>
              <w:jc w:val="right"/>
            </w:pPr>
            <w:r>
              <w:t xml:space="preserve">(4)</w:t>
            </w:r>
          </w:p>
        </w:tc>
      </w:tr>
    </w:tbl>
    <w:p>
      <w:pPr>
        <w:pStyle w:val="BodyText"/>
      </w:pPr>
      <w:r>
        <w:t xml:space="preserve">with</w:t>
      </w:r>
      <w:r>
        <w:t xml:space="preserve"> </w:t>
      </w:r>
      <m:oMath>
        <m:sSub>
          <m:e>
            <m:r>
              <m:t>ρ</m:t>
            </m:r>
          </m:e>
          <m:sub>
            <m:r>
              <m:t>L</m:t>
            </m:r>
          </m:sub>
        </m:sSub>
      </m:oMath>
      <w:r>
        <w:t xml:space="preserve"> </w:t>
      </w:r>
      <w:r>
        <w:t xml:space="preserve">and</w:t>
      </w:r>
      <w:r>
        <w:t xml:space="preserve"> </w:t>
      </w:r>
      <m:oMath>
        <m:sSub>
          <m:e>
            <m:r>
              <m:t>ρ</m:t>
            </m:r>
          </m:e>
          <m:sub>
            <m:r>
              <m:t>E</m:t>
            </m:r>
            <m:r>
              <m:t>I</m:t>
            </m:r>
          </m:sub>
        </m:sSub>
      </m:oMath>
      <w:r>
        <w:t xml:space="preserve"> </w:t>
      </w:r>
      <w:r>
        <w:t xml:space="preserve">the adjacent-to-instrumented span and stiffness ratios of the two-span beam, and</w:t>
      </w:r>
      <w:r>
        <w:t xml:space="preserve"> </w:t>
      </w:r>
      <m:oMath>
        <m:r>
          <m:t>β</m:t>
        </m:r>
        <m:r>
          <m:rPr>
            <m:sty m:val="p"/>
          </m:rPr>
          <m:t>=</m:t>
        </m:r>
        <m:sSub>
          <m:e>
            <m:r>
              <m:t>L</m:t>
            </m:r>
          </m:e>
          <m:sub>
            <m:r>
              <m:t>m</m:t>
            </m:r>
          </m:sub>
        </m:sSub>
        <m:r>
          <m:rPr>
            <m:sty m:val="p"/>
          </m:rPr>
          <m:t>/</m:t>
        </m:r>
        <m:sSub>
          <m:e>
            <m:r>
              <m:t>L</m:t>
            </m:r>
          </m:e>
          <m:sub>
            <m:r>
              <m:t>s</m:t>
            </m:r>
          </m:sub>
        </m:sSub>
      </m:oMath>
      <w:r>
        <w:t xml:space="preserve"> </w:t>
      </w:r>
      <w:r>
        <w:t xml:space="preserve">and</w:t>
      </w:r>
      <w:r>
        <w:t xml:space="preserve"> </w:t>
      </w:r>
      <m:oMath>
        <m:sSub>
          <m:e>
            <m:r>
              <m:t>ρ</m:t>
            </m:r>
          </m:e>
          <m:sub>
            <m:r>
              <m:t>E</m:t>
            </m:r>
            <m:r>
              <m:t>I</m:t>
            </m:r>
          </m:sub>
        </m:sSub>
        <m:r>
          <m:rPr>
            <m:sty m:val="p"/>
          </m:rPr>
          <m:t>=</m:t>
        </m:r>
        <m:r>
          <m:t>E</m:t>
        </m:r>
        <m:sSub>
          <m:e>
            <m:r>
              <m:t>I</m:t>
            </m:r>
          </m:e>
          <m:sub>
            <m:r>
              <m:t>m</m:t>
            </m:r>
          </m:sub>
        </m:sSub>
        <m:r>
          <m:rPr>
            <m:sty m:val="p"/>
          </m:rPr>
          <m:t>/</m:t>
        </m:r>
        <m:r>
          <m:t>E</m:t>
        </m:r>
        <m:sSub>
          <m:e>
            <m:r>
              <m:t>I</m:t>
            </m:r>
          </m:e>
          <m:sub>
            <m:r>
              <m:t>s</m:t>
            </m:r>
          </m:sub>
        </m:sSub>
      </m:oMath>
      <w:r>
        <w:t xml:space="preserve"> </w:t>
      </w:r>
      <w:r>
        <w:t xml:space="preserve">for three spans. The deflection constant at</w:t>
      </w:r>
      <w:r>
        <w:t xml:space="preserve"> </w:t>
      </w:r>
      <m:oMath>
        <m:r>
          <m:t>ξ</m:t>
        </m:r>
        <m:r>
          <m:rPr>
            <m:sty m:val="p"/>
          </m:rPr>
          <m:t>=</m:t>
        </m:r>
        <m:sSub>
          <m:e>
            <m:r>
              <m:t>x</m:t>
            </m:r>
          </m:e>
          <m:sub>
            <m:r>
              <m:t>m</m:t>
            </m:r>
          </m:sub>
        </m:sSub>
        <m:r>
          <m:rPr>
            <m:sty m:val="p"/>
          </m:rPr>
          <m:t>/</m:t>
        </m:r>
        <m:r>
          <m:t>L</m:t>
        </m:r>
      </m:oMath>
      <w:r>
        <w:t xml:space="preserve"> </w:t>
      </w:r>
      <w:r>
        <w:t xml:space="preserve">is</w:t>
      </w:r>
    </w:p>
    <w:tbl>
      <w:tblPr>
        <w:tblStyle w:val="Table"/>
        <w:tblW w:type="pct" w:w="5000"/>
        <w:tblLook w:firstRow="0" w:lastRow="0" w:firstColumn="0" w:lastColumn="0" w:noHBand="0" w:noVBand="0" w:val="0000"/>
        <w:jc w:val="start"/>
        <w:tblBorders>
          <w:top w:val="nil"/>
          <w:left w:val="nil"/>
          <w:bottom w:val="nil"/>
          <w:right w:val="nil"/>
          <w:insideH w:val="nil"/>
          <w:insideV w:val="nil"/>
        </w:tblBorders>
      </w:tblPr>
      <w:tblGrid>
        <w:gridCol w:w="7981"/>
        <w:gridCol w:w="1088"/>
      </w:tblGrid>
      <w:tr>
        <w:tc>
          <w:tcPr>
            <w:tcW w:type="dxa" w:w="7981"/>
            <w:vAlign w:val="center"/>
          </w:tcPr>
          <w:p>
            <w:pPr>
              <w:jc w:val="center"/>
            </w:pPr>
            <m:oMathPara>
              <m:oMathParaPr>
                <m:jc m:val="center"/>
              </m:oMathParaPr>
              <m:oMath>
                <m:f>
                  <m:fPr>
                    <m:type m:val="bar"/>
                  </m:fPr>
                  <m:num>
                    <m:r>
                      <m:t>192</m:t>
                    </m:r>
                    <m:r>
                      <m:t>E</m:t>
                    </m:r>
                    <m:r>
                      <m:t>I</m:t>
                    </m:r>
                    <m:r>
                      <m:t> </m:t>
                    </m:r>
                    <m:sSub>
                      <m:e>
                        <m:r>
                          <m:t>C</m:t>
                        </m:r>
                      </m:e>
                      <m:sub>
                        <m:r>
                          <m:t>m</m:t>
                        </m:r>
                      </m:sub>
                    </m:sSub>
                  </m:num>
                  <m:den>
                    <m:sSup>
                      <m:e>
                        <m:r>
                          <m:t>L</m:t>
                        </m:r>
                      </m:e>
                      <m:sup>
                        <m:r>
                          <m:t>4</m:t>
                        </m:r>
                      </m:sup>
                    </m:sSup>
                  </m:den>
                </m:f>
                <m:r>
                  <m:rPr>
                    <m:sty m:val="p"/>
                  </m:rPr>
                  <m:t>=</m:t>
                </m:r>
                <m:r>
                  <m:t>8</m:t>
                </m:r>
                <m:r>
                  <m:t>F</m:t>
                </m:r>
                <m:d>
                  <m:dPr>
                    <m:begChr m:val="("/>
                    <m:endChr m:val=")"/>
                    <m:sepChr m:val=""/>
                    <m:grow/>
                  </m:dPr>
                  <m:e>
                    <m:r>
                      <m:t>ξ</m:t>
                    </m:r>
                    <m:r>
                      <m:rPr>
                        <m:sty m:val="p"/>
                      </m:rPr>
                      <m:t>,</m:t>
                    </m:r>
                    <m:r>
                      <m:t>μ</m:t>
                    </m:r>
                  </m:e>
                </m:d>
                <m:r>
                  <m:rPr>
                    <m:sty m:val="p"/>
                  </m:rPr>
                  <m:t>,</m:t>
                </m:r>
                <m:r>
                  <m:t>  </m:t>
                </m:r>
                <m:r>
                  <m:t>F</m:t>
                </m:r>
                <m:d>
                  <m:dPr>
                    <m:begChr m:val="("/>
                    <m:endChr m:val=")"/>
                    <m:sepChr m:val=""/>
                    <m:grow/>
                  </m:dPr>
                  <m:e>
                    <m:r>
                      <m:t>ξ</m:t>
                    </m:r>
                    <m:r>
                      <m:rPr>
                        <m:sty m:val="p"/>
                      </m:rPr>
                      <m:t>,</m:t>
                    </m:r>
                    <m:r>
                      <m:t>μ</m:t>
                    </m:r>
                  </m:e>
                </m:d>
                <m:r>
                  <m:rPr>
                    <m:sty m:val="p"/>
                  </m:rPr>
                  <m:t>=</m:t>
                </m:r>
                <m:r>
                  <m:t>ξ</m:t>
                </m:r>
                <m:d>
                  <m:dPr>
                    <m:begChr m:val="("/>
                    <m:endChr m:val=")"/>
                    <m:sepChr m:val=""/>
                    <m:grow/>
                  </m:dPr>
                  <m:e>
                    <m:r>
                      <m:t>1</m:t>
                    </m:r>
                    <m:r>
                      <m:rPr>
                        <m:sty m:val="p"/>
                      </m:rPr>
                      <m:t>−</m:t>
                    </m:r>
                    <m:r>
                      <m:t>2</m:t>
                    </m:r>
                    <m:sSup>
                      <m:e>
                        <m:r>
                          <m:t>ξ</m:t>
                        </m:r>
                      </m:e>
                      <m:sup>
                        <m:r>
                          <m:t>2</m:t>
                        </m:r>
                      </m:sup>
                    </m:sSup>
                    <m:r>
                      <m:rPr>
                        <m:sty m:val="p"/>
                      </m:rPr>
                      <m:t>+</m:t>
                    </m:r>
                    <m:sSup>
                      <m:e>
                        <m:r>
                          <m:t>ξ</m:t>
                        </m:r>
                      </m:e>
                      <m:sup>
                        <m:r>
                          <m:t>3</m:t>
                        </m:r>
                      </m:sup>
                    </m:sSup>
                  </m:e>
                </m:d>
                <m:r>
                  <m:rPr>
                    <m:sty m:val="p"/>
                  </m:rPr>
                  <m:t>−</m:t>
                </m:r>
                <m:f>
                  <m:fPr>
                    <m:type m:val="bar"/>
                  </m:fPr>
                  <m:num>
                    <m:r>
                      <m:t>μ</m:t>
                    </m:r>
                  </m:num>
                  <m:den>
                    <m:r>
                      <m:t>2</m:t>
                    </m:r>
                  </m:den>
                </m:f>
                <m:r>
                  <m:t> </m:t>
                </m:r>
                <m:r>
                  <m:t>ξ</m:t>
                </m:r>
                <m:d>
                  <m:dPr>
                    <m:begChr m:val="("/>
                    <m:endChr m:val=")"/>
                    <m:sepChr m:val=""/>
                    <m:grow/>
                  </m:dPr>
                  <m:e>
                    <m:r>
                      <m:t>1</m:t>
                    </m:r>
                    <m:r>
                      <m:rPr>
                        <m:sty m:val="p"/>
                      </m:rPr>
                      <m:t>−</m:t>
                    </m:r>
                    <m:sSup>
                      <m:e>
                        <m:r>
                          <m:t>ξ</m:t>
                        </m:r>
                      </m:e>
                      <m:sup>
                        <m:r>
                          <m:t>2</m:t>
                        </m:r>
                      </m:sup>
                    </m:sSup>
                  </m:e>
                </m:d>
                <m:r>
                  <m:rPr>
                    <m:sty m:val="p"/>
                  </m:rPr>
                  <m:t>.</m:t>
                </m:r>
              </m:oMath>
            </m:oMathPara>
          </w:p>
        </w:tc>
        <w:tc>
          <w:tcPr>
            <w:tcW w:type="dxa" w:w="1088"/>
            <w:vAlign w:val="center"/>
          </w:tcPr>
          <w:p>
            <w:pPr>
              <w:jc w:val="right"/>
            </w:pPr>
            <w:r>
              <w:t xml:space="preserve">(5)</w:t>
            </w:r>
          </w:p>
        </w:tc>
      </w:tr>
    </w:tbl>
    <w:p>
      <w:pPr>
        <w:pStyle w:val="BodyText"/>
      </w:pPr>
      <w:r>
        <w:t xml:space="preserve">Setting</w:t>
      </w:r>
      <w:r>
        <w:t xml:space="preserve"> </w:t>
      </w:r>
      <m:oMath>
        <m:r>
          <m:t>F</m:t>
        </m:r>
        <m:r>
          <m:rPr>
            <m:sty m:val="p"/>
          </m:rPr>
          <m:t>=</m:t>
        </m:r>
        <m:r>
          <m:t>0</m:t>
        </m:r>
      </m:oMath>
      <w:r>
        <w:t xml:space="preserve"> </w:t>
      </w:r>
      <w:r>
        <w:t xml:space="preserve">gives the deflection blind condition on</w:t>
      </w:r>
      <w:r>
        <w:t xml:space="preserve"> </w:t>
      </w:r>
      <m:oMath>
        <m:r>
          <m:t>μ</m:t>
        </m:r>
      </m:oMath>
      <w:r>
        <w:t xml:space="preserve"> </w:t>
      </w:r>
      <w:r>
        <w:t xml:space="preserve">alone,</w:t>
      </w:r>
    </w:p>
    <w:tbl>
      <w:tblPr>
        <w:tblStyle w:val="Table"/>
        <w:tblW w:type="pct" w:w="5000"/>
        <w:tblLook w:firstRow="0" w:lastRow="0" w:firstColumn="0" w:lastColumn="0" w:noHBand="0" w:noVBand="0" w:val="0000"/>
        <w:jc w:val="start"/>
        <w:tblBorders>
          <w:top w:val="nil"/>
          <w:left w:val="nil"/>
          <w:bottom w:val="nil"/>
          <w:right w:val="nil"/>
          <w:insideH w:val="nil"/>
          <w:insideV w:val="nil"/>
        </w:tblBorders>
      </w:tblPr>
      <w:tblGrid>
        <w:gridCol w:w="7981"/>
        <w:gridCol w:w="1088"/>
      </w:tblGrid>
      <w:tr>
        <w:tc>
          <w:tcPr>
            <w:tcW w:type="dxa" w:w="7981"/>
            <w:vAlign w:val="center"/>
          </w:tcPr>
          <w:p>
            <w:pPr>
              <w:jc w:val="center"/>
            </w:pPr>
            <m:oMathPara>
              <m:oMathParaPr>
                <m:jc m:val="center"/>
              </m:oMathParaPr>
              <m:oMath>
                <m:sSub>
                  <m:e>
                    <m:r>
                      <m:t>C</m:t>
                    </m:r>
                  </m:e>
                  <m:sub>
                    <m:r>
                      <m:t>m</m:t>
                    </m:r>
                  </m:sub>
                </m:sSub>
                <m:r>
                  <m:rPr>
                    <m:sty m:val="p"/>
                  </m:rPr>
                  <m:t>=</m:t>
                </m:r>
                <m:r>
                  <m:t>0</m:t>
                </m:r>
                <m:r>
                  <m:t> </m:t>
                </m:r>
                <m:r>
                  <m:rPr>
                    <m:sty m:val="p"/>
                  </m:rPr>
                  <m:t>⇔</m:t>
                </m:r>
                <m:r>
                  <m:t> </m:t>
                </m:r>
                <m:r>
                  <m:t>μ</m:t>
                </m:r>
                <m:r>
                  <m:rPr>
                    <m:sty m:val="p"/>
                  </m:rPr>
                  <m:t>=</m:t>
                </m:r>
                <m:sSub>
                  <m:e>
                    <m:r>
                      <m:t>μ</m:t>
                    </m:r>
                  </m:e>
                  <m:sub>
                    <m:r>
                      <m:rPr>
                        <m:sty m:val="p"/>
                      </m:rPr>
                      <m:t>c</m:t>
                    </m:r>
                    <m:r>
                      <m:rPr>
                        <m:sty m:val="p"/>
                      </m:rPr>
                      <m:t>r</m:t>
                    </m:r>
                    <m:r>
                      <m:rPr>
                        <m:sty m:val="p"/>
                      </m:rPr>
                      <m:t>i</m:t>
                    </m:r>
                    <m:r>
                      <m:rPr>
                        <m:sty m:val="p"/>
                      </m:rPr>
                      <m:t>t</m:t>
                    </m:r>
                  </m:sub>
                </m:sSub>
                <m:d>
                  <m:dPr>
                    <m:begChr m:val="("/>
                    <m:endChr m:val=")"/>
                    <m:sepChr m:val=""/>
                    <m:grow/>
                  </m:dPr>
                  <m:e>
                    <m:r>
                      <m:t>ξ</m:t>
                    </m:r>
                  </m:e>
                </m:d>
                <m:r>
                  <m:rPr>
                    <m:sty m:val="p"/>
                  </m:rPr>
                  <m:t>=</m:t>
                </m:r>
                <m:f>
                  <m:fPr>
                    <m:type m:val="bar"/>
                  </m:fPr>
                  <m:num>
                    <m:r>
                      <m:t>2</m:t>
                    </m:r>
                    <m:d>
                      <m:dPr>
                        <m:begChr m:val="("/>
                        <m:endChr m:val=")"/>
                        <m:sepChr m:val=""/>
                        <m:grow/>
                      </m:dPr>
                      <m:e>
                        <m:r>
                          <m:t>1</m:t>
                        </m:r>
                        <m:r>
                          <m:rPr>
                            <m:sty m:val="p"/>
                          </m:rPr>
                          <m:t>+</m:t>
                        </m:r>
                        <m:r>
                          <m:t>ξ</m:t>
                        </m:r>
                        <m:r>
                          <m:rPr>
                            <m:sty m:val="p"/>
                          </m:rPr>
                          <m:t>−</m:t>
                        </m:r>
                        <m:sSup>
                          <m:e>
                            <m:r>
                              <m:t>ξ</m:t>
                            </m:r>
                          </m:e>
                          <m:sup>
                            <m:r>
                              <m:t>2</m:t>
                            </m:r>
                          </m:sup>
                        </m:sSup>
                      </m:e>
                    </m:d>
                  </m:num>
                  <m:den>
                    <m:r>
                      <m:t>1</m:t>
                    </m:r>
                    <m:r>
                      <m:rPr>
                        <m:sty m:val="p"/>
                      </m:rPr>
                      <m:t>+</m:t>
                    </m:r>
                    <m:r>
                      <m:t>ξ</m:t>
                    </m:r>
                  </m:den>
                </m:f>
                <m:r>
                  <m:rPr>
                    <m:sty m:val="p"/>
                  </m:rPr>
                  <m:t>,</m:t>
                </m:r>
              </m:oMath>
            </m:oMathPara>
          </w:p>
        </w:tc>
        <w:tc>
          <w:tcPr>
            <w:tcW w:type="dxa" w:w="1088"/>
            <w:vAlign w:val="center"/>
          </w:tcPr>
          <w:p>
            <w:pPr>
              <w:jc w:val="right"/>
            </w:pPr>
            <w:r>
              <w:t xml:space="preserve">(6)</w:t>
            </w:r>
          </w:p>
        </w:tc>
      </w:tr>
    </w:tbl>
    <w:p>
      <w:pPr>
        <w:pStyle w:val="BodyText"/>
      </w:pPr>
      <w:r>
        <w:t xml:space="preserve">which exists only for</w:t>
      </w:r>
      <w:r>
        <w:t xml:space="preserve"> </w:t>
      </w:r>
      <m:oMath>
        <m:r>
          <m:t>1</m:t>
        </m:r>
        <m:r>
          <m:rPr>
            <m:sty m:val="p"/>
          </m:rPr>
          <m:t>&lt;</m:t>
        </m:r>
        <m:r>
          <m:t>μ</m:t>
        </m:r>
        <m:r>
          <m:rPr>
            <m:sty m:val="p"/>
          </m:rPr>
          <m:t>&lt;</m:t>
        </m:r>
        <m:r>
          <m:t>2</m:t>
        </m:r>
      </m:oMath>
      <w:r>
        <w:t xml:space="preserve">. For a mid-span sensor on two spans of equal stiffness, the blind span ratio and the optimal sensor position are exact:</w:t>
      </w:r>
    </w:p>
    <w:tbl>
      <w:tblPr>
        <w:tblStyle w:val="Table"/>
        <w:tblW w:type="pct" w:w="5000"/>
        <w:tblLook w:firstRow="0" w:lastRow="0" w:firstColumn="0" w:lastColumn="0" w:noHBand="0" w:noVBand="0" w:val="0000"/>
        <w:jc w:val="start"/>
        <w:tblBorders>
          <w:top w:val="nil"/>
          <w:left w:val="nil"/>
          <w:bottom w:val="nil"/>
          <w:right w:val="nil"/>
          <w:insideH w:val="nil"/>
          <w:insideV w:val="nil"/>
        </w:tblBorders>
      </w:tblPr>
      <w:tblGrid>
        <w:gridCol w:w="7981"/>
        <w:gridCol w:w="1088"/>
      </w:tblGrid>
      <w:tr>
        <w:tc>
          <w:tcPr>
            <w:tcW w:type="dxa" w:w="7981"/>
            <w:vAlign w:val="center"/>
          </w:tcPr>
          <w:p>
            <w:pPr>
              <w:jc w:val="center"/>
            </w:pPr>
            <m:oMathPara>
              <m:oMathParaPr>
                <m:jc m:val="center"/>
              </m:oMathParaPr>
              <m:oMath>
                <m:sSub>
                  <m:e>
                    <m:r>
                      <m:t>ρ</m:t>
                    </m:r>
                  </m:e>
                  <m:sub>
                    <m:r>
                      <m:t>L</m:t>
                    </m:r>
                    <m:r>
                      <m:rPr>
                        <m:sty m:val="p"/>
                      </m:rPr>
                      <m:t>,</m:t>
                    </m:r>
                    <m:r>
                      <m:rPr>
                        <m:sty m:val="p"/>
                      </m:rPr>
                      <m:t>c</m:t>
                    </m:r>
                    <m:r>
                      <m:rPr>
                        <m:sty m:val="p"/>
                      </m:rPr>
                      <m:t>r</m:t>
                    </m:r>
                    <m:r>
                      <m:rPr>
                        <m:sty m:val="p"/>
                      </m:rPr>
                      <m:t>i</m:t>
                    </m:r>
                    <m:r>
                      <m:rPr>
                        <m:sty m:val="p"/>
                      </m:rPr>
                      <m:t>t</m:t>
                    </m:r>
                  </m:sub>
                </m:sSub>
                <m:r>
                  <m:rPr>
                    <m:sty m:val="p"/>
                  </m:rPr>
                  <m:t>=</m:t>
                </m:r>
                <m:f>
                  <m:fPr>
                    <m:type m:val="bar"/>
                  </m:fPr>
                  <m:num>
                    <m:r>
                      <m:t>3</m:t>
                    </m:r>
                    <m:r>
                      <m:rPr>
                        <m:sty m:val="p"/>
                      </m:rPr>
                      <m:t>+</m:t>
                    </m:r>
                    <m:rad>
                      <m:radPr>
                        <m:degHide m:val="on"/>
                      </m:radPr>
                      <m:deg/>
                      <m:e>
                        <m:r>
                          <m:t>33</m:t>
                        </m:r>
                      </m:e>
                    </m:rad>
                  </m:num>
                  <m:den>
                    <m:r>
                      <m:t>6</m:t>
                    </m:r>
                  </m:den>
                </m:f>
                <m:r>
                  <m:rPr>
                    <m:sty m:val="p"/>
                  </m:rPr>
                  <m:t>=</m:t>
                </m:r>
                <m:r>
                  <m:t>1.4574</m:t>
                </m:r>
                <m:r>
                  <m:rPr>
                    <m:sty m:val="p"/>
                  </m:rPr>
                  <m:t>,</m:t>
                </m:r>
                <m:r>
                  <m:t>  </m:t>
                </m:r>
                <m:sSup>
                  <m:e>
                    <m:r>
                      <m:t>ξ</m:t>
                    </m:r>
                  </m:e>
                  <m:sup>
                    <m:r>
                      <m:rPr>
                        <m:sty m:val="p"/>
                      </m:rPr>
                      <m:t>*</m:t>
                    </m:r>
                  </m:sup>
                </m:sSup>
                <m:r>
                  <m:rPr>
                    <m:sty m:val="p"/>
                  </m:rPr>
                  <m:t>=</m:t>
                </m:r>
                <m:f>
                  <m:fPr>
                    <m:type m:val="bar"/>
                  </m:fPr>
                  <m:num>
                    <m:r>
                      <m:t>1</m:t>
                    </m:r>
                    <m:r>
                      <m:rPr>
                        <m:sty m:val="p"/>
                      </m:rPr>
                      <m:t>+</m:t>
                    </m:r>
                    <m:rad>
                      <m:radPr>
                        <m:degHide m:val="on"/>
                      </m:radPr>
                      <m:deg/>
                      <m:e>
                        <m:r>
                          <m:t>33</m:t>
                        </m:r>
                      </m:e>
                    </m:rad>
                  </m:num>
                  <m:den>
                    <m:r>
                      <m:t>16</m:t>
                    </m:r>
                  </m:den>
                </m:f>
                <m:r>
                  <m:rPr>
                    <m:sty m:val="p"/>
                  </m:rPr>
                  <m:t>=</m:t>
                </m:r>
                <m:r>
                  <m:t>0.4215</m:t>
                </m:r>
                <m:r>
                  <m:rPr>
                    <m:sty m:val="p"/>
                  </m:rPr>
                  <m:t>.</m:t>
                </m:r>
              </m:oMath>
            </m:oMathPara>
          </w:p>
        </w:tc>
        <w:tc>
          <w:tcPr>
            <w:tcW w:type="dxa" w:w="1088"/>
            <w:vAlign w:val="center"/>
          </w:tcPr>
          <w:p>
            <w:pPr>
              <w:jc w:val="right"/>
            </w:pPr>
            <w:r>
              <w:t xml:space="preserve">(7)</w:t>
            </w:r>
          </w:p>
        </w:tc>
      </w:tr>
    </w:tbl>
    <w:p>
      <w:pPr>
        <w:pStyle w:val="BodyText"/>
      </w:pPr>
      <w:r>
        <w:t xml:space="preserve">For the symmetric three-span beam with uniform rigidity and a mid side-span sensor, the blind main-to-side ratio is the real root of</w:t>
      </w:r>
      <w:r>
        <w:t xml:space="preserve"> </w:t>
      </w:r>
      <m:oMath>
        <m:r>
          <m:t>6</m:t>
        </m:r>
        <m:sSup>
          <m:e>
            <m:r>
              <m:t>β</m:t>
            </m:r>
          </m:e>
          <m:sup>
            <m:r>
              <m:t>3</m:t>
            </m:r>
          </m:sup>
        </m:sSup>
        <m:r>
          <m:rPr>
            <m:sty m:val="p"/>
          </m:rPr>
          <m:t>−</m:t>
        </m:r>
        <m:r>
          <m:t>15</m:t>
        </m:r>
        <m:r>
          <m:t>β</m:t>
        </m:r>
        <m:r>
          <m:rPr>
            <m:sty m:val="p"/>
          </m:rPr>
          <m:t>−</m:t>
        </m:r>
        <m:r>
          <m:t>4</m:t>
        </m:r>
        <m:r>
          <m:rPr>
            <m:sty m:val="p"/>
          </m:rPr>
          <m:t>=</m:t>
        </m:r>
        <m:r>
          <m:t>0</m:t>
        </m:r>
      </m:oMath>
      <w:r>
        <w:t xml:space="preserve">,</w:t>
      </w:r>
    </w:p>
    <w:tbl>
      <w:tblPr>
        <w:tblStyle w:val="Table"/>
        <w:tblW w:type="pct" w:w="5000"/>
        <w:tblLook w:firstRow="0" w:lastRow="0" w:firstColumn="0" w:lastColumn="0" w:noHBand="0" w:noVBand="0" w:val="0000"/>
        <w:jc w:val="start"/>
        <w:tblBorders>
          <w:top w:val="nil"/>
          <w:left w:val="nil"/>
          <w:bottom w:val="nil"/>
          <w:right w:val="nil"/>
          <w:insideH w:val="nil"/>
          <w:insideV w:val="nil"/>
        </w:tblBorders>
      </w:tblPr>
      <w:tblGrid>
        <w:gridCol w:w="7981"/>
        <w:gridCol w:w="1088"/>
      </w:tblGrid>
      <w:tr>
        <w:tc>
          <w:tcPr>
            <w:tcW w:type="dxa" w:w="7981"/>
            <w:vAlign w:val="center"/>
          </w:tcPr>
          <w:p>
            <w:pPr>
              <w:jc w:val="center"/>
            </w:pPr>
            <m:oMathPara>
              <m:oMathParaPr>
                <m:jc m:val="center"/>
              </m:oMathParaPr>
              <m:oMath>
                <m:sSub>
                  <m:e>
                    <m:r>
                      <m:t>β</m:t>
                    </m:r>
                  </m:e>
                  <m:sub>
                    <m:r>
                      <m:rPr>
                        <m:sty m:val="p"/>
                      </m:rPr>
                      <m:t>c</m:t>
                    </m:r>
                    <m:r>
                      <m:rPr>
                        <m:sty m:val="p"/>
                      </m:rPr>
                      <m:t>r</m:t>
                    </m:r>
                    <m:r>
                      <m:rPr>
                        <m:sty m:val="p"/>
                      </m:rPr>
                      <m:t>i</m:t>
                    </m:r>
                    <m:r>
                      <m:rPr>
                        <m:sty m:val="p"/>
                      </m:rPr>
                      <m:t>t</m:t>
                    </m:r>
                  </m:sub>
                </m:sSub>
                <m:r>
                  <m:rPr>
                    <m:sty m:val="p"/>
                  </m:rPr>
                  <m:t>=</m:t>
                </m:r>
                <m:rad>
                  <m:radPr>
                    <m:degHide m:val="on"/>
                  </m:radPr>
                  <m:deg/>
                  <m:e>
                    <m:r>
                      <m:t>10</m:t>
                    </m:r>
                    <m:r>
                      <m:rPr>
                        <m:sty m:val="p"/>
                      </m:rPr>
                      <m:t>/</m:t>
                    </m:r>
                    <m:r>
                      <m:t>3</m:t>
                    </m:r>
                  </m:e>
                </m:rad>
                <m:r>
                  <m:t> </m:t>
                </m:r>
                <m:r>
                  <m:rPr>
                    <m:sty m:val="p"/>
                  </m:rPr>
                  <m:t>cos</m:t>
                </m:r>
                <m:r>
                  <m:t>​</m:t>
                </m:r>
                <m:d>
                  <m:dPr>
                    <m:begChr m:val="["/>
                    <m:endChr m:val="]"/>
                    <m:sepChr m:val=""/>
                    <m:grow/>
                  </m:dPr>
                  <m:e>
                    <m:f>
                      <m:fPr>
                        <m:type m:val="lin"/>
                      </m:fPr>
                      <m:num>
                        <m:r>
                          <m:t>1</m:t>
                        </m:r>
                      </m:num>
                      <m:den>
                        <m:r>
                          <m:t>3</m:t>
                        </m:r>
                      </m:den>
                    </m:f>
                    <m:r>
                      <m:rPr>
                        <m:sty m:val="p"/>
                      </m:rPr>
                      <m:t>arccos</m:t>
                    </m:r>
                    <m:r>
                      <m:t>​</m:t>
                    </m:r>
                    <m:d>
                      <m:dPr>
                        <m:begChr m:val="("/>
                        <m:endChr m:val=")"/>
                        <m:sepChr m:val=""/>
                        <m:grow/>
                      </m:dPr>
                      <m:e>
                        <m:f>
                          <m:fPr>
                            <m:type m:val="lin"/>
                          </m:fPr>
                          <m:num>
                            <m:r>
                              <m:t>2</m:t>
                            </m:r>
                          </m:num>
                          <m:den>
                            <m:r>
                              <m:t>5</m:t>
                            </m:r>
                          </m:den>
                        </m:f>
                        <m:rad>
                          <m:radPr>
                            <m:degHide m:val="on"/>
                          </m:radPr>
                          <m:deg/>
                          <m:e>
                            <m:r>
                              <m:t>6</m:t>
                            </m:r>
                            <m:r>
                              <m:rPr>
                                <m:sty m:val="p"/>
                              </m:rPr>
                              <m:t>/</m:t>
                            </m:r>
                            <m:r>
                              <m:t>5</m:t>
                            </m:r>
                          </m:e>
                        </m:rad>
                      </m:e>
                    </m:d>
                  </m:e>
                </m:d>
                <m:r>
                  <m:rPr>
                    <m:sty m:val="p"/>
                  </m:rPr>
                  <m:t>=</m:t>
                </m:r>
                <m:r>
                  <m:t>1.7006</m:t>
                </m:r>
                <m:r>
                  <m:rPr>
                    <m:sty m:val="p"/>
                  </m:rPr>
                  <m:t>,</m:t>
                </m:r>
              </m:oMath>
            </m:oMathPara>
          </w:p>
        </w:tc>
        <w:tc>
          <w:tcPr>
            <w:tcW w:type="dxa" w:w="1088"/>
            <w:vAlign w:val="center"/>
          </w:tcPr>
          <w:p>
            <w:pPr>
              <w:jc w:val="right"/>
            </w:pPr>
            <w:r>
              <w:t xml:space="preserve">(8)</w:t>
            </w:r>
          </w:p>
        </w:tc>
      </w:tr>
    </w:tbl>
    <w:p>
      <w:pPr>
        <w:pStyle w:val="BodyText"/>
      </w:pPr>
      <w:r>
        <w:t xml:space="preserve">which Eq. (8) gives in exact trigonometric form, and the side-span blind locus ends at</w:t>
      </w:r>
      <w:r>
        <w:t xml:space="preserve"> </w:t>
      </w:r>
      <m:oMath>
        <m:r>
          <m:t>β</m:t>
        </m:r>
        <m:r>
          <m:rPr>
            <m:sty m:val="p"/>
          </m:rPr>
          <m:t>=</m:t>
        </m:r>
        <m:r>
          <m:t>2</m:t>
        </m:r>
        <m:r>
          <m:rPr>
            <m:sty m:val="p"/>
          </m:rPr>
          <m:t>cos</m:t>
        </m:r>
        <m:d>
          <m:dPr>
            <m:begChr m:val="("/>
            <m:endChr m:val=")"/>
            <m:sepChr m:val=""/>
            <m:grow/>
          </m:dPr>
          <m:e>
            <m:r>
              <m:t>π</m:t>
            </m:r>
            <m:r>
              <m:rPr>
                <m:sty m:val="p"/>
              </m:rPr>
              <m:t>/</m:t>
            </m:r>
            <m:r>
              <m:t>9</m:t>
            </m:r>
          </m:e>
        </m:d>
        <m:r>
          <m:rPr>
            <m:sty m:val="p"/>
          </m:rPr>
          <m:t>=</m:t>
        </m:r>
        <m:r>
          <m:t>1.8794</m:t>
        </m:r>
      </m:oMath>
      <w:r>
        <w:t xml:space="preserve">. The near-blind band</w:t>
      </w:r>
      <w:r>
        <w:t xml:space="preserve"> </w:t>
      </w:r>
      <m:oMath>
        <m:d>
          <m:dPr>
            <m:begChr m:val="|"/>
            <m:endChr m:val="|"/>
            <m:sepChr m:val=""/>
            <m:grow/>
          </m:dPr>
          <m:e>
            <m:sSub>
              <m:e>
                <m:r>
                  <m:t>N</m:t>
                </m:r>
              </m:e>
              <m:sub>
                <m:r>
                  <m:t>w</m:t>
                </m:r>
              </m:sub>
            </m:sSub>
          </m:e>
        </m:d>
        <m:r>
          <m:rPr>
            <m:sty m:val="p"/>
          </m:rPr>
          <m:t>&lt;</m:t>
        </m:r>
        <m:r>
          <m:t>0.2</m:t>
        </m:r>
      </m:oMath>
      <w:r>
        <w:t xml:space="preserve"> </w:t>
      </w:r>
      <w:r>
        <w:t xml:space="preserve">covers</w:t>
      </w:r>
      <w:r>
        <w:t xml:space="preserve"> </w:t>
      </w:r>
      <m:oMath>
        <m:r>
          <m:t>1.385</m:t>
        </m:r>
        <m:r>
          <m:rPr>
            <m:sty m:val="p"/>
          </m:rPr>
          <m:t>&lt;</m:t>
        </m:r>
        <m:sSub>
          <m:e>
            <m:r>
              <m:t>ρ</m:t>
            </m:r>
          </m:e>
          <m:sub>
            <m:r>
              <m:t>L</m:t>
            </m:r>
          </m:sub>
        </m:sSub>
        <m:r>
          <m:rPr>
            <m:sty m:val="p"/>
          </m:rPr>
          <m:t>&lt;</m:t>
        </m:r>
        <m:r>
          <m:t>1.525</m:t>
        </m:r>
      </m:oMath>
      <w:r>
        <w:t xml:space="preserve"> </w:t>
      </w:r>
      <w:r>
        <w:t xml:space="preserve">on two spans and</w:t>
      </w:r>
      <w:r>
        <w:t xml:space="preserve"> </w:t>
      </w:r>
      <m:oMath>
        <m:r>
          <m:t>1.621</m:t>
        </m:r>
        <m:r>
          <m:rPr>
            <m:sty m:val="p"/>
          </m:rPr>
          <m:t>&lt;</m:t>
        </m:r>
        <m:r>
          <m:t>β</m:t>
        </m:r>
        <m:r>
          <m:rPr>
            <m:sty m:val="p"/>
          </m:rPr>
          <m:t>&lt;</m:t>
        </m:r>
        <m:r>
          <m:t>1.775</m:t>
        </m:r>
      </m:oMath>
      <w:r>
        <w:t xml:space="preserve"> </w:t>
      </w:r>
      <w:r>
        <w:t xml:space="preserve">on three. Beyond the blind ratio the constant is negative but non-zero and remains observable. Fig. 1 defines the notation. Table A.1 and Fig. 2 give the optimal side-span positions and the observability map, and Appendix A gives asymmetric layouts. All closed forms agree with finite element (FE) evaluations of Eq. (2) in 981 checks, with a maximum error of 8.1 × 10⁻¹¹ on the normalised indicators.</w:t>
      </w:r>
    </w:p>
    <w:p>
      <w:pPr>
        <w:pStyle w:val="BodyText"/>
      </w:pPr>
      <w:r>
        <w:t xml:space="preserve">The strain channel follows from the same end moments:</w:t>
      </w:r>
    </w:p>
    <w:tbl>
      <w:tblPr>
        <w:tblStyle w:val="Table"/>
        <w:tblW w:type="pct" w:w="5000"/>
        <w:tblLook w:firstRow="0" w:lastRow="0" w:firstColumn="0" w:lastColumn="0" w:noHBand="0" w:noVBand="0" w:val="0000"/>
        <w:jc w:val="start"/>
        <w:tblBorders>
          <w:top w:val="nil"/>
          <w:left w:val="nil"/>
          <w:bottom w:val="nil"/>
          <w:right w:val="nil"/>
          <w:insideH w:val="nil"/>
          <w:insideV w:val="nil"/>
        </w:tblBorders>
      </w:tblPr>
      <w:tblGrid>
        <w:gridCol w:w="7981"/>
        <w:gridCol w:w="1088"/>
      </w:tblGrid>
      <w:tr>
        <w:tc>
          <w:tcPr>
            <w:tcW w:type="dxa" w:w="7981"/>
            <w:vAlign w:val="center"/>
          </w:tcPr>
          <w:p>
            <w:pPr>
              <w:jc w:val="center"/>
            </w:pPr>
            <m:oMathPara>
              <m:oMathParaPr>
                <m:jc m:val="center"/>
              </m:oMathParaPr>
              <m:oMath>
                <m:sSub>
                  <m:e>
                    <m:r>
                      <m:t>N</m:t>
                    </m:r>
                  </m:e>
                  <m:sub>
                    <m:r>
                      <m:t>M</m:t>
                    </m:r>
                  </m:sub>
                </m:sSub>
                <m:r>
                  <m:rPr>
                    <m:sty m:val="p"/>
                  </m:rPr>
                  <m:t>=</m:t>
                </m:r>
                <m:f>
                  <m:fPr>
                    <m:type m:val="bar"/>
                  </m:fPr>
                  <m:num>
                    <m:r>
                      <m:t>8</m:t>
                    </m:r>
                    <m:sSub>
                      <m:e>
                        <m:r>
                          <m:t>M</m:t>
                        </m:r>
                      </m:e>
                      <m:sub>
                        <m:r>
                          <m:t>q</m:t>
                        </m:r>
                      </m:sub>
                    </m:sSub>
                    <m:d>
                      <m:dPr>
                        <m:begChr m:val="("/>
                        <m:endChr m:val=")"/>
                        <m:sepChr m:val=""/>
                        <m:grow/>
                      </m:dPr>
                      <m:e>
                        <m:sSub>
                          <m:e>
                            <m:r>
                              <m:t>x</m:t>
                            </m:r>
                          </m:e>
                          <m:sub>
                            <m:r>
                              <m:t>m</m:t>
                            </m:r>
                          </m:sub>
                        </m:sSub>
                      </m:e>
                    </m:d>
                  </m:num>
                  <m:den>
                    <m:sSub>
                      <m:e>
                        <m:r>
                          <m:t>q</m:t>
                        </m:r>
                      </m:e>
                      <m:sub>
                        <m:r>
                          <m:t>0</m:t>
                        </m:r>
                      </m:sub>
                    </m:sSub>
                    <m:sSup>
                      <m:e>
                        <m:r>
                          <m:t>L</m:t>
                        </m:r>
                      </m:e>
                      <m:sup>
                        <m:r>
                          <m:t>2</m:t>
                        </m:r>
                      </m:sup>
                    </m:sSup>
                  </m:den>
                </m:f>
                <m:r>
                  <m:rPr>
                    <m:sty m:val="p"/>
                  </m:rPr>
                  <m:t>=</m:t>
                </m:r>
                <m:r>
                  <m:t>4</m:t>
                </m:r>
                <m:r>
                  <m:t>ξ</m:t>
                </m:r>
                <m:d>
                  <m:dPr>
                    <m:begChr m:val="("/>
                    <m:endChr m:val=")"/>
                    <m:sepChr m:val=""/>
                    <m:grow/>
                  </m:dPr>
                  <m:e>
                    <m:r>
                      <m:t>1</m:t>
                    </m:r>
                    <m:r>
                      <m:rPr>
                        <m:sty m:val="p"/>
                      </m:rPr>
                      <m:t>−</m:t>
                    </m:r>
                    <m:r>
                      <m:t>ξ</m:t>
                    </m:r>
                  </m:e>
                </m:d>
                <m:r>
                  <m:rPr>
                    <m:sty m:val="p"/>
                  </m:rPr>
                  <m:t>−</m:t>
                </m:r>
                <m:sSub>
                  <m:e>
                    <m:r>
                      <m:t>m</m:t>
                    </m:r>
                  </m:e>
                  <m:sub>
                    <m:r>
                      <m:t>l</m:t>
                    </m:r>
                  </m:sub>
                </m:sSub>
                <m:d>
                  <m:dPr>
                    <m:begChr m:val="("/>
                    <m:endChr m:val=")"/>
                    <m:sepChr m:val=""/>
                    <m:grow/>
                  </m:dPr>
                  <m:e>
                    <m:r>
                      <m:t>1</m:t>
                    </m:r>
                    <m:r>
                      <m:rPr>
                        <m:sty m:val="p"/>
                      </m:rPr>
                      <m:t>−</m:t>
                    </m:r>
                    <m:r>
                      <m:t>ξ</m:t>
                    </m:r>
                  </m:e>
                </m:d>
                <m:r>
                  <m:rPr>
                    <m:sty m:val="p"/>
                  </m:rPr>
                  <m:t>−</m:t>
                </m:r>
                <m:sSub>
                  <m:e>
                    <m:r>
                      <m:t>m</m:t>
                    </m:r>
                  </m:e>
                  <m:sub>
                    <m:r>
                      <m:t>r</m:t>
                    </m:r>
                  </m:sub>
                </m:sSub>
                <m:r>
                  <m:t>ξ</m:t>
                </m:r>
                <m:r>
                  <m:rPr>
                    <m:sty m:val="p"/>
                  </m:rPr>
                  <m:t>,</m:t>
                </m:r>
                <m:r>
                  <m:t>  </m:t>
                </m:r>
                <m:sSub>
                  <m:e>
                    <m:r>
                      <m:t>ξ</m:t>
                    </m:r>
                  </m:e>
                  <m:sub>
                    <m:r>
                      <m:t>0</m:t>
                    </m:r>
                  </m:sub>
                </m:sSub>
                <m:r>
                  <m:rPr>
                    <m:sty m:val="p"/>
                  </m:rPr>
                  <m:t>=</m:t>
                </m:r>
                <m:r>
                  <m:t>1</m:t>
                </m:r>
                <m:r>
                  <m:rPr>
                    <m:sty m:val="p"/>
                  </m:rPr>
                  <m:t>−</m:t>
                </m:r>
                <m:f>
                  <m:fPr>
                    <m:type m:val="bar"/>
                  </m:fPr>
                  <m:num>
                    <m:r>
                      <m:t>μ</m:t>
                    </m:r>
                  </m:num>
                  <m:den>
                    <m:r>
                      <m:t>4</m:t>
                    </m:r>
                  </m:den>
                </m:f>
                <m:r>
                  <m:rPr>
                    <m:sty m:val="p"/>
                  </m:rPr>
                  <m:t>.</m:t>
                </m:r>
              </m:oMath>
            </m:oMathPara>
          </w:p>
        </w:tc>
        <w:tc>
          <w:tcPr>
            <w:tcW w:type="dxa" w:w="1088"/>
            <w:vAlign w:val="center"/>
          </w:tcPr>
          <w:p>
            <w:pPr>
              <w:jc w:val="right"/>
            </w:pPr>
            <w:r>
              <w:t xml:space="preserve">(9)</w:t>
            </w:r>
          </w:p>
        </w:tc>
      </w:tr>
    </w:tbl>
    <w:p>
      <w:pPr>
        <w:pStyle w:val="BodyText"/>
      </w:pPr>
      <w:r>
        <w:t xml:space="preserve">Eq. (9) gives the strain blind point</w:t>
      </w:r>
      <w:r>
        <w:t xml:space="preserve"> </w:t>
      </w:r>
      <m:oMath>
        <m:sSub>
          <m:e>
            <m:r>
              <m:t>ξ</m:t>
            </m:r>
          </m:e>
          <m:sub>
            <m:r>
              <m:t>0</m:t>
            </m:r>
          </m:sub>
        </m:sSub>
      </m:oMath>
      <w:r>
        <w:t xml:space="preserve"> </w:t>
      </w:r>
      <w:r>
        <w:t xml:space="preserve">in the instrumented or side span:</w:t>
      </w:r>
      <w:r>
        <w:t xml:space="preserve"> </w:t>
      </w:r>
      <m:oMath>
        <m:r>
          <m:t>0.75</m:t>
        </m:r>
        <m:r>
          <m:t>L</m:t>
        </m:r>
      </m:oMath>
      <w:r>
        <w:t xml:space="preserve"> </w:t>
      </w:r>
      <w:r>
        <w:t xml:space="preserve">for two equal spans. In the main span of a symmetric girder,</w:t>
      </w:r>
      <w:r>
        <w:t xml:space="preserve"> </w:t>
      </w:r>
      <m:oMath>
        <m:sSub>
          <m:e>
            <m:r>
              <m:t>m</m:t>
            </m:r>
          </m:e>
          <m:sub>
            <m:r>
              <m:t>l</m:t>
            </m:r>
          </m:sub>
        </m:sSub>
        <m:r>
          <m:rPr>
            <m:sty m:val="p"/>
          </m:rPr>
          <m:t>=</m:t>
        </m:r>
        <m:sSub>
          <m:e>
            <m:r>
              <m:t>m</m:t>
            </m:r>
          </m:e>
          <m:sub>
            <m:r>
              <m:t>r</m:t>
            </m:r>
          </m:sub>
        </m:sSub>
        <m:r>
          <m:rPr>
            <m:sty m:val="p"/>
          </m:rPr>
          <m:t>=</m:t>
        </m:r>
        <m:r>
          <m:t>μ</m:t>
        </m:r>
        <m:r>
          <m:rPr>
            <m:sty m:val="p"/>
          </m:rPr>
          <m:t>/</m:t>
        </m:r>
        <m:sSup>
          <m:e>
            <m:r>
              <m:t>β</m:t>
            </m:r>
          </m:e>
          <m:sup>
            <m:r>
              <m:t>2</m:t>
            </m:r>
          </m:sup>
        </m:sSup>
      </m:oMath>
      <w:r>
        <w:t xml:space="preserve"> </w:t>
      </w:r>
      <w:r>
        <w:t xml:space="preserve">and the blind point lies at</w:t>
      </w:r>
      <w:r>
        <w:t xml:space="preserve"> </w:t>
      </w:r>
      <m:oMath>
        <m:sSub>
          <m:e>
            <m:r>
              <m:t>η</m:t>
            </m:r>
          </m:e>
          <m:sub>
            <m:r>
              <m:t>0</m:t>
            </m:r>
          </m:sub>
        </m:sSub>
        <m:r>
          <m:rPr>
            <m:sty m:val="p"/>
          </m:rPr>
          <m:t>=</m:t>
        </m:r>
        <m:f>
          <m:fPr>
            <m:type m:val="lin"/>
          </m:fPr>
          <m:num>
            <m:r>
              <m:t>1</m:t>
            </m:r>
          </m:num>
          <m:den>
            <m:r>
              <m:t>2</m:t>
            </m:r>
          </m:den>
        </m:f>
        <m:d>
          <m:dPr>
            <m:begChr m:val="("/>
            <m:endChr m:val=")"/>
            <m:sepChr m:val=""/>
            <m:grow/>
          </m:dPr>
          <m:e>
            <m:r>
              <m:t>1</m:t>
            </m:r>
            <m:r>
              <m:rPr>
                <m:sty m:val="p"/>
              </m:rPr>
              <m:t>−</m:t>
            </m:r>
            <m:rad>
              <m:radPr>
                <m:degHide m:val="on"/>
              </m:radPr>
              <m:deg/>
              <m:e>
                <m:r>
                  <m:t>1</m:t>
                </m:r>
                <m:r>
                  <m:rPr>
                    <m:sty m:val="p"/>
                  </m:rPr>
                  <m:t>−</m:t>
                </m:r>
                <m:r>
                  <m:t>μ</m:t>
                </m:r>
                <m:r>
                  <m:rPr>
                    <m:sty m:val="p"/>
                  </m:rPr>
                  <m:t>/</m:t>
                </m:r>
                <m:sSup>
                  <m:e>
                    <m:r>
                      <m:t>β</m:t>
                    </m:r>
                  </m:e>
                  <m:sup>
                    <m:r>
                      <m:t>2</m:t>
                    </m:r>
                  </m:sup>
                </m:sSup>
              </m:e>
            </m:rad>
          </m:e>
        </m:d>
      </m:oMath>
      <w:r>
        <w:t xml:space="preserve"> </w:t>
      </w:r>
      <w:r>
        <w:t xml:space="preserve">of the main span from the pier: 0.276 for three equal spans and 0.177 for</w:t>
      </w:r>
      <w:r>
        <w:t xml:space="preserve"> </w:t>
      </w:r>
      <m:oMath>
        <m:r>
          <m:t>β</m:t>
        </m:r>
        <m:r>
          <m:rPr>
            <m:sty m:val="p"/>
          </m:rPr>
          <m:t>=</m:t>
        </m:r>
        <m:r>
          <m:t>1.636</m:t>
        </m:r>
      </m:oMath>
      <w:r>
        <w:t xml:space="preserve">. Strain blind points exist in every span that has a sagging zone (</w:t>
      </w:r>
      <m:oMath>
        <m:r>
          <m:t>μ</m:t>
        </m:r>
        <m:r>
          <m:rPr>
            <m:sty m:val="p"/>
          </m:rPr>
          <m:t>&lt;</m:t>
        </m:r>
        <m:r>
          <m:t>4</m:t>
        </m:r>
      </m:oMath>
      <w:r>
        <w:t xml:space="preserve">), so they are a property of every continuous girder, not of particular span ratios. The near-blind band</w:t>
      </w:r>
      <w:r>
        <w:t xml:space="preserve"> </w:t>
      </w:r>
      <m:oMath>
        <m:d>
          <m:dPr>
            <m:begChr m:val="|"/>
            <m:endChr m:val="|"/>
            <m:sepChr m:val=""/>
            <m:grow/>
          </m:dPr>
          <m:e>
            <m:sSub>
              <m:e>
                <m:r>
                  <m:t>N</m:t>
                </m:r>
              </m:e>
              <m:sub>
                <m:r>
                  <m:t>M</m:t>
                </m:r>
              </m:sub>
            </m:sSub>
          </m:e>
        </m:d>
        <m:r>
          <m:rPr>
            <m:sty m:val="p"/>
          </m:rPr>
          <m:t>&lt;</m:t>
        </m:r>
        <m:r>
          <m:t>0.2</m:t>
        </m:r>
      </m:oMath>
      <w:r>
        <w:t xml:space="preserve"> </w:t>
      </w:r>
      <w:r>
        <w:t xml:space="preserve">is a ring around each zero. For two equal spans it covers</w:t>
      </w:r>
      <w:r>
        <w:t xml:space="preserve"> </w:t>
      </w:r>
      <m:oMath>
        <m:r>
          <m:t>0.676</m:t>
        </m:r>
        <m:r>
          <m:rPr>
            <m:sty m:val="p"/>
          </m:rPr>
          <m:t>&lt;</m:t>
        </m:r>
        <m:r>
          <m:t>ξ</m:t>
        </m:r>
        <m:r>
          <m:rPr>
            <m:sty m:val="p"/>
          </m:rPr>
          <m:t>&lt;</m:t>
        </m:r>
        <m:r>
          <m:t>0.812</m:t>
        </m:r>
      </m:oMath>
      <w:r>
        <w:t xml:space="preserve">, which is 0.19–0.32 of the span from the interior support. A gauge at the support section is well conditioned, with</w:t>
      </w:r>
      <w:r>
        <w:t xml:space="preserve"> </w:t>
      </w:r>
      <m:oMath>
        <m:d>
          <m:dPr>
            <m:begChr m:val="|"/>
            <m:endChr m:val="|"/>
            <m:sepChr m:val=""/>
            <m:grow/>
          </m:dPr>
          <m:e>
            <m:sSub>
              <m:e>
                <m:r>
                  <m:t>N</m:t>
                </m:r>
              </m:e>
              <m:sub>
                <m:r>
                  <m:t>M</m:t>
                </m:r>
              </m:sub>
            </m:sSub>
          </m:e>
        </m:d>
        <m:r>
          <m:rPr>
            <m:sty m:val="p"/>
          </m:rPr>
          <m:t>=</m:t>
        </m:r>
        <m:r>
          <m:t>μ</m:t>
        </m:r>
      </m:oMath>
      <w:r>
        <w:t xml:space="preserve">. A gauge set back from the pier to clear the diaphragm, or placed at a quarter point, can fall into the band. Table 1 collects the blind loci of all channels; Fig. 3 shows the indicators along two prismatic girders.</w:t>
      </w:r>
    </w:p>
    <w:p>
      <w:pPr>
        <w:pStyle w:val="BodyText"/>
      </w:pPr>
      <w:r>
        <w:rPr>
          <w:bCs/>
          <w:b/>
        </w:rPr>
        <w:t xml:space="preserve">Table 1.</w:t>
      </w:r>
      <w:r>
        <w:t xml:space="preserve"> </w:t>
      </w:r>
      <w:r>
        <w:t xml:space="preserve">Blind loci of response channels under the uniform-load criterion, prismatic beams with</w:t>
      </w:r>
      <w:r>
        <w:t xml:space="preserve"> </w:t>
      </w:r>
      <m:oMath>
        <m:sSub>
          <m:e>
            <m:r>
              <m:t>ρ</m:t>
            </m:r>
          </m:e>
          <m:sub>
            <m:r>
              <m:t>E</m:t>
            </m:r>
            <m:r>
              <m:t>I</m:t>
            </m:r>
          </m:sub>
        </m:sSub>
        <m:r>
          <m:rPr>
            <m:sty m:val="p"/>
          </m:rPr>
          <m:t>=</m:t>
        </m:r>
        <m:r>
          <m:t>1</m:t>
        </m:r>
      </m:oMath>
      <w:r>
        <w:t xml:space="preserve"> </w:t>
      </w:r>
      <w:r>
        <w:t xml:space="preserve">unless stated.</w:t>
      </w:r>
      <w:r>
        <w:t xml:space="preserve"> </w:t>
      </w:r>
      <m:oMath>
        <m:r>
          <m:t>μ</m:t>
        </m:r>
      </m:oMath>
      <w:r>
        <w:t xml:space="preserve"> </w:t>
      </w:r>
      <w:r>
        <w:t xml:space="preserve">from Eq. (4).</w:t>
      </w:r>
    </w:p>
    <w:tbl>
      <w:tblPr>
        <w:tblStyle w:val="Table"/>
        <w:tblW w:type="pct" w:w="5000"/>
        <w:tblLook w:firstRow="1" w:lastRow="0" w:firstColumn="0" w:lastColumn="0" w:noHBand="0" w:noVBand="0" w:val="0020"/>
        <w:jc w:val="start"/>
        <w:tblBorders>
          <w:top w:val="single" w:sz="8" w:space="0" w:color="000000"/>
          <w:left w:val="nil"/>
          <w:bottom w:val="single" w:sz="8" w:space="0" w:color="000000"/>
          <w:right w:val="nil"/>
          <w:insideH w:val="nil"/>
          <w:insideV w:val="nil"/>
        </w:tblBorders>
      </w:tblPr>
      <w:tblGrid>
        <w:gridCol w:w="1971"/>
        <w:gridCol w:w="2366"/>
        <w:gridCol w:w="2366"/>
        <w:gridCol w:w="2366"/>
      </w:tblGrid>
      <w:tr>
        <w:trPr>
          <w:tblHeader w:val="true"/>
        </w:trPr>
        <w:tc>
          <w:tcPr>
            <w:tcW w:type="dxa" w:w="1971"/>
            <w:tcBorders>
              <w:top w:val="nil"/>
              <w:left w:val="nil"/>
              <w:bottom w:val="single" w:sz="6" w:space="0" w:color="000000"/>
              <w:right w:val="nil"/>
            </w:tcBorders>
          </w:tcPr>
          <w:p>
            <w:pPr>
              <w:pStyle w:val="Compact"/>
              <w:jc w:val="left"/>
            </w:pPr>
            <w:r>
              <w:t xml:space="preserve">Channel</w:t>
            </w:r>
          </w:p>
        </w:tc>
        <w:tc>
          <w:tcPr>
            <w:tcW w:type="dxa" w:w="2366"/>
            <w:tcBorders>
              <w:top w:val="nil"/>
              <w:left w:val="nil"/>
              <w:bottom w:val="single" w:sz="6" w:space="0" w:color="000000"/>
              <w:right w:val="nil"/>
            </w:tcBorders>
          </w:tcPr>
          <w:p>
            <w:pPr>
              <w:pStyle w:val="Compact"/>
              <w:jc w:val="left"/>
            </w:pPr>
            <w:r>
              <w:t xml:space="preserve">Blind where</w:t>
            </w:r>
          </w:p>
        </w:tc>
        <w:tc>
          <w:tcPr>
            <w:tcW w:type="dxa" w:w="2366"/>
            <w:tcBorders>
              <w:top w:val="nil"/>
              <w:left w:val="nil"/>
              <w:bottom w:val="single" w:sz="6" w:space="0" w:color="000000"/>
              <w:right w:val="nil"/>
            </w:tcBorders>
          </w:tcPr>
          <w:p>
            <w:pPr>
              <w:pStyle w:val="Compact"/>
              <w:jc w:val="left"/>
            </w:pPr>
            <w:r>
              <w:t xml:space="preserve">Two-span beam (span 1)</w:t>
            </w:r>
          </w:p>
        </w:tc>
        <w:tc>
          <w:tcPr>
            <w:tcW w:type="dxa" w:w="2366"/>
            <w:tcBorders>
              <w:top w:val="nil"/>
              <w:left w:val="nil"/>
              <w:bottom w:val="single" w:sz="6" w:space="0" w:color="000000"/>
              <w:right w:val="nil"/>
            </w:tcBorders>
          </w:tcPr>
          <w:p>
            <w:pPr>
              <w:pStyle w:val="Compact"/>
              <w:jc w:val="left"/>
            </w:pPr>
            <w:r>
              <w:t xml:space="preserve">Symmetric three-span beam</w:t>
            </w:r>
          </w:p>
        </w:tc>
      </w:tr>
      <w:tr>
        <w:tc>
          <w:tcPr>
            <w:tcW w:type="dxa" w:w="1971"/>
          </w:tcPr>
          <w:p>
            <w:pPr>
              <w:pStyle w:val="Compact"/>
              <w:jc w:val="left"/>
            </w:pPr>
            <w:r>
              <w:t xml:space="preserve">Strain, moment, curvature</w:t>
            </w:r>
          </w:p>
        </w:tc>
        <w:tc>
          <w:tcPr>
            <w:tcW w:type="dxa" w:w="2366"/>
          </w:tcPr>
          <w:p>
            <w:pPr>
              <w:pStyle w:val="Compact"/>
              <w:jc w:val="left"/>
            </w:pPr>
            <w:r>
              <w:t xml:space="preserve">zeros of</w:t>
            </w:r>
            <w:r>
              <w:t xml:space="preserve"> </w:t>
            </w:r>
            <m:oMath>
              <m:sSub>
                <m:e>
                  <m:r>
                    <m:t>M</m:t>
                  </m:r>
                </m:e>
                <m:sub>
                  <m:r>
                    <m:t>q</m:t>
                  </m:r>
                </m:sub>
              </m:sSub>
            </m:oMath>
          </w:p>
        </w:tc>
        <w:tc>
          <w:tcPr>
            <w:tcW w:type="dxa" w:w="2366"/>
          </w:tcPr>
          <w:p>
            <w:pPr>
              <w:pStyle w:val="Compact"/>
              <w:jc w:val="left"/>
            </w:pPr>
            <m:oMath>
              <m:sSub>
                <m:e>
                  <m:r>
                    <m:t>ξ</m:t>
                  </m:r>
                </m:e>
                <m:sub>
                  <m:r>
                    <m:t>0</m:t>
                  </m:r>
                </m:sub>
              </m:sSub>
              <m:r>
                <m:rPr>
                  <m:sty m:val="p"/>
                </m:rPr>
                <m:t>=</m:t>
              </m:r>
              <m:r>
                <m:t>1</m:t>
              </m:r>
              <m:r>
                <m:rPr>
                  <m:sty m:val="p"/>
                </m:rPr>
                <m:t>−</m:t>
              </m:r>
              <m:r>
                <m:t>μ</m:t>
              </m:r>
              <m:r>
                <m:rPr>
                  <m:sty m:val="p"/>
                </m:rPr>
                <m:t>/</m:t>
              </m:r>
              <m:r>
                <m:t>4</m:t>
              </m:r>
            </m:oMath>
            <w:r>
              <w:t xml:space="preserve"> </w:t>
            </w:r>
            <w:r>
              <w:t xml:space="preserve">(0.75 at</w:t>
            </w:r>
            <w:r>
              <w:t xml:space="preserve"> </w:t>
            </w:r>
            <m:oMath>
              <m:sSub>
                <m:e>
                  <m:r>
                    <m:t>ρ</m:t>
                  </m:r>
                </m:e>
                <m:sub>
                  <m:r>
                    <m:t>L</m:t>
                  </m:r>
                </m:sub>
              </m:sSub>
              <m:r>
                <m:rPr>
                  <m:sty m:val="p"/>
                </m:rPr>
                <m:t>=</m:t>
              </m:r>
              <m:r>
                <m:t>1</m:t>
              </m:r>
            </m:oMath>
            <w:r>
              <w:t xml:space="preserve">)</w:t>
            </w:r>
          </w:p>
        </w:tc>
        <w:tc>
          <w:tcPr>
            <w:tcW w:type="dxa" w:w="2366"/>
          </w:tcPr>
          <w:p>
            <w:pPr>
              <w:pStyle w:val="Compact"/>
              <w:jc w:val="left"/>
            </w:pPr>
            <w:r>
              <w:t xml:space="preserve">side</w:t>
            </w:r>
            <w:r>
              <w:t xml:space="preserve"> </w:t>
            </w:r>
            <m:oMath>
              <m:sSub>
                <m:e>
                  <m:r>
                    <m:t>ξ</m:t>
                  </m:r>
                </m:e>
                <m:sub>
                  <m:r>
                    <m:t>0</m:t>
                  </m:r>
                </m:sub>
              </m:sSub>
              <m:r>
                <m:rPr>
                  <m:sty m:val="p"/>
                </m:rPr>
                <m:t>=</m:t>
              </m:r>
              <m:r>
                <m:t>1</m:t>
              </m:r>
              <m:r>
                <m:rPr>
                  <m:sty m:val="p"/>
                </m:rPr>
                <m:t>−</m:t>
              </m:r>
              <m:r>
                <m:t>μ</m:t>
              </m:r>
              <m:r>
                <m:rPr>
                  <m:sty m:val="p"/>
                </m:rPr>
                <m:t>/</m:t>
              </m:r>
              <m:r>
                <m:t>4</m:t>
              </m:r>
            </m:oMath>
            <w:r>
              <w:t xml:space="preserve">; main</w:t>
            </w:r>
            <w:r>
              <w:t xml:space="preserve"> </w:t>
            </w:r>
            <m:oMath>
              <m:sSub>
                <m:e>
                  <m:r>
                    <m:t>η</m:t>
                  </m:r>
                </m:e>
                <m:sub>
                  <m:r>
                    <m:t>0</m:t>
                  </m:r>
                </m:sub>
              </m:sSub>
              <m:r>
                <m:rPr>
                  <m:sty m:val="p"/>
                </m:rPr>
                <m:t>=</m:t>
              </m:r>
              <m:f>
                <m:fPr>
                  <m:type m:val="lin"/>
                </m:fPr>
                <m:num>
                  <m:r>
                    <m:t>1</m:t>
                  </m:r>
                </m:num>
                <m:den>
                  <m:r>
                    <m:t>2</m:t>
                  </m:r>
                </m:den>
              </m:f>
              <m:d>
                <m:dPr>
                  <m:begChr m:val="("/>
                  <m:endChr m:val=")"/>
                  <m:sepChr m:val=""/>
                  <m:grow/>
                </m:dPr>
                <m:e>
                  <m:r>
                    <m:t>1</m:t>
                  </m:r>
                  <m:r>
                    <m:rPr>
                      <m:sty m:val="p"/>
                    </m:rPr>
                    <m:t>−</m:t>
                  </m:r>
                  <m:rad>
                    <m:radPr>
                      <m:degHide m:val="on"/>
                    </m:radPr>
                    <m:deg/>
                    <m:e>
                      <m:r>
                        <m:t>1</m:t>
                      </m:r>
                      <m:r>
                        <m:rPr>
                          <m:sty m:val="p"/>
                        </m:rPr>
                        <m:t>−</m:t>
                      </m:r>
                      <m:r>
                        <m:t>μ</m:t>
                      </m:r>
                      <m:r>
                        <m:rPr>
                          <m:sty m:val="p"/>
                        </m:rPr>
                        <m:t>/</m:t>
                      </m:r>
                      <m:sSup>
                        <m:e>
                          <m:r>
                            <m:t>β</m:t>
                          </m:r>
                        </m:e>
                        <m:sup>
                          <m:r>
                            <m:t>2</m:t>
                          </m:r>
                        </m:sup>
                      </m:sSup>
                    </m:e>
                  </m:rad>
                </m:e>
              </m:d>
            </m:oMath>
          </w:p>
        </w:tc>
      </w:tr>
      <w:tr>
        <w:tc>
          <w:tcPr>
            <w:tcW w:type="dxa" w:w="1971"/>
          </w:tcPr>
          <w:p>
            <w:pPr>
              <w:pStyle w:val="Compact"/>
              <w:jc w:val="left"/>
            </w:pPr>
            <w:r>
              <w:t xml:space="preserve">Deflection</w:t>
            </w:r>
          </w:p>
        </w:tc>
        <w:tc>
          <w:tcPr>
            <w:tcW w:type="dxa" w:w="2366"/>
          </w:tcPr>
          <w:p>
            <w:pPr>
              <w:pStyle w:val="Compact"/>
              <w:jc w:val="left"/>
            </w:pPr>
            <w:r>
              <w:t xml:space="preserve">zeros of</w:t>
            </w:r>
            <w:r>
              <w:t xml:space="preserve"> </w:t>
            </w:r>
            <m:oMath>
              <m:sSub>
                <m:e>
                  <m:r>
                    <m:t>w</m:t>
                  </m:r>
                </m:e>
                <m:sub>
                  <m:r>
                    <m:t>q</m:t>
                  </m:r>
                </m:sub>
              </m:sSub>
            </m:oMath>
          </w:p>
        </w:tc>
        <w:tc>
          <w:tcPr>
            <w:tcW w:type="dxa" w:w="2366"/>
          </w:tcPr>
          <w:p>
            <w:pPr>
              <w:pStyle w:val="Compact"/>
              <w:jc w:val="left"/>
            </w:pPr>
            <m:oMath>
              <m:r>
                <m:t>μ</m:t>
              </m:r>
              <m:r>
                <m:rPr>
                  <m:sty m:val="p"/>
                </m:rPr>
                <m:t>=</m:t>
              </m:r>
              <m:sSub>
                <m:e>
                  <m:r>
                    <m:t>μ</m:t>
                  </m:r>
                </m:e>
                <m:sub>
                  <m:r>
                    <m:rPr>
                      <m:sty m:val="p"/>
                    </m:rPr>
                    <m:t>c</m:t>
                  </m:r>
                  <m:r>
                    <m:rPr>
                      <m:sty m:val="p"/>
                    </m:rPr>
                    <m:t>r</m:t>
                  </m:r>
                  <m:r>
                    <m:rPr>
                      <m:sty m:val="p"/>
                    </m:rPr>
                    <m:t>i</m:t>
                  </m:r>
                  <m:r>
                    <m:rPr>
                      <m:sty m:val="p"/>
                    </m:rPr>
                    <m:t>t</m:t>
                  </m:r>
                </m:sub>
              </m:sSub>
              <m:d>
                <m:dPr>
                  <m:begChr m:val="("/>
                  <m:endChr m:val=")"/>
                  <m:sepChr m:val=""/>
                  <m:grow/>
                </m:dPr>
                <m:e>
                  <m:r>
                    <m:t>ξ</m:t>
                  </m:r>
                </m:e>
              </m:d>
            </m:oMath>
            <w:r>
              <w:t xml:space="preserve">, only for</w:t>
            </w:r>
            <w:r>
              <w:t xml:space="preserve"> </w:t>
            </w:r>
            <m:oMath>
              <m:r>
                <m:t>1</m:t>
              </m:r>
              <m:r>
                <m:rPr>
                  <m:sty m:val="p"/>
                </m:rPr>
                <m:t>&lt;</m:t>
              </m:r>
              <m:r>
                <m:t>μ</m:t>
              </m:r>
              <m:r>
                <m:rPr>
                  <m:sty m:val="p"/>
                </m:rPr>
                <m:t>&lt;</m:t>
              </m:r>
              <m:r>
                <m:t>2</m:t>
              </m:r>
            </m:oMath>
            <w:r>
              <w:t xml:space="preserve">; mid-span:</w:t>
            </w:r>
            <w:r>
              <w:t xml:space="preserve"> </w:t>
            </w:r>
            <m:oMath>
              <m:sSub>
                <m:e>
                  <m:r>
                    <m:t>ρ</m:t>
                  </m:r>
                </m:e>
                <m:sub>
                  <m:r>
                    <m:t>L</m:t>
                  </m:r>
                </m:sub>
              </m:sSub>
              <m:r>
                <m:rPr>
                  <m:sty m:val="p"/>
                </m:rPr>
                <m:t>=</m:t>
              </m:r>
              <m:r>
                <m:t>1.4574</m:t>
              </m:r>
            </m:oMath>
          </w:p>
        </w:tc>
        <w:tc>
          <w:tcPr>
            <w:tcW w:type="dxa" w:w="2366"/>
          </w:tcPr>
          <w:p>
            <w:pPr>
              <w:pStyle w:val="Compact"/>
              <w:jc w:val="left"/>
            </w:pPr>
            <w:r>
              <w:t xml:space="preserve">mid side span:</w:t>
            </w:r>
            <w:r>
              <w:t xml:space="preserve"> </w:t>
            </w:r>
            <m:oMath>
              <m:r>
                <m:t>β</m:t>
              </m:r>
              <m:r>
                <m:rPr>
                  <m:sty m:val="p"/>
                </m:rPr>
                <m:t>=</m:t>
              </m:r>
              <m:r>
                <m:t>1.7006</m:t>
              </m:r>
            </m:oMath>
            <w:r>
              <w:t xml:space="preserve">; locus ends at</w:t>
            </w:r>
            <w:r>
              <w:t xml:space="preserve"> </w:t>
            </w:r>
            <m:oMath>
              <m:r>
                <m:t>β</m:t>
              </m:r>
              <m:r>
                <m:rPr>
                  <m:sty m:val="p"/>
                </m:rPr>
                <m:t>=</m:t>
              </m:r>
              <m:r>
                <m:t>1.8794</m:t>
              </m:r>
            </m:oMath>
          </w:p>
        </w:tc>
      </w:tr>
      <w:tr>
        <w:tc>
          <w:tcPr>
            <w:tcW w:type="dxa" w:w="1971"/>
          </w:tcPr>
          <w:p>
            <w:pPr>
              <w:pStyle w:val="Compact"/>
              <w:jc w:val="left"/>
            </w:pPr>
            <w:r>
              <w:t xml:space="preserve">Rotation</w:t>
            </w:r>
          </w:p>
        </w:tc>
        <w:tc>
          <w:tcPr>
            <w:tcW w:type="dxa" w:w="2366"/>
          </w:tcPr>
          <w:p>
            <w:pPr>
              <w:pStyle w:val="Compact"/>
              <w:jc w:val="left"/>
            </w:pPr>
            <w:r>
              <w:t xml:space="preserve">extrema of</w:t>
            </w:r>
            <w:r>
              <w:t xml:space="preserve"> </w:t>
            </w:r>
            <m:oMath>
              <m:sSub>
                <m:e>
                  <m:r>
                    <m:t>w</m:t>
                  </m:r>
                </m:e>
                <m:sub>
                  <m:r>
                    <m:t>q</m:t>
                  </m:r>
                </m:sub>
              </m:sSub>
            </m:oMath>
          </w:p>
        </w:tc>
        <w:tc>
          <w:tcPr>
            <w:tcW w:type="dxa" w:w="2366"/>
          </w:tcPr>
          <w:p>
            <w:pPr>
              <w:pStyle w:val="Compact"/>
              <w:jc w:val="left"/>
            </w:pPr>
            <w:r>
              <w:t xml:space="preserve">end:</w:t>
            </w:r>
            <w:r>
              <w:t xml:space="preserve"> </w:t>
            </w:r>
            <m:oMath>
              <m:r>
                <m:t>μ</m:t>
              </m:r>
              <m:r>
                <m:rPr>
                  <m:sty m:val="p"/>
                </m:rPr>
                <m:t>=</m:t>
              </m:r>
              <m:r>
                <m:t>2</m:t>
              </m:r>
            </m:oMath>
            <w:r>
              <w:t xml:space="preserve"> </w:t>
            </w:r>
            <w:r>
              <w:t xml:space="preserve">(</w:t>
            </w:r>
            <m:oMath>
              <m:sSub>
                <m:e>
                  <m:r>
                    <m:t>ρ</m:t>
                  </m:r>
                </m:e>
                <m:sub>
                  <m:r>
                    <m:t>L</m:t>
                  </m:r>
                </m:sub>
              </m:sSub>
              <m:r>
                <m:rPr>
                  <m:sty m:val="p"/>
                </m:rPr>
                <m:t>=</m:t>
              </m:r>
              <m:r>
                <m:t>1.6180</m:t>
              </m:r>
            </m:oMath>
            <w:r>
              <w:t xml:space="preserve">); pier:</w:t>
            </w:r>
            <w:r>
              <w:t xml:space="preserve"> </w:t>
            </w:r>
            <m:oMath>
              <m:sSub>
                <m:e>
                  <m:r>
                    <m:t>ρ</m:t>
                  </m:r>
                </m:e>
                <m:sub>
                  <m:r>
                    <m:t>L</m:t>
                  </m:r>
                </m:sub>
              </m:sSub>
              <m:r>
                <m:rPr>
                  <m:sty m:val="p"/>
                </m:rPr>
                <m:t>=</m:t>
              </m:r>
              <m:r>
                <m:t>1</m:t>
              </m:r>
            </m:oMath>
            <w:r>
              <w:t xml:space="preserve"> </w:t>
            </w:r>
            <w:r>
              <w:t xml:space="preserve">for any</w:t>
            </w:r>
            <w:r>
              <w:t xml:space="preserve"> </w:t>
            </w:r>
            <m:oMath>
              <m:sSub>
                <m:e>
                  <m:r>
                    <m:t>ρ</m:t>
                  </m:r>
                </m:e>
                <m:sub>
                  <m:r>
                    <m:t>E</m:t>
                  </m:r>
                  <m:r>
                    <m:t>I</m:t>
                  </m:r>
                </m:sub>
              </m:sSub>
            </m:oMath>
          </w:p>
        </w:tc>
        <w:tc>
          <w:tcPr>
            <w:tcW w:type="dxa" w:w="2366"/>
          </w:tcPr>
          <w:p>
            <w:pPr>
              <w:pStyle w:val="Compact"/>
              <w:jc w:val="left"/>
            </w:pPr>
            <w:r>
              <w:t xml:space="preserve">end:</w:t>
            </w:r>
            <w:r>
              <w:t xml:space="preserve"> </w:t>
            </w:r>
            <m:oMath>
              <m:r>
                <m:t>β</m:t>
              </m:r>
              <m:r>
                <m:rPr>
                  <m:sty m:val="p"/>
                </m:rPr>
                <m:t>=</m:t>
              </m:r>
              <m:r>
                <m:t>2</m:t>
              </m:r>
              <m:r>
                <m:rPr>
                  <m:sty m:val="p"/>
                </m:rPr>
                <m:t>cos</m:t>
              </m:r>
              <m:d>
                <m:dPr>
                  <m:begChr m:val="("/>
                  <m:endChr m:val=")"/>
                  <m:sepChr m:val=""/>
                  <m:grow/>
                </m:dPr>
                <m:e>
                  <m:r>
                    <m:t>π</m:t>
                  </m:r>
                  <m:r>
                    <m:rPr>
                      <m:sty m:val="p"/>
                    </m:rPr>
                    <m:t>/</m:t>
                  </m:r>
                  <m:r>
                    <m:t>9</m:t>
                  </m:r>
                </m:e>
              </m:d>
            </m:oMath>
            <w:r>
              <w:t xml:space="preserve">; pier:</w:t>
            </w:r>
            <w:r>
              <w:t xml:space="preserve"> </w:t>
            </w:r>
            <m:oMath>
              <m:r>
                <m:t>β</m:t>
              </m:r>
              <m:r>
                <m:rPr>
                  <m:sty m:val="p"/>
                </m:rPr>
                <m:t>=</m:t>
              </m:r>
              <m:rad>
                <m:radPr>
                  <m:degHide m:val="on"/>
                </m:radPr>
                <m:deg/>
                <m:e>
                  <m:r>
                    <m:t>3</m:t>
                  </m:r>
                  <m:r>
                    <m:rPr>
                      <m:sty m:val="p"/>
                    </m:rPr>
                    <m:t>/</m:t>
                  </m:r>
                  <m:r>
                    <m:t>2</m:t>
                  </m:r>
                </m:e>
              </m:rad>
            </m:oMath>
            <w:r>
              <w:t xml:space="preserve"> </w:t>
            </w:r>
            <w:r>
              <w:t xml:space="preserve">for any</w:t>
            </w:r>
            <w:r>
              <w:t xml:space="preserve"> </w:t>
            </w:r>
            <m:oMath>
              <m:sSub>
                <m:e>
                  <m:r>
                    <m:t>ρ</m:t>
                  </m:r>
                </m:e>
                <m:sub>
                  <m:r>
                    <m:t>E</m:t>
                  </m:r>
                  <m:r>
                    <m:t>I</m:t>
                  </m:r>
                </m:sub>
              </m:sSub>
            </m:oMath>
            <w:r>
              <w:t xml:space="preserve">; mid main span: always</w:t>
            </w:r>
          </w:p>
        </w:tc>
      </w:tr>
      <w:tr>
        <w:tc>
          <w:tcPr>
            <w:tcW w:type="dxa" w:w="1971"/>
          </w:tcPr>
          <w:p>
            <w:pPr>
              <w:pStyle w:val="Compact"/>
              <w:jc w:val="left"/>
            </w:pPr>
            <w:r>
              <w:t xml:space="preserve">Shear</w:t>
            </w:r>
          </w:p>
        </w:tc>
        <w:tc>
          <w:tcPr>
            <w:tcW w:type="dxa" w:w="2366"/>
          </w:tcPr>
          <w:p>
            <w:pPr>
              <w:pStyle w:val="Compact"/>
              <w:jc w:val="left"/>
            </w:pPr>
            <w:r>
              <w:t xml:space="preserve">maxima of</w:t>
            </w:r>
            <w:r>
              <w:t xml:space="preserve"> </w:t>
            </w:r>
            <m:oMath>
              <m:sSub>
                <m:e>
                  <m:r>
                    <m:t>M</m:t>
                  </m:r>
                </m:e>
                <m:sub>
                  <m:r>
                    <m:t>q</m:t>
                  </m:r>
                </m:sub>
              </m:sSub>
            </m:oMath>
          </w:p>
        </w:tc>
        <w:tc>
          <w:tcPr>
            <w:tcW w:type="dxa" w:w="2366"/>
          </w:tcPr>
          <w:p>
            <w:pPr>
              <w:pStyle w:val="Compact"/>
              <w:jc w:val="left"/>
            </w:pPr>
            <m:oMath>
              <m:r>
                <m:t>ξ</m:t>
              </m:r>
              <m:r>
                <m:rPr>
                  <m:sty m:val="p"/>
                </m:rPr>
                <m:t>=</m:t>
              </m:r>
              <m:sSub>
                <m:e>
                  <m:r>
                    <m:t>ξ</m:t>
                  </m:r>
                </m:e>
                <m:sub>
                  <m:r>
                    <m:t>0</m:t>
                  </m:r>
                </m:sub>
              </m:sSub>
              <m:r>
                <m:rPr>
                  <m:sty m:val="p"/>
                </m:rPr>
                <m:t>/</m:t>
              </m:r>
              <m:r>
                <m:t>2</m:t>
              </m:r>
            </m:oMath>
          </w:p>
        </w:tc>
        <w:tc>
          <w:tcPr>
            <w:tcW w:type="dxa" w:w="2366"/>
          </w:tcPr>
          <w:p>
            <w:pPr>
              <w:pStyle w:val="Compact"/>
              <w:jc w:val="left"/>
            </w:pPr>
            <w:r>
              <w:t xml:space="preserve">side</w:t>
            </w:r>
            <w:r>
              <w:t xml:space="preserve"> </w:t>
            </w:r>
            <m:oMath>
              <m:sSub>
                <m:e>
                  <m:r>
                    <m:t>ξ</m:t>
                  </m:r>
                </m:e>
                <m:sub>
                  <m:r>
                    <m:t>0</m:t>
                  </m:r>
                </m:sub>
              </m:sSub>
              <m:r>
                <m:rPr>
                  <m:sty m:val="p"/>
                </m:rPr>
                <m:t>/</m:t>
              </m:r>
              <m:r>
                <m:t>2</m:t>
              </m:r>
            </m:oMath>
            <w:r>
              <w:t xml:space="preserve">; mid main span: always</w:t>
            </w:r>
          </w:p>
        </w:tc>
      </w:tr>
      <w:tr>
        <w:tc>
          <w:tcPr>
            <w:tcW w:type="dxa" w:w="1971"/>
          </w:tcPr>
          <w:p>
            <w:pPr>
              <w:pStyle w:val="Compact"/>
              <w:jc w:val="left"/>
            </w:pPr>
            <w:r>
              <w:t xml:space="preserve">End reaction</w:t>
            </w:r>
          </w:p>
        </w:tc>
        <w:tc>
          <w:tcPr>
            <w:tcW w:type="dxa" w:w="2366"/>
          </w:tcPr>
          <w:p>
            <w:pPr>
              <w:pStyle w:val="Compact"/>
              <w:jc w:val="left"/>
            </w:pPr>
            <w:r>
              <w:t xml:space="preserve">no sagging zone in the end span</w:t>
            </w:r>
          </w:p>
        </w:tc>
        <w:tc>
          <w:tcPr>
            <w:tcW w:type="dxa" w:w="2366"/>
          </w:tcPr>
          <w:p>
            <w:pPr>
              <w:pStyle w:val="Compact"/>
              <w:jc w:val="left"/>
            </w:pPr>
            <m:oMath>
              <m:r>
                <m:t>μ</m:t>
              </m:r>
              <m:r>
                <m:rPr>
                  <m:sty m:val="p"/>
                </m:rPr>
                <m:t>=</m:t>
              </m:r>
              <m:r>
                <m:t>4</m:t>
              </m:r>
            </m:oMath>
            <w:r>
              <w:t xml:space="preserve"> </w:t>
            </w:r>
            <w:r>
              <w:t xml:space="preserve">(</w:t>
            </w:r>
            <m:oMath>
              <m:sSub>
                <m:e>
                  <m:r>
                    <m:t>ρ</m:t>
                  </m:r>
                </m:e>
                <m:sub>
                  <m:r>
                    <m:t>L</m:t>
                  </m:r>
                </m:sub>
              </m:sSub>
              <m:r>
                <m:rPr>
                  <m:sty m:val="p"/>
                </m:rPr>
                <m:t>=</m:t>
              </m:r>
              <m:r>
                <m:t>2.3028</m:t>
              </m:r>
            </m:oMath>
            <w:r>
              <w:t xml:space="preserve">)</w:t>
            </w:r>
          </w:p>
        </w:tc>
        <w:tc>
          <w:tcPr>
            <w:tcW w:type="dxa" w:w="2366"/>
          </w:tcPr>
          <w:p>
            <w:pPr>
              <w:pStyle w:val="Compact"/>
              <w:jc w:val="left"/>
            </w:pPr>
            <m:oMath>
              <m:r>
                <m:t>μ</m:t>
              </m:r>
              <m:r>
                <m:rPr>
                  <m:sty m:val="p"/>
                </m:rPr>
                <m:t>=</m:t>
              </m:r>
              <m:r>
                <m:t>4</m:t>
              </m:r>
            </m:oMath>
            <w:r>
              <w:t xml:space="preserve"> </w:t>
            </w:r>
            <w:r>
              <w:t xml:space="preserve">(</w:t>
            </w:r>
            <m:oMath>
              <m:r>
                <m:t>β</m:t>
              </m:r>
              <m:r>
                <m:rPr>
                  <m:sty m:val="p"/>
                </m:rPr>
                <m:t>=</m:t>
              </m:r>
              <m:r>
                <m:t>2.6691</m:t>
              </m:r>
            </m:oMath>
            <w:r>
              <w:t xml:space="preserve">)</w:t>
            </w:r>
          </w:p>
        </w:tc>
      </w:tr>
      <w:tr>
        <w:tc>
          <w:tcPr>
            <w:tcW w:type="dxa" w:w="1971"/>
          </w:tcPr>
          <w:p>
            <w:pPr>
              <w:pStyle w:val="Compact"/>
              <w:jc w:val="left"/>
            </w:pPr>
            <w:r>
              <w:t xml:space="preserve">Interior reaction</w:t>
            </w:r>
          </w:p>
        </w:tc>
        <w:tc>
          <w:tcPr>
            <w:tcW w:type="dxa" w:w="2366"/>
          </w:tcPr>
          <w:p>
            <w:pPr>
              <w:pStyle w:val="Compact"/>
              <w:jc w:val="left"/>
            </w:pPr>
            <w:r>
              <w:t xml:space="preserve">never under a full uniform load</w:t>
            </w:r>
          </w:p>
        </w:tc>
        <w:tc>
          <w:tcPr>
            <w:tcW w:type="dxa" w:w="2366"/>
          </w:tcPr>
          <w:p>
            <w:pPr>
              <w:pStyle w:val="Compact"/>
              <w:jc w:val="left"/>
            </w:pPr>
            <w:r>
              <w:t xml:space="preserve">–</w:t>
            </w:r>
          </w:p>
        </w:tc>
        <w:tc>
          <w:tcPr>
            <w:tcW w:type="dxa" w:w="2366"/>
          </w:tcPr>
          <w:p>
            <w:pPr>
              <w:pStyle w:val="Compact"/>
              <w:jc w:val="left"/>
            </w:pPr>
            <w:r>
              <w:t xml:space="preserve">–</w:t>
            </w:r>
          </w:p>
        </w:tc>
      </w:tr>
    </w:tbl>
    <w:p>
      <w:pPr>
        <w:pStyle w:val="BodyText"/>
      </w:pPr>
      <w:r>
        <w:t xml:space="preserve">Two identities in Table 1 have practical value. The end-reaction indicator equals the strain blind abscissa,</w:t>
      </w:r>
      <w:r>
        <w:t xml:space="preserve"> </w:t>
      </w:r>
      <m:oMath>
        <m:r>
          <m:t>2</m:t>
        </m:r>
        <m:sSub>
          <m:e>
            <m:r>
              <m:t>R</m:t>
            </m:r>
          </m:e>
          <m:sub>
            <m:r>
              <m:t>A</m:t>
            </m:r>
          </m:sub>
        </m:sSub>
        <m:r>
          <m:rPr>
            <m:sty m:val="p"/>
          </m:rPr>
          <m:t>/</m:t>
        </m:r>
        <m:d>
          <m:dPr>
            <m:begChr m:val="("/>
            <m:endChr m:val=")"/>
            <m:sepChr m:val=""/>
            <m:grow/>
          </m:dPr>
          <m:e>
            <m:sSub>
              <m:e>
                <m:r>
                  <m:t>q</m:t>
                </m:r>
              </m:e>
              <m:sub>
                <m:r>
                  <m:t>0</m:t>
                </m:r>
              </m:sub>
            </m:sSub>
            <m:sSub>
              <m:e>
                <m:r>
                  <m:t>L</m:t>
                </m:r>
              </m:e>
              <m:sub>
                <m:r>
                  <m:t>1</m:t>
                </m:r>
              </m:sub>
            </m:sSub>
          </m:e>
        </m:d>
        <m:r>
          <m:rPr>
            <m:sty m:val="p"/>
          </m:rPr>
          <m:t>=</m:t>
        </m:r>
        <m:sSub>
          <m:e>
            <m:r>
              <m:t>ξ</m:t>
            </m:r>
          </m:e>
          <m:sub>
            <m:r>
              <m:t>0</m:t>
            </m:r>
          </m:sub>
        </m:sSub>
      </m:oMath>
      <w:r>
        <w:t xml:space="preserve">, for any</w:t>
      </w:r>
      <w:r>
        <w:t xml:space="preserve"> </w:t>
      </w:r>
      <m:oMath>
        <m:r>
          <m:t>E</m:t>
        </m:r>
        <m:r>
          <m:t>I</m:t>
        </m:r>
        <m:d>
          <m:dPr>
            <m:begChr m:val="("/>
            <m:endChr m:val=")"/>
            <m:sepChr m:val=""/>
            <m:grow/>
          </m:dPr>
          <m:e>
            <m:r>
              <m:t>x</m:t>
            </m:r>
          </m:e>
        </m:d>
      </m:oMath>
      <w:r>
        <w:t xml:space="preserve"> </w:t>
      </w:r>
      <w:r>
        <w:t xml:space="preserve">and any pier springs, because statics of the end segment gives</w:t>
      </w:r>
      <w:r>
        <w:t xml:space="preserve"> </w:t>
      </w:r>
      <m:oMath>
        <m:sSub>
          <m:e>
            <m:r>
              <m:t>M</m:t>
            </m:r>
          </m:e>
          <m:sub>
            <m:r>
              <m:t>q</m:t>
            </m:r>
          </m:sub>
        </m:sSub>
        <m:r>
          <m:rPr>
            <m:sty m:val="p"/>
          </m:rPr>
          <m:t>=</m:t>
        </m:r>
        <m:sSub>
          <m:e>
            <m:r>
              <m:t>R</m:t>
            </m:r>
          </m:e>
          <m:sub>
            <m:r>
              <m:t>A</m:t>
            </m:r>
          </m:sub>
        </m:sSub>
        <m:r>
          <m:t>x</m:t>
        </m:r>
        <m:r>
          <m:rPr>
            <m:sty m:val="p"/>
          </m:rPr>
          <m:t>−</m:t>
        </m:r>
        <m:sSub>
          <m:e>
            <m:r>
              <m:t>q</m:t>
            </m:r>
          </m:e>
          <m:sub>
            <m:r>
              <m:t>0</m:t>
            </m:r>
          </m:sub>
        </m:sSub>
        <m:sSup>
          <m:e>
            <m:r>
              <m:t>x</m:t>
            </m:r>
          </m:e>
          <m:sup>
            <m:r>
              <m:t>2</m:t>
            </m:r>
          </m:sup>
        </m:sSup>
        <m:r>
          <m:rPr>
            <m:sty m:val="p"/>
          </m:rPr>
          <m:t>/</m:t>
        </m:r>
        <m:r>
          <m:t>2</m:t>
        </m:r>
      </m:oMath>
      <w:r>
        <w:t xml:space="preserve">. The deflection blind locus ends where the end rotation vanishes, which explains the limit</w:t>
      </w:r>
      <w:r>
        <w:t xml:space="preserve"> </w:t>
      </w:r>
      <m:oMath>
        <m:r>
          <m:t>2</m:t>
        </m:r>
        <m:r>
          <m:rPr>
            <m:sty m:val="p"/>
          </m:rPr>
          <m:t>cos</m:t>
        </m:r>
        <m:d>
          <m:dPr>
            <m:begChr m:val="("/>
            <m:endChr m:val=")"/>
            <m:sepChr m:val=""/>
            <m:grow/>
          </m:dPr>
          <m:e>
            <m:r>
              <m:t>π</m:t>
            </m:r>
            <m:r>
              <m:rPr>
                <m:sty m:val="p"/>
              </m:rPr>
              <m:t>/</m:t>
            </m:r>
            <m:r>
              <m:t>9</m:t>
            </m:r>
          </m:e>
        </m:d>
      </m:oMath>
      <w:r>
        <w:t xml:space="preserve">.</w:t>
      </w:r>
    </w:p>
    <w:bookmarkEnd w:id="24"/>
    <w:bookmarkStart w:id="25" w:name="X147ae1bcccdadb73d61657875ab13c374bcd18f"/>
    <w:p>
      <w:pPr>
        <w:pStyle w:val="Heading3"/>
      </w:pPr>
      <w:r>
        <w:t xml:space="preserve">2.3. Observability and conditioning indicators</w:t>
      </w:r>
    </w:p>
    <w:p>
      <w:pPr>
        <w:pStyle w:val="FirstParagraph"/>
      </w:pPr>
      <w:r>
        <w:t xml:space="preserve">Every estimator below divides by</w:t>
      </w:r>
      <w:r>
        <w:t xml:space="preserve"> </w:t>
      </w:r>
      <m:oMath>
        <m:r>
          <m:t>C</m:t>
        </m:r>
      </m:oMath>
      <w:r>
        <w:t xml:space="preserve">, so to first order the sensitivity to measurement error scales as</w:t>
      </w:r>
      <w:r>
        <w:t xml:space="preserve"> </w:t>
      </w:r>
      <m:oMath>
        <m:r>
          <m:t>1</m:t>
        </m:r>
        <m:r>
          <m:rPr>
            <m:sty m:val="p"/>
          </m:rPr>
          <m:t>/</m:t>
        </m:r>
        <m:d>
          <m:dPr>
            <m:begChr m:val="|"/>
            <m:endChr m:val="|"/>
            <m:sepChr m:val=""/>
            <m:grow/>
          </m:dPr>
          <m:e>
            <m:r>
              <m:t>C</m:t>
            </m:r>
          </m:e>
        </m:d>
      </m:oMath>
      <w:r>
        <w:t xml:space="preserve">. For a deflection channel the normalised indicator is</w:t>
      </w:r>
    </w:p>
    <w:tbl>
      <w:tblPr>
        <w:tblStyle w:val="Table"/>
        <w:tblW w:type="pct" w:w="5000"/>
        <w:tblLook w:firstRow="0" w:lastRow="0" w:firstColumn="0" w:lastColumn="0" w:noHBand="0" w:noVBand="0" w:val="0000"/>
        <w:jc w:val="start"/>
        <w:tblBorders>
          <w:top w:val="nil"/>
          <w:left w:val="nil"/>
          <w:bottom w:val="nil"/>
          <w:right w:val="nil"/>
          <w:insideH w:val="nil"/>
          <w:insideV w:val="nil"/>
        </w:tblBorders>
      </w:tblPr>
      <w:tblGrid>
        <w:gridCol w:w="7981"/>
        <w:gridCol w:w="1088"/>
      </w:tblGrid>
      <w:tr>
        <w:tc>
          <w:tcPr>
            <w:tcW w:type="dxa" w:w="7981"/>
            <w:vAlign w:val="center"/>
          </w:tcPr>
          <w:p>
            <w:pPr>
              <w:jc w:val="center"/>
            </w:pPr>
            <m:oMathPara>
              <m:oMathParaPr>
                <m:jc m:val="center"/>
              </m:oMathParaPr>
              <m:oMath>
                <m:sSub>
                  <m:e>
                    <m:r>
                      <m:t>N</m:t>
                    </m:r>
                  </m:e>
                  <m:sub>
                    <m:r>
                      <m:t>w</m:t>
                    </m:r>
                  </m:sub>
                </m:sSub>
                <m:r>
                  <m:rPr>
                    <m:sty m:val="p"/>
                  </m:rPr>
                  <m:t>=</m:t>
                </m:r>
                <m:f>
                  <m:fPr>
                    <m:type m:val="bar"/>
                  </m:fPr>
                  <m:num>
                    <m:r>
                      <m:t>192</m:t>
                    </m:r>
                    <m:r>
                      <m:t>E</m:t>
                    </m:r>
                    <m:sSub>
                      <m:e>
                        <m:r>
                          <m:t>I</m:t>
                        </m:r>
                      </m:e>
                      <m:sub>
                        <m:r>
                          <m:rPr>
                            <m:sty m:val="p"/>
                          </m:rPr>
                          <m:t>r</m:t>
                        </m:r>
                        <m:r>
                          <m:rPr>
                            <m:sty m:val="p"/>
                          </m:rPr>
                          <m:t>e</m:t>
                        </m:r>
                        <m:r>
                          <m:rPr>
                            <m:sty m:val="p"/>
                          </m:rPr>
                          <m:t>f</m:t>
                        </m:r>
                      </m:sub>
                    </m:sSub>
                    <m:r>
                      <m:t> </m:t>
                    </m:r>
                    <m:sSub>
                      <m:e>
                        <m:r>
                          <m:t>C</m:t>
                        </m:r>
                      </m:e>
                      <m:sub>
                        <m:r>
                          <m:t>m</m:t>
                        </m:r>
                      </m:sub>
                    </m:sSub>
                  </m:num>
                  <m:den>
                    <m:sSup>
                      <m:e>
                        <m:r>
                          <m:t>L</m:t>
                        </m:r>
                      </m:e>
                      <m:sup>
                        <m:r>
                          <m:t>4</m:t>
                        </m:r>
                      </m:sup>
                    </m:sSup>
                  </m:den>
                </m:f>
                <m:r>
                  <m:rPr>
                    <m:sty m:val="p"/>
                  </m:rPr>
                  <m:t>,</m:t>
                </m:r>
              </m:oMath>
            </m:oMathPara>
          </w:p>
        </w:tc>
        <w:tc>
          <w:tcPr>
            <w:tcW w:type="dxa" w:w="1088"/>
            <w:vAlign w:val="center"/>
          </w:tcPr>
          <w:p>
            <w:pPr>
              <w:jc w:val="right"/>
            </w:pPr>
            <w:r>
              <w:t xml:space="preserve">(10)</w:t>
            </w:r>
          </w:p>
        </w:tc>
      </w:tr>
    </w:tbl>
    <w:p>
      <w:pPr>
        <w:pStyle w:val="BodyText"/>
      </w:pPr>
      <w:r>
        <w:t xml:space="preserve">with</w:t>
      </w:r>
      <w:r>
        <w:t xml:space="preserve"> </w:t>
      </w:r>
      <m:oMath>
        <m:r>
          <m:t>L</m:t>
        </m:r>
      </m:oMath>
      <w:r>
        <w:t xml:space="preserve"> </w:t>
      </w:r>
      <w:r>
        <w:t xml:space="preserve">the span containing the sensor. For a prismatic beam</w:t>
      </w:r>
      <w:r>
        <w:t xml:space="preserve"> </w:t>
      </w:r>
      <m:oMath>
        <m:sSub>
          <m:e>
            <m:r>
              <m:t>N</m:t>
            </m:r>
          </m:e>
          <m:sub>
            <m:r>
              <m:t>w</m:t>
            </m:r>
          </m:sub>
        </m:sSub>
      </m:oMath>
      <w:r>
        <w:t xml:space="preserve"> </w:t>
      </w:r>
      <w:r>
        <w:t xml:space="preserve">equals 1 at mid-span of a simply supported span, and</w:t>
      </w:r>
      <w:r>
        <w:t xml:space="preserve"> </w:t>
      </w:r>
      <m:oMath>
        <m:d>
          <m:dPr>
            <m:begChr m:val="|"/>
            <m:endChr m:val="|"/>
            <m:sepChr m:val=""/>
            <m:grow/>
          </m:dPr>
          <m:e>
            <m:sSub>
              <m:e>
                <m:r>
                  <m:t>N</m:t>
                </m:r>
              </m:e>
              <m:sub>
                <m:r>
                  <m:t>w</m:t>
                </m:r>
              </m:sub>
            </m:sSub>
          </m:e>
        </m:d>
        <m:r>
          <m:rPr>
            <m:sty m:val="p"/>
          </m:rPr>
          <m:t>&lt;</m:t>
        </m:r>
        <m:r>
          <m:t>0.2</m:t>
        </m:r>
      </m:oMath>
      <w:r>
        <w:t xml:space="preserve"> </w:t>
      </w:r>
      <w:r>
        <w:t xml:space="preserve">marks near-blind locations. For a non-prismatic girder</w:t>
      </w:r>
      <w:r>
        <w:t xml:space="preserve"> </w:t>
      </w:r>
      <m:oMath>
        <m:sSub>
          <m:e>
            <m:r>
              <m:t>N</m:t>
            </m:r>
          </m:e>
          <m:sub>
            <m:r>
              <m:t>w</m:t>
            </m:r>
          </m:sub>
        </m:sSub>
      </m:oMath>
      <w:r>
        <w:t xml:space="preserve"> </w:t>
      </w:r>
      <w:r>
        <w:t xml:space="preserve">depends on the choice of</w:t>
      </w:r>
      <w:r>
        <w:t xml:space="preserve"> </w:t>
      </w:r>
      <m:oMath>
        <m:r>
          <m:t>E</m:t>
        </m:r>
        <m:sSub>
          <m:e>
            <m:r>
              <m:t>I</m:t>
            </m:r>
          </m:e>
          <m:sub>
            <m:r>
              <m:rPr>
                <m:sty m:val="p"/>
              </m:rPr>
              <m:t>r</m:t>
            </m:r>
            <m:r>
              <m:rPr>
                <m:sty m:val="p"/>
              </m:rPr>
              <m:t>e</m:t>
            </m:r>
            <m:r>
              <m:rPr>
                <m:sty m:val="p"/>
              </m:rPr>
              <m:t>f</m:t>
            </m:r>
          </m:sub>
        </m:sSub>
      </m:oMath>
      <w:r>
        <w:t xml:space="preserve">, and Section 5 shows that this choice can dominate the result. The strain indicator</w:t>
      </w:r>
      <w:r>
        <w:t xml:space="preserve"> </w:t>
      </w:r>
      <m:oMath>
        <m:sSub>
          <m:e>
            <m:r>
              <m:t>N</m:t>
            </m:r>
          </m:e>
          <m:sub>
            <m:r>
              <m:t>M</m:t>
            </m:r>
          </m:sub>
        </m:sSub>
      </m:oMath>
      <w:r>
        <w:t xml:space="preserve"> </w:t>
      </w:r>
      <w:r>
        <w:t xml:space="preserve">of Eq. (9) needs no reference stiffness: it is the uniform-load moment relative to the free simple-span moment, and the threshold 0.2 keeps one meaning for any</w:t>
      </w:r>
      <w:r>
        <w:t xml:space="preserve"> </w:t>
      </w:r>
      <m:oMath>
        <m:r>
          <m:t>E</m:t>
        </m:r>
        <m:r>
          <m:t>I</m:t>
        </m:r>
        <m:d>
          <m:dPr>
            <m:begChr m:val="("/>
            <m:endChr m:val=")"/>
            <m:sepChr m:val=""/>
            <m:grow/>
          </m:dPr>
          <m:e>
            <m:r>
              <m:t>x</m:t>
            </m:r>
          </m:e>
        </m:d>
      </m:oMath>
      <w:r>
        <w:t xml:space="preserve">. The section enters only through the gain</w:t>
      </w:r>
      <w:r>
        <w:t xml:space="preserve"> </w:t>
      </w:r>
      <m:oMath>
        <m:r>
          <m:t>c</m:t>
        </m:r>
        <m:r>
          <m:rPr>
            <m:sty m:val="p"/>
          </m:rPr>
          <m:t>/</m:t>
        </m:r>
        <m:r>
          <m:t>E</m:t>
        </m:r>
        <m:r>
          <m:t>I</m:t>
        </m:r>
      </m:oMath>
      <w:r>
        <w:t xml:space="preserve"> </w:t>
      </w:r>
      <w:r>
        <w:t xml:space="preserve">of Eq. (3), which sets the absolute signal level. A second measure that needs no reference is the cancellation ratio</w:t>
      </w:r>
    </w:p>
    <w:tbl>
      <w:tblPr>
        <w:tblStyle w:val="Table"/>
        <w:tblW w:type="pct" w:w="5000"/>
        <w:tblLook w:firstRow="0" w:lastRow="0" w:firstColumn="0" w:lastColumn="0" w:noHBand="0" w:noVBand="0" w:val="0000"/>
        <w:jc w:val="start"/>
        <w:tblBorders>
          <w:top w:val="nil"/>
          <w:left w:val="nil"/>
          <w:bottom w:val="nil"/>
          <w:right w:val="nil"/>
          <w:insideH w:val="nil"/>
          <w:insideV w:val="nil"/>
        </w:tblBorders>
      </w:tblPr>
      <w:tblGrid>
        <w:gridCol w:w="7981"/>
        <w:gridCol w:w="1088"/>
      </w:tblGrid>
      <w:tr>
        <w:tc>
          <w:tcPr>
            <w:tcW w:type="dxa" w:w="7981"/>
            <w:vAlign w:val="center"/>
          </w:tcPr>
          <w:p>
            <w:pPr>
              <w:jc w:val="center"/>
            </w:pPr>
            <m:oMathPara>
              <m:oMathParaPr>
                <m:jc m:val="center"/>
              </m:oMathParaPr>
              <m:oMath>
                <m:r>
                  <m:t>R</m:t>
                </m:r>
                <m:r>
                  <m:rPr>
                    <m:sty m:val="p"/>
                  </m:rPr>
                  <m:t>=</m:t>
                </m:r>
                <m:f>
                  <m:fPr>
                    <m:type m:val="bar"/>
                  </m:fPr>
                  <m:num>
                    <m:r>
                      <m:t>C</m:t>
                    </m:r>
                  </m:num>
                  <m:den>
                    <m:sSup>
                      <m:e>
                        <m:r>
                          <m:t>A</m:t>
                        </m:r>
                      </m:e>
                      <m:sup>
                        <m:r>
                          <m:rPr>
                            <m:sty m:val="p"/>
                          </m:rPr>
                          <m:t>+</m:t>
                        </m:r>
                      </m:sup>
                    </m:sSup>
                  </m:den>
                </m:f>
                <m:r>
                  <m:rPr>
                    <m:sty m:val="p"/>
                  </m:rPr>
                  <m:t>=</m:t>
                </m:r>
                <m:r>
                  <m:t>1</m:t>
                </m:r>
                <m:r>
                  <m:rPr>
                    <m:sty m:val="p"/>
                  </m:rPr>
                  <m:t>−</m:t>
                </m:r>
                <m:f>
                  <m:fPr>
                    <m:type m:val="bar"/>
                  </m:fPr>
                  <m:num>
                    <m:d>
                      <m:dPr>
                        <m:begChr m:val="|"/>
                        <m:endChr m:val="|"/>
                        <m:sepChr m:val=""/>
                        <m:grow/>
                      </m:dPr>
                      <m:e>
                        <m:sSup>
                          <m:e>
                            <m:r>
                              <m:t>A</m:t>
                            </m:r>
                          </m:e>
                          <m:sup>
                            <m:r>
                              <m:rPr>
                                <m:sty m:val="p"/>
                              </m:rPr>
                              <m:t>−</m:t>
                            </m:r>
                          </m:sup>
                        </m:sSup>
                      </m:e>
                    </m:d>
                  </m:num>
                  <m:den>
                    <m:sSup>
                      <m:e>
                        <m:r>
                          <m:t>A</m:t>
                        </m:r>
                      </m:e>
                      <m:sup>
                        <m:r>
                          <m:rPr>
                            <m:sty m:val="p"/>
                          </m:rPr>
                          <m:t>+</m:t>
                        </m:r>
                      </m:sup>
                    </m:sSup>
                  </m:den>
                </m:f>
                <m:r>
                  <m:rPr>
                    <m:sty m:val="p"/>
                  </m:rPr>
                  <m:t>,</m:t>
                </m:r>
              </m:oMath>
            </m:oMathPara>
          </w:p>
        </w:tc>
        <w:tc>
          <w:tcPr>
            <w:tcW w:type="dxa" w:w="1088"/>
            <w:vAlign w:val="center"/>
          </w:tcPr>
          <w:p>
            <w:pPr>
              <w:jc w:val="right"/>
            </w:pPr>
            <w:r>
              <w:t xml:space="preserve">(11)</w:t>
            </w:r>
          </w:p>
        </w:tc>
      </w:tr>
    </w:tbl>
    <w:p>
      <w:pPr>
        <w:pStyle w:val="BodyText"/>
      </w:pPr>
      <w:r>
        <w:t xml:space="preserve">the net influence area divided by its positive part.</w:t>
      </w:r>
      <w:r>
        <w:t xml:space="preserve"> </w:t>
      </w:r>
      <m:oMath>
        <m:r>
          <m:t>R</m:t>
        </m:r>
      </m:oMath>
      <w:r>
        <w:t xml:space="preserve"> </w:t>
      </w:r>
      <w:r>
        <w:t xml:space="preserve">equals 1 for a simply supported span and 4/7 for the mid-span deflection of two equal spans. It is 0 at a blind configuration. A small</w:t>
      </w:r>
      <w:r>
        <w:t xml:space="preserve"> </w:t>
      </w:r>
      <m:oMath>
        <m:r>
          <m:t>N</m:t>
        </m:r>
      </m:oMath>
      <w:r>
        <w:t xml:space="preserve"> </w:t>
      </w:r>
      <w:r>
        <w:t xml:space="preserve">with</w:t>
      </w:r>
      <w:r>
        <w:t xml:space="preserve"> </w:t>
      </w:r>
      <m:oMath>
        <m:r>
          <m:t>R</m:t>
        </m:r>
      </m:oMath>
      <w:r>
        <w:t xml:space="preserve"> </w:t>
      </w:r>
      <w:r>
        <w:t xml:space="preserve">near 1 indicates restraint, not cancellation. The strain influence line is more local than the deflection line, so at every prismatic location examined it cancels less:</w:t>
      </w:r>
      <w:r>
        <w:t xml:space="preserve"> </w:t>
      </w:r>
      <m:oMath>
        <m:sSub>
          <m:e>
            <m:r>
              <m:t>R</m:t>
            </m:r>
          </m:e>
          <m:sub>
            <m:r>
              <m:t>ε</m:t>
            </m:r>
          </m:sub>
        </m:sSub>
        <m:r>
          <m:rPr>
            <m:sty m:val="p"/>
          </m:rPr>
          <m:t>=</m:t>
        </m:r>
        <m:r>
          <m:t>0.667</m:t>
        </m:r>
      </m:oMath>
      <w:r>
        <w:t xml:space="preserve"> </w:t>
      </w:r>
      <w:r>
        <w:t xml:space="preserve">against</w:t>
      </w:r>
      <w:r>
        <w:t xml:space="preserve"> </w:t>
      </w:r>
      <m:oMath>
        <m:sSub>
          <m:e>
            <m:r>
              <m:t>R</m:t>
            </m:r>
          </m:e>
          <m:sub>
            <m:r>
              <m:t>w</m:t>
            </m:r>
          </m:sub>
        </m:sSub>
        <m:r>
          <m:rPr>
            <m:sty m:val="p"/>
          </m:rPr>
          <m:t>=</m:t>
        </m:r>
        <m:r>
          <m:t>0.571</m:t>
        </m:r>
      </m:oMath>
      <w:r>
        <w:t xml:space="preserve"> </w:t>
      </w:r>
      <w:r>
        <w:t xml:space="preserve">at mid-span of two equal spans.</w:t>
      </w:r>
    </w:p>
    <w:p>
      <w:pPr>
        <w:pStyle w:val="BodyText"/>
      </w:pPr>
      <w:r>
        <w:t xml:space="preserve">Neither index carries the absolute signal level, on which the offset error depends. A residual offset</w:t>
      </w:r>
      <w:r>
        <w:t xml:space="preserve"> </w:t>
      </w:r>
      <m:oMath>
        <m:sSub>
          <m:e>
            <m:r>
              <m:t>ε</m:t>
            </m:r>
          </m:e>
          <m:sub>
            <m:r>
              <m:t>0</m:t>
            </m:r>
          </m:sub>
        </m:sSub>
      </m:oMath>
      <w:r>
        <w:t xml:space="preserve">, left after the record has been re-zeroed before and after the crossing, adds</w:t>
      </w:r>
      <w:r>
        <w:t xml:space="preserve"> </w:t>
      </w:r>
      <m:oMath>
        <m:sSub>
          <m:e>
            <m:r>
              <m:t>ε</m:t>
            </m:r>
          </m:e>
          <m:sub>
            <m:r>
              <m:t>0</m:t>
            </m:r>
          </m:sub>
        </m:sSub>
        <m:sSub>
          <m:e>
            <m:r>
              <m:t>L</m:t>
            </m:r>
          </m:e>
          <m:sub>
            <m:r>
              <m:rPr>
                <m:sty m:val="p"/>
              </m:rPr>
              <m:t>t</m:t>
            </m:r>
            <m:r>
              <m:rPr>
                <m:sty m:val="p"/>
              </m:rPr>
              <m:t>o</m:t>
            </m:r>
            <m:r>
              <m:rPr>
                <m:sty m:val="p"/>
              </m:rPr>
              <m:t>t</m:t>
            </m:r>
          </m:sub>
        </m:sSub>
      </m:oMath>
      <w:r>
        <w:t xml:space="preserve"> </w:t>
      </w:r>
      <w:r>
        <w:t xml:space="preserve">to the integral. With</w:t>
      </w:r>
      <w:r>
        <w:t xml:space="preserve"> </w:t>
      </w:r>
      <m:oMath>
        <m:r>
          <m:t>I</m:t>
        </m:r>
        <m:r>
          <m:rPr>
            <m:sty m:val="p"/>
          </m:rPr>
          <m:t>=</m:t>
        </m:r>
        <m:r>
          <m:t>C</m:t>
        </m:r>
        <m:r>
          <m:t>P</m:t>
        </m:r>
      </m:oMath>
      <w:r>
        <w:t xml:space="preserve"> </w:t>
      </w:r>
      <w:r>
        <w:t xml:space="preserve">the relative bias is</w:t>
      </w:r>
    </w:p>
    <w:tbl>
      <w:tblPr>
        <w:tblStyle w:val="Table"/>
        <w:tblW w:type="pct" w:w="5000"/>
        <w:tblLook w:firstRow="0" w:lastRow="0" w:firstColumn="0" w:lastColumn="0" w:noHBand="0" w:noVBand="0" w:val="0000"/>
        <w:jc w:val="start"/>
        <w:tblBorders>
          <w:top w:val="nil"/>
          <w:left w:val="nil"/>
          <w:bottom w:val="nil"/>
          <w:right w:val="nil"/>
          <w:insideH w:val="nil"/>
          <w:insideV w:val="nil"/>
        </w:tblBorders>
      </w:tblPr>
      <w:tblGrid>
        <w:gridCol w:w="7981"/>
        <w:gridCol w:w="1088"/>
      </w:tblGrid>
      <w:tr>
        <w:tc>
          <w:tcPr>
            <w:tcW w:type="dxa" w:w="7981"/>
            <w:vAlign w:val="center"/>
          </w:tcPr>
          <w:p>
            <w:pPr>
              <w:jc w:val="center"/>
            </w:pPr>
            <m:oMathPara>
              <m:oMathParaPr>
                <m:jc m:val="center"/>
              </m:oMathParaPr>
              <m:oMath>
                <m:r>
                  <m:rPr>
                    <m:sty m:val="p"/>
                  </m:rPr>
                  <m:t>(</m:t>
                </m:r>
                <m:f>
                  <m:fPr>
                    <m:type m:val="bar"/>
                  </m:fPr>
                  <m:num>
                    <m:r>
                      <m:t>δ</m:t>
                    </m:r>
                    <m:r>
                      <m:t>P</m:t>
                    </m:r>
                  </m:num>
                  <m:den>
                    <m:r>
                      <m:t>P</m:t>
                    </m:r>
                  </m:den>
                </m:f>
                <m:sSub>
                  <m:e>
                    <m:r>
                      <m:rPr>
                        <m:sty m:val="p"/>
                      </m:rPr>
                      <m:t>)</m:t>
                    </m:r>
                  </m:e>
                  <m:sub>
                    <m:sSub>
                      <m:e>
                        <m:r>
                          <m:t>ε</m:t>
                        </m:r>
                      </m:e>
                      <m:sub>
                        <m:r>
                          <m:t>0</m:t>
                        </m:r>
                      </m:sub>
                    </m:sSub>
                  </m:sub>
                </m:sSub>
                <m:r>
                  <m:rPr>
                    <m:sty m:val="p"/>
                  </m:rPr>
                  <m:t>=</m:t>
                </m:r>
                <m:f>
                  <m:fPr>
                    <m:type m:val="bar"/>
                  </m:fPr>
                  <m:num>
                    <m:sSub>
                      <m:e>
                        <m:r>
                          <m:t>P</m:t>
                        </m:r>
                      </m:e>
                      <m:sub>
                        <m:r>
                          <m:t>ε</m:t>
                        </m:r>
                      </m:sub>
                    </m:sSub>
                  </m:num>
                  <m:den>
                    <m:r>
                      <m:t>P</m:t>
                    </m:r>
                  </m:den>
                </m:f>
                <m:r>
                  <m:rPr>
                    <m:sty m:val="p"/>
                  </m:rPr>
                  <m:t>,</m:t>
                </m:r>
                <m:r>
                  <m:t>  </m:t>
                </m:r>
                <m:sSub>
                  <m:e>
                    <m:r>
                      <m:t>P</m:t>
                    </m:r>
                  </m:e>
                  <m:sub>
                    <m:r>
                      <m:t>ε</m:t>
                    </m:r>
                  </m:sub>
                </m:sSub>
                <m:r>
                  <m:rPr>
                    <m:sty m:val="p"/>
                  </m:rPr>
                  <m:t>=</m:t>
                </m:r>
                <m:f>
                  <m:fPr>
                    <m:type m:val="bar"/>
                  </m:fPr>
                  <m:num>
                    <m:sSub>
                      <m:e>
                        <m:r>
                          <m:t>ε</m:t>
                        </m:r>
                      </m:e>
                      <m:sub>
                        <m:r>
                          <m:t>0</m:t>
                        </m:r>
                      </m:sub>
                    </m:sSub>
                    <m:sSub>
                      <m:e>
                        <m:r>
                          <m:t>L</m:t>
                        </m:r>
                      </m:e>
                      <m:sub>
                        <m:r>
                          <m:rPr>
                            <m:sty m:val="p"/>
                          </m:rPr>
                          <m:t>t</m:t>
                        </m:r>
                        <m:r>
                          <m:rPr>
                            <m:sty m:val="p"/>
                          </m:rPr>
                          <m:t>o</m:t>
                        </m:r>
                        <m:r>
                          <m:rPr>
                            <m:sty m:val="p"/>
                          </m:rPr>
                          <m:t>t</m:t>
                        </m:r>
                      </m:sub>
                    </m:sSub>
                  </m:num>
                  <m:den>
                    <m:r>
                      <m:t>C</m:t>
                    </m:r>
                  </m:den>
                </m:f>
                <m:r>
                  <m:rPr>
                    <m:sty m:val="p"/>
                  </m:rPr>
                  <m:t>.</m:t>
                </m:r>
              </m:oMath>
            </m:oMathPara>
          </w:p>
        </w:tc>
        <w:tc>
          <w:tcPr>
            <w:tcW w:type="dxa" w:w="1088"/>
            <w:vAlign w:val="center"/>
          </w:tcPr>
          <w:p>
            <w:pPr>
              <w:jc w:val="right"/>
            </w:pPr>
            <w:r>
              <w:t xml:space="preserve">(12)</w:t>
            </w:r>
          </w:p>
        </w:tc>
      </w:tr>
    </w:tbl>
    <w:p>
      <w:pPr>
        <w:pStyle w:val="BodyText"/>
      </w:pPr>
      <w:r>
        <w:t xml:space="preserve">The offset-equivalent load</w:t>
      </w:r>
      <w:r>
        <w:t xml:space="preserve"> </w:t>
      </w:r>
      <m:oMath>
        <m:sSub>
          <m:e>
            <m:r>
              <m:t>P</m:t>
            </m:r>
          </m:e>
          <m:sub>
            <m:r>
              <m:t>ε</m:t>
            </m:r>
          </m:sub>
        </m:sSub>
      </m:oMath>
      <w:r>
        <w:t xml:space="preserve"> </w:t>
      </w:r>
      <w:r>
        <w:t xml:space="preserve">is the load at which the offset causes a 100 % bias. It combines sensor position, baseline stability and the lightest vehicle to be screened into one number.</w:t>
      </w:r>
    </w:p>
    <w:bookmarkEnd w:id="25"/>
    <w:bookmarkStart w:id="26" w:name="Xae0c7ac4f143e5cdd74cc54b5504470e0d44f29"/>
    <w:p>
      <w:pPr>
        <w:pStyle w:val="Heading3"/>
      </w:pPr>
      <w:r>
        <w:t xml:space="preserve">2.4. Multi-channel estimation, offset immunity and placement</w:t>
      </w:r>
    </w:p>
    <w:p>
      <w:pPr>
        <w:pStyle w:val="FirstParagraph"/>
      </w:pPr>
      <w:r>
        <w:t xml:space="preserve">Let channel</w:t>
      </w:r>
      <w:r>
        <w:t xml:space="preserve"> </w:t>
      </w:r>
      <m:oMath>
        <m:r>
          <m:t>j</m:t>
        </m:r>
      </m:oMath>
      <w:r>
        <w:t xml:space="preserve">, a deflection or strain, give the integral</w:t>
      </w:r>
      <w:r>
        <w:t xml:space="preserve"> </w:t>
      </w:r>
      <m:oMath>
        <m:sSub>
          <m:e>
            <m:r>
              <m:t>I</m:t>
            </m:r>
          </m:e>
          <m:sub>
            <m:r>
              <m:t>j</m:t>
            </m:r>
          </m:sub>
        </m:sSub>
        <m:r>
          <m:rPr>
            <m:sty m:val="p"/>
          </m:rPr>
          <m:t>=</m:t>
        </m:r>
        <m:sSub>
          <m:e>
            <m:r>
              <m:t>C</m:t>
            </m:r>
          </m:e>
          <m:sub>
            <m:r>
              <m:t>j</m:t>
            </m:r>
          </m:sub>
        </m:sSub>
        <m:r>
          <m:t>P</m:t>
        </m:r>
        <m:r>
          <m:rPr>
            <m:sty m:val="p"/>
          </m:rPr>
          <m:t>+</m:t>
        </m:r>
        <m:sSub>
          <m:e>
            <m:r>
              <m:t>ε</m:t>
            </m:r>
          </m:e>
          <m:sub>
            <m:r>
              <m:t>0</m:t>
            </m:r>
            <m:r>
              <m:rPr>
                <m:sty m:val="p"/>
              </m:rPr>
              <m:t>,</m:t>
            </m:r>
            <m:r>
              <m:t>j</m:t>
            </m:r>
          </m:sub>
        </m:sSub>
        <m:sSub>
          <m:e>
            <m:r>
              <m:t>L</m:t>
            </m:r>
          </m:e>
          <m:sub>
            <m:r>
              <m:rPr>
                <m:sty m:val="p"/>
              </m:rPr>
              <m:t>t</m:t>
            </m:r>
            <m:r>
              <m:rPr>
                <m:sty m:val="p"/>
              </m:rPr>
              <m:t>o</m:t>
            </m:r>
            <m:r>
              <m:rPr>
                <m:sty m:val="p"/>
              </m:rPr>
              <m:t>t</m:t>
            </m:r>
          </m:sub>
        </m:sSub>
        <m:r>
          <m:rPr>
            <m:sty m:val="p"/>
          </m:rPr>
          <m:t>+</m:t>
        </m:r>
        <m:sSub>
          <m:e>
            <m:r>
              <m:t>n</m:t>
            </m:r>
          </m:e>
          <m:sub>
            <m:r>
              <m:t>j</m:t>
            </m:r>
          </m:sub>
        </m:sSub>
      </m:oMath>
      <w:r>
        <w:t xml:space="preserve">, with white noise</w:t>
      </w:r>
      <w:r>
        <w:t xml:space="preserve"> </w:t>
      </w:r>
      <m:oMath>
        <m:sSub>
          <m:e>
            <m:r>
              <m:t>n</m:t>
            </m:r>
          </m:e>
          <m:sub>
            <m:r>
              <m:t>j</m:t>
            </m:r>
          </m:sub>
        </m:sSub>
      </m:oMath>
      <w:r>
        <w:t xml:space="preserve"> </w:t>
      </w:r>
      <w:r>
        <w:t xml:space="preserve">and offsets that may be correlated between channels, and let</w:t>
      </w:r>
      <w:r>
        <w:t xml:space="preserve"> </w:t>
      </w:r>
      <m:oMath>
        <m:r>
          <m:t>Σ</m:t>
        </m:r>
      </m:oMath>
      <w:r>
        <w:t xml:space="preserve"> </w:t>
      </w:r>
      <w:r>
        <w:t xml:space="preserve">be the covariance of the vector</w:t>
      </w:r>
      <w:r>
        <w:t xml:space="preserve"> </w:t>
      </w:r>
      <m:oMath>
        <m:r>
          <m:t>I</m:t>
        </m:r>
      </m:oMath>
      <w:r>
        <w:t xml:space="preserve">. A linear estimator</w:t>
      </w:r>
      <w:r>
        <w:t xml:space="preserve"> </w:t>
      </w:r>
      <m:oMath>
        <m:acc>
          <m:accPr>
            <m:chr m:val="̂"/>
          </m:accPr>
          <m:e>
            <m:r>
              <m:t>P</m:t>
            </m:r>
          </m:e>
        </m:acc>
        <m:r>
          <m:rPr>
            <m:sty m:val="p"/>
          </m:rPr>
          <m:t>=</m:t>
        </m:r>
        <m:sSup>
          <m:e>
            <m:r>
              <m:t>w</m:t>
            </m:r>
          </m:e>
          <m:sup>
            <m:r>
              <m:rPr>
                <m:sty m:val="p"/>
              </m:rPr>
              <m:t>⊤</m:t>
            </m:r>
          </m:sup>
        </m:sSup>
        <m:r>
          <m:t>I</m:t>
        </m:r>
      </m:oMath>
      <w:r>
        <w:t xml:space="preserve"> </w:t>
      </w:r>
      <w:r>
        <w:t xml:space="preserve">is unbiased for every axle configuration if and only if</w:t>
      </w:r>
      <w:r>
        <w:t xml:space="preserve"> </w:t>
      </w:r>
      <m:oMath>
        <m:sSup>
          <m:e>
            <m:r>
              <m:t>w</m:t>
            </m:r>
          </m:e>
          <m:sup>
            <m:r>
              <m:rPr>
                <m:sty m:val="p"/>
              </m:rPr>
              <m:t>⊤</m:t>
            </m:r>
          </m:sup>
        </m:sSup>
        <m:r>
          <m:t>C</m:t>
        </m:r>
        <m:r>
          <m:rPr>
            <m:sty m:val="p"/>
          </m:rPr>
          <m:t>=</m:t>
        </m:r>
        <m:r>
          <m:t>1</m:t>
        </m:r>
      </m:oMath>
      <w:r>
        <w:t xml:space="preserve">. Minimising its variance under this constraint gives the generalised least-squares weights</w:t>
      </w:r>
    </w:p>
    <w:tbl>
      <w:tblPr>
        <w:tblStyle w:val="Table"/>
        <w:tblW w:type="pct" w:w="5000"/>
        <w:tblLook w:firstRow="0" w:lastRow="0" w:firstColumn="0" w:lastColumn="0" w:noHBand="0" w:noVBand="0" w:val="0000"/>
        <w:jc w:val="start"/>
        <w:tblBorders>
          <w:top w:val="nil"/>
          <w:left w:val="nil"/>
          <w:bottom w:val="nil"/>
          <w:right w:val="nil"/>
          <w:insideH w:val="nil"/>
          <w:insideV w:val="nil"/>
        </w:tblBorders>
      </w:tblPr>
      <w:tblGrid>
        <w:gridCol w:w="7981"/>
        <w:gridCol w:w="1088"/>
      </w:tblGrid>
      <w:tr>
        <w:tc>
          <w:tcPr>
            <w:tcW w:type="dxa" w:w="7981"/>
            <w:vAlign w:val="center"/>
          </w:tcPr>
          <w:p>
            <w:pPr>
              <w:jc w:val="center"/>
            </w:pPr>
            <m:oMathPara>
              <m:oMathParaPr>
                <m:jc m:val="center"/>
              </m:oMathParaPr>
              <m:oMath>
                <m:sSup>
                  <m:e>
                    <m:r>
                      <m:t>w</m:t>
                    </m:r>
                  </m:e>
                  <m:sup>
                    <m:r>
                      <m:rPr>
                        <m:sty m:val="p"/>
                      </m:rPr>
                      <m:t>⋆</m:t>
                    </m:r>
                  </m:sup>
                </m:sSup>
                <m:r>
                  <m:rPr>
                    <m:sty m:val="p"/>
                  </m:rPr>
                  <m:t>=</m:t>
                </m:r>
                <m:f>
                  <m:fPr>
                    <m:type m:val="bar"/>
                  </m:fPr>
                  <m:num>
                    <m:sSup>
                      <m:e>
                        <m:r>
                          <m:t>Σ</m:t>
                        </m:r>
                      </m:e>
                      <m:sup>
                        <m:r>
                          <m:rPr>
                            <m:sty m:val="p"/>
                          </m:rPr>
                          <m:t>−</m:t>
                        </m:r>
                        <m:r>
                          <m:t>1</m:t>
                        </m:r>
                      </m:sup>
                    </m:sSup>
                    <m:r>
                      <m:t>C</m:t>
                    </m:r>
                  </m:num>
                  <m:den>
                    <m:sSup>
                      <m:e>
                        <m:r>
                          <m:t>C</m:t>
                        </m:r>
                      </m:e>
                      <m:sup>
                        <m:r>
                          <m:rPr>
                            <m:sty m:val="p"/>
                          </m:rPr>
                          <m:t>⊤</m:t>
                        </m:r>
                      </m:sup>
                    </m:sSup>
                    <m:sSup>
                      <m:e>
                        <m:r>
                          <m:t>Σ</m:t>
                        </m:r>
                      </m:e>
                      <m:sup>
                        <m:r>
                          <m:rPr>
                            <m:sty m:val="p"/>
                          </m:rPr>
                          <m:t>−</m:t>
                        </m:r>
                        <m:r>
                          <m:t>1</m:t>
                        </m:r>
                      </m:sup>
                    </m:sSup>
                    <m:r>
                      <m:t>C</m:t>
                    </m:r>
                  </m:den>
                </m:f>
                <m:r>
                  <m:rPr>
                    <m:sty m:val="p"/>
                  </m:rPr>
                  <m:t>,</m:t>
                </m:r>
                <m:r>
                  <m:t>  </m:t>
                </m:r>
                <m:r>
                  <m:rPr>
                    <m:sty m:val="p"/>
                  </m:rPr>
                  <m:t>V</m:t>
                </m:r>
                <m:r>
                  <m:rPr>
                    <m:sty m:val="p"/>
                  </m:rPr>
                  <m:t>a</m:t>
                </m:r>
                <m:r>
                  <m:rPr>
                    <m:sty m:val="p"/>
                  </m:rPr>
                  <m:t>r</m:t>
                </m:r>
                <m:r>
                  <m:t> </m:t>
                </m:r>
                <m:sSup>
                  <m:e>
                    <m:acc>
                      <m:accPr>
                        <m:chr m:val="̂"/>
                      </m:accPr>
                      <m:e>
                        <m:r>
                          <m:t>P</m:t>
                        </m:r>
                      </m:e>
                    </m:acc>
                  </m:e>
                  <m:sup>
                    <m:r>
                      <m:rPr>
                        <m:sty m:val="p"/>
                      </m:rPr>
                      <m:t>⋆</m:t>
                    </m:r>
                  </m:sup>
                </m:sSup>
                <m:r>
                  <m:rPr>
                    <m:sty m:val="p"/>
                  </m:rPr>
                  <m:t>=</m:t>
                </m:r>
                <m:r>
                  <m:rPr>
                    <m:sty m:val="p"/>
                  </m:rPr>
                  <m:t>(</m:t>
                </m:r>
                <m:sSup>
                  <m:e>
                    <m:r>
                      <m:t>C</m:t>
                    </m:r>
                  </m:e>
                  <m:sup>
                    <m:r>
                      <m:rPr>
                        <m:sty m:val="p"/>
                      </m:rPr>
                      <m:t>⊤</m:t>
                    </m:r>
                  </m:sup>
                </m:sSup>
                <m:sSup>
                  <m:e>
                    <m:r>
                      <m:t>Σ</m:t>
                    </m:r>
                  </m:e>
                  <m:sup>
                    <m:r>
                      <m:rPr>
                        <m:sty m:val="p"/>
                      </m:rPr>
                      <m:t>−</m:t>
                    </m:r>
                    <m:r>
                      <m:t>1</m:t>
                    </m:r>
                  </m:sup>
                </m:sSup>
                <m:r>
                  <m:t>C</m:t>
                </m:r>
                <m:sSup>
                  <m:e>
                    <m:r>
                      <m:rPr>
                        <m:sty m:val="p"/>
                      </m:rPr>
                      <m:t>)</m:t>
                    </m:r>
                  </m:e>
                  <m:sup>
                    <m:r>
                      <m:rPr>
                        <m:sty m:val="p"/>
                      </m:rPr>
                      <m:t>−</m:t>
                    </m:r>
                    <m:r>
                      <m:t>1</m:t>
                    </m:r>
                  </m:sup>
                </m:sSup>
                <m:r>
                  <m:rPr>
                    <m:sty m:val="p"/>
                  </m:rPr>
                  <m:t>,</m:t>
                </m:r>
              </m:oMath>
            </m:oMathPara>
          </w:p>
        </w:tc>
        <w:tc>
          <w:tcPr>
            <w:tcW w:type="dxa" w:w="1088"/>
            <w:vAlign w:val="center"/>
          </w:tcPr>
          <w:p>
            <w:pPr>
              <w:jc w:val="right"/>
            </w:pPr>
            <w:r>
              <w:t xml:space="preserve">(13)</w:t>
            </w:r>
          </w:p>
        </w:tc>
      </w:tr>
    </w:tbl>
    <w:p>
      <w:pPr>
        <w:pStyle w:val="BodyText"/>
      </w:pPr>
      <w:r>
        <w:t xml:space="preserve">the Gauss–Markov best linear unbiased estimator of</w:t>
      </w:r>
      <w:r>
        <w:t xml:space="preserve"> </w:t>
      </w:r>
      <m:oMath>
        <m:r>
          <m:t>P</m:t>
        </m:r>
      </m:oMath>
      <w:r>
        <w:t xml:space="preserve">. For one channel, Eq. (13) returns</w:t>
      </w:r>
      <w:r>
        <w:t xml:space="preserve"> </w:t>
      </w:r>
      <m:oMath>
        <m:acc>
          <m:accPr>
            <m:chr m:val="̂"/>
          </m:accPr>
          <m:e>
            <m:r>
              <m:t>P</m:t>
            </m:r>
          </m:e>
        </m:acc>
        <m:r>
          <m:rPr>
            <m:sty m:val="p"/>
          </m:rPr>
          <m:t>=</m:t>
        </m:r>
        <m:r>
          <m:t>I</m:t>
        </m:r>
        <m:r>
          <m:rPr>
            <m:sty m:val="p"/>
          </m:rPr>
          <m:t>/</m:t>
        </m:r>
        <m:r>
          <m:t>C</m:t>
        </m:r>
      </m:oMath>
      <w:r>
        <w:t xml:space="preserve"> </w:t>
      </w:r>
      <w:r>
        <w:t xml:space="preserve">with variance</w:t>
      </w:r>
      <w:r>
        <w:t xml:space="preserve"> </w:t>
      </w:r>
      <m:oMath>
        <m:sSubSup>
          <m:e>
            <m:r>
              <m:t>σ</m:t>
            </m:r>
          </m:e>
          <m:sub>
            <m:r>
              <m:t>P</m:t>
            </m:r>
            <m:r>
              <m:rPr>
                <m:sty m:val="p"/>
              </m:rPr>
              <m:t>,</m:t>
            </m:r>
            <m:r>
              <m:rPr>
                <m:sty m:val="p"/>
              </m:rPr>
              <m:t>n</m:t>
            </m:r>
            <m:r>
              <m:rPr>
                <m:sty m:val="p"/>
              </m:rPr>
              <m:t>o</m:t>
            </m:r>
            <m:r>
              <m:rPr>
                <m:sty m:val="p"/>
              </m:rPr>
              <m:t>i</m:t>
            </m:r>
            <m:r>
              <m:rPr>
                <m:sty m:val="p"/>
              </m:rPr>
              <m:t>s</m:t>
            </m:r>
            <m:r>
              <m:rPr>
                <m:sty m:val="p"/>
              </m:rPr>
              <m:t>e</m:t>
            </m:r>
          </m:sub>
          <m:sup>
            <m:r>
              <m:t>2</m:t>
            </m:r>
          </m:sup>
        </m:sSubSup>
        <m:r>
          <m:rPr>
            <m:sty m:val="p"/>
          </m:rPr>
          <m:t>+</m:t>
        </m:r>
        <m:sSubSup>
          <m:e>
            <m:r>
              <m:t>P</m:t>
            </m:r>
          </m:e>
          <m:sub>
            <m:r>
              <m:t>ε</m:t>
            </m:r>
          </m:sub>
          <m:sup>
            <m:r>
              <m:t>2</m:t>
            </m:r>
          </m:sup>
        </m:sSubSup>
      </m:oMath>
      <w:r>
        <w:t xml:space="preserve">, so</w:t>
      </w:r>
      <w:r>
        <w:t xml:space="preserve"> </w:t>
      </w:r>
      <m:oMath>
        <m:sSup>
          <m:e>
            <m:r>
              <m:t>C</m:t>
            </m:r>
          </m:e>
          <m:sup>
            <m:r>
              <m:rPr>
                <m:sty m:val="p"/>
              </m:rPr>
              <m:t>⊤</m:t>
            </m:r>
          </m:sup>
        </m:sSup>
        <m:sSup>
          <m:e>
            <m:r>
              <m:t>Σ</m:t>
            </m:r>
          </m:e>
          <m:sup>
            <m:r>
              <m:rPr>
                <m:sty m:val="p"/>
              </m:rPr>
              <m:t>−</m:t>
            </m:r>
            <m:r>
              <m:t>1</m:t>
            </m:r>
          </m:sup>
        </m:sSup>
        <m:r>
          <m:t>C</m:t>
        </m:r>
      </m:oMath>
      <w:r>
        <w:t xml:space="preserve"> </w:t>
      </w:r>
      <w:r>
        <w:t xml:space="preserve">generalises</w:t>
      </w:r>
      <w:r>
        <w:t xml:space="preserve"> </w:t>
      </w:r>
      <m:oMath>
        <m:d>
          <m:dPr>
            <m:begChr m:val="|"/>
            <m:endChr m:val="|"/>
            <m:sepChr m:val=""/>
            <m:grow/>
          </m:dPr>
          <m:e>
            <m:r>
              <m:t>C</m:t>
            </m:r>
          </m:e>
        </m:d>
      </m:oMath>
      <w:r>
        <w:t xml:space="preserve"> </w:t>
      </w:r>
      <w:r>
        <w:t xml:space="preserve">to several channels.</w:t>
      </w:r>
    </w:p>
    <w:p>
      <w:pPr>
        <w:pStyle w:val="BodyText"/>
      </w:pPr>
      <w:r>
        <w:t xml:space="preserve">Within one channel, uniform weighting is optimal only in a restricted sense. A non-uniform weight</w:t>
      </w:r>
      <w:r>
        <w:t xml:space="preserve"> </w:t>
      </w:r>
      <m:oMath>
        <m:r>
          <m:t>g</m:t>
        </m:r>
        <m:d>
          <m:dPr>
            <m:begChr m:val="("/>
            <m:endChr m:val=")"/>
            <m:sepChr m:val=""/>
            <m:grow/>
          </m:dPr>
          <m:e>
            <m:r>
              <m:t>x</m:t>
            </m:r>
          </m:e>
        </m:d>
      </m:oMath>
      <w:r>
        <w:t xml:space="preserve"> </w:t>
      </w:r>
      <w:r>
        <w:t xml:space="preserve">gives a mean</w:t>
      </w:r>
      <w:r>
        <w:t xml:space="preserve"> </w:t>
      </w:r>
      <m:oMath>
        <m:nary>
          <m:naryPr>
            <m:chr m:val="∑"/>
            <m:limLoc m:val="undOvr"/>
            <m:subHide m:val="off"/>
            <m:supHide m:val="on"/>
          </m:naryPr>
          <m:sub>
            <m:r>
              <m:t>a</m:t>
            </m:r>
          </m:sub>
          <m:sup>
            <m:r>
              <m:t>​</m:t>
            </m:r>
          </m:sup>
          <m:e>
            <m:sSub>
              <m:e>
                <m:r>
                  <m:t>P</m:t>
                </m:r>
              </m:e>
              <m:sub>
                <m:r>
                  <m:t>a</m:t>
                </m:r>
              </m:sub>
            </m:sSub>
          </m:e>
        </m:nary>
        <m:r>
          <m:rPr>
            <m:sty m:val="p"/>
          </m:rPr>
          <m:t>∫</m:t>
        </m:r>
        <m:r>
          <m:t>g</m:t>
        </m:r>
        <m:d>
          <m:dPr>
            <m:begChr m:val="("/>
            <m:endChr m:val=")"/>
            <m:sepChr m:val=""/>
            <m:grow/>
          </m:dPr>
          <m:e>
            <m:r>
              <m:t>x</m:t>
            </m:r>
          </m:e>
        </m:d>
        <m:r>
          <m:t>η</m:t>
        </m:r>
        <m:d>
          <m:dPr>
            <m:begChr m:val="("/>
            <m:endChr m:val=")"/>
            <m:sepChr m:val=""/>
            <m:grow/>
          </m:dPr>
          <m:e>
            <m:r>
              <m:t>x</m:t>
            </m:r>
            <m:r>
              <m:rPr>
                <m:sty m:val="p"/>
              </m:rPr>
              <m:t>−</m:t>
            </m:r>
            <m:sSub>
              <m:e>
                <m:r>
                  <m:t>s</m:t>
                </m:r>
              </m:e>
              <m:sub>
                <m:r>
                  <m:t>a</m:t>
                </m:r>
              </m:sub>
            </m:sSub>
          </m:e>
        </m:d>
        <m:r>
          <m:t> </m:t>
        </m:r>
        <m:r>
          <m:rPr>
            <m:sty m:val="p"/>
          </m:rPr>
          <m:t>d</m:t>
        </m:r>
        <m:r>
          <m:t>x</m:t>
        </m:r>
      </m:oMath>
      <w:r>
        <w:t xml:space="preserve">, which is independent of the axle positions for every influence line only if</w:t>
      </w:r>
      <w:r>
        <w:t xml:space="preserve"> </w:t>
      </w:r>
      <m:oMath>
        <m:r>
          <m:t>g</m:t>
        </m:r>
      </m:oMath>
      <w:r>
        <w:t xml:space="preserve"> </w:t>
      </w:r>
      <w:r>
        <w:t xml:space="preserve">is constant (Appendix B). The uniform weight is therefore the only weight that is translation-invariant for every structure, which is the property the standard-load method needs. When the influence line is known, other invariant weights exist. For two equal spans their white-noise variance is 1.5–6.6 times smaller, depending on the range of axle entry shifts, but a 20 % stiffness error in the adjacent span then produces configuration-dependent errors of −1.1 % to +2.0 %. Two consequences for signal processing follow. A record integrated uniformly in time weights space by</w:t>
      </w:r>
      <w:r>
        <w:t xml:space="preserve"> </w:t>
      </w:r>
      <m:oMath>
        <m:r>
          <m:t>1</m:t>
        </m:r>
        <m:r>
          <m:rPr>
            <m:sty m:val="p"/>
          </m:rPr>
          <m:t>/</m:t>
        </m:r>
        <m:r>
          <m:t>v</m:t>
        </m:r>
        <m:d>
          <m:dPr>
            <m:begChr m:val="("/>
            <m:endChr m:val=")"/>
            <m:sepChr m:val=""/>
            <m:grow/>
          </m:dPr>
          <m:e>
            <m:r>
              <m:t>x</m:t>
            </m:r>
          </m:e>
        </m:d>
      </m:oMath>
      <w:r>
        <w:t xml:space="preserve">, so the integral must be taken in space. A linear time-invariant prefilter with unit static gain leaves the integral unchanged, whereas tapering windows do not.</w:t>
      </w:r>
    </w:p>
    <w:p>
      <w:pPr>
        <w:pStyle w:val="BodyText"/>
      </w:pPr>
      <w:r>
        <w:t xml:space="preserve">Across channels, a common-mode offset can be removed exactly. Adding</w:t>
      </w:r>
      <w:r>
        <w:t xml:space="preserve"> </w:t>
      </w:r>
      <m:oMath>
        <m:nary>
          <m:naryPr>
            <m:chr m:val="∑"/>
            <m:limLoc m:val="undOvr"/>
            <m:subHide m:val="off"/>
            <m:supHide m:val="on"/>
          </m:naryPr>
          <m:sub>
            <m:r>
              <m:t>j</m:t>
            </m:r>
          </m:sub>
          <m:sup>
            <m:r>
              <m:t>​</m:t>
            </m:r>
          </m:sup>
          <m:e>
            <m:sSub>
              <m:e>
                <m:r>
                  <m:t>w</m:t>
                </m:r>
              </m:e>
              <m:sub>
                <m:r>
                  <m:t>j</m:t>
                </m:r>
              </m:sub>
            </m:sSub>
          </m:e>
        </m:nary>
        <m:r>
          <m:rPr>
            <m:sty m:val="p"/>
          </m:rPr>
          <m:t>=</m:t>
        </m:r>
        <m:r>
          <m:t>0</m:t>
        </m:r>
      </m:oMath>
      <w:r>
        <w:t xml:space="preserve"> </w:t>
      </w:r>
      <w:r>
        <w:t xml:space="preserve">for each channel type to</w:t>
      </w:r>
      <w:r>
        <w:t xml:space="preserve"> </w:t>
      </w:r>
      <m:oMath>
        <m:sSup>
          <m:e>
            <m:r>
              <m:t>w</m:t>
            </m:r>
          </m:e>
          <m:sup>
            <m:r>
              <m:rPr>
                <m:sty m:val="p"/>
              </m:rPr>
              <m:t>⊤</m:t>
            </m:r>
          </m:sup>
        </m:sSup>
        <m:r>
          <m:t>C</m:t>
        </m:r>
        <m:r>
          <m:rPr>
            <m:sty m:val="p"/>
          </m:rPr>
          <m:t>=</m:t>
        </m:r>
        <m:r>
          <m:t>1</m:t>
        </m:r>
      </m:oMath>
      <w:r>
        <w:t xml:space="preserve"> </w:t>
      </w:r>
      <w:r>
        <w:t xml:space="preserve">makes</w:t>
      </w:r>
      <w:r>
        <w:t xml:space="preserve"> </w:t>
      </w:r>
      <m:oMath>
        <m:acc>
          <m:accPr>
            <m:chr m:val="̂"/>
          </m:accPr>
          <m:e>
            <m:r>
              <m:t>P</m:t>
            </m:r>
          </m:e>
        </m:acc>
      </m:oMath>
      <w:r>
        <w:t xml:space="preserve"> </w:t>
      </w:r>
      <w:r>
        <w:t xml:space="preserve">insensitive to any disturbance shared by the channels: a constant offset, a drift, or motion of the reference frame. With equal noise and offset statistics, the variance becomes</w:t>
      </w:r>
    </w:p>
    <w:tbl>
      <w:tblPr>
        <w:tblStyle w:val="Table"/>
        <w:tblW w:type="pct" w:w="5000"/>
        <w:tblLook w:firstRow="0" w:lastRow="0" w:firstColumn="0" w:lastColumn="0" w:noHBand="0" w:noVBand="0" w:val="0000"/>
        <w:jc w:val="start"/>
        <w:tblBorders>
          <w:top w:val="nil"/>
          <w:left w:val="nil"/>
          <w:bottom w:val="nil"/>
          <w:right w:val="nil"/>
          <w:insideH w:val="nil"/>
          <w:insideV w:val="nil"/>
        </w:tblBorders>
      </w:tblPr>
      <w:tblGrid>
        <w:gridCol w:w="7981"/>
        <w:gridCol w:w="1088"/>
      </w:tblGrid>
      <w:tr>
        <w:tc>
          <w:tcPr>
            <w:tcW w:type="dxa" w:w="7981"/>
            <w:vAlign w:val="center"/>
          </w:tcPr>
          <w:p>
            <w:pPr>
              <w:jc w:val="center"/>
            </w:pPr>
            <m:oMathPara>
              <m:oMathParaPr>
                <m:jc m:val="center"/>
              </m:oMathParaPr>
              <m:oMath>
                <m:r>
                  <m:rPr>
                    <m:sty m:val="p"/>
                  </m:rPr>
                  <m:t>V</m:t>
                </m:r>
                <m:r>
                  <m:rPr>
                    <m:sty m:val="p"/>
                  </m:rPr>
                  <m:t>a</m:t>
                </m:r>
                <m:r>
                  <m:rPr>
                    <m:sty m:val="p"/>
                  </m:rPr>
                  <m:t>r</m:t>
                </m:r>
                <m:r>
                  <m:t> </m:t>
                </m:r>
                <m:sSub>
                  <m:e>
                    <m:acc>
                      <m:accPr>
                        <m:chr m:val="̂"/>
                      </m:accPr>
                      <m:e>
                        <m:r>
                          <m:t>P</m:t>
                        </m:r>
                      </m:e>
                    </m:acc>
                  </m:e>
                  <m:sub>
                    <m:r>
                      <m:rPr>
                        <m:sty m:val="p"/>
                      </m:rPr>
                      <m:t>i</m:t>
                    </m:r>
                    <m:r>
                      <m:rPr>
                        <m:sty m:val="p"/>
                      </m:rPr>
                      <m:t>m</m:t>
                    </m:r>
                    <m:r>
                      <m:rPr>
                        <m:sty m:val="p"/>
                      </m:rPr>
                      <m:t>m</m:t>
                    </m:r>
                  </m:sub>
                </m:sSub>
                <m:r>
                  <m:rPr>
                    <m:sty m:val="p"/>
                  </m:rPr>
                  <m:t>=</m:t>
                </m:r>
                <m:f>
                  <m:fPr>
                    <m:type m:val="bar"/>
                  </m:fPr>
                  <m:num>
                    <m:sSup>
                      <m:e>
                        <m:r>
                          <m:t>σ</m:t>
                        </m:r>
                      </m:e>
                      <m:sup>
                        <m:r>
                          <m:t>2</m:t>
                        </m:r>
                      </m:sup>
                    </m:sSup>
                    <m:r>
                      <m:t>Δ</m:t>
                    </m:r>
                    <m:r>
                      <m:t>x</m:t>
                    </m:r>
                    <m:r>
                      <m:t> </m:t>
                    </m:r>
                    <m:sSub>
                      <m:e>
                        <m:r>
                          <m:t>L</m:t>
                        </m:r>
                      </m:e>
                      <m:sub>
                        <m:r>
                          <m:rPr>
                            <m:sty m:val="p"/>
                          </m:rPr>
                          <m:t>t</m:t>
                        </m:r>
                        <m:r>
                          <m:rPr>
                            <m:sty m:val="p"/>
                          </m:rPr>
                          <m:t>o</m:t>
                        </m:r>
                        <m:r>
                          <m:rPr>
                            <m:sty m:val="p"/>
                          </m:rPr>
                          <m:t>t</m:t>
                        </m:r>
                      </m:sub>
                    </m:sSub>
                    <m:r>
                      <m:rPr>
                        <m:sty m:val="p"/>
                      </m:rPr>
                      <m:t>+</m:t>
                    </m:r>
                    <m:d>
                      <m:dPr>
                        <m:begChr m:val="("/>
                        <m:endChr m:val=")"/>
                        <m:sepChr m:val=""/>
                        <m:grow/>
                      </m:dPr>
                      <m:e>
                        <m:r>
                          <m:t>1</m:t>
                        </m:r>
                        <m:r>
                          <m:rPr>
                            <m:sty m:val="p"/>
                          </m:rPr>
                          <m:t>−</m:t>
                        </m:r>
                        <m:r>
                          <m:t>ρ</m:t>
                        </m:r>
                      </m:e>
                    </m:d>
                    <m:sSubSup>
                      <m:e>
                        <m:r>
                          <m:t>ε</m:t>
                        </m:r>
                      </m:e>
                      <m:sub>
                        <m:r>
                          <m:t>0</m:t>
                        </m:r>
                      </m:sub>
                      <m:sup>
                        <m:r>
                          <m:t>2</m:t>
                        </m:r>
                      </m:sup>
                    </m:sSubSup>
                    <m:sSubSup>
                      <m:e>
                        <m:r>
                          <m:t>L</m:t>
                        </m:r>
                      </m:e>
                      <m:sub>
                        <m:r>
                          <m:rPr>
                            <m:sty m:val="p"/>
                          </m:rPr>
                          <m:t>t</m:t>
                        </m:r>
                        <m:r>
                          <m:rPr>
                            <m:sty m:val="p"/>
                          </m:rPr>
                          <m:t>o</m:t>
                        </m:r>
                        <m:r>
                          <m:rPr>
                            <m:sty m:val="p"/>
                          </m:rPr>
                          <m:t>t</m:t>
                        </m:r>
                      </m:sub>
                      <m:sup>
                        <m:r>
                          <m:t>2</m:t>
                        </m:r>
                      </m:sup>
                    </m:sSubSup>
                  </m:num>
                  <m:den>
                    <m:nary>
                      <m:naryPr>
                        <m:chr m:val="∑"/>
                        <m:limLoc m:val="undOvr"/>
                        <m:subHide m:val="off"/>
                        <m:supHide m:val="on"/>
                      </m:naryPr>
                      <m:sub>
                        <m:r>
                          <m:t>j</m:t>
                        </m:r>
                      </m:sub>
                      <m:sup>
                        <m:r>
                          <m:t>​</m:t>
                        </m:r>
                      </m:sup>
                      <m:e>
                        <m:sSup>
                          <m:e>
                            <m:d>
                              <m:dPr>
                                <m:begChr m:val="("/>
                                <m:endChr m:val=")"/>
                                <m:sepChr m:val=""/>
                                <m:grow/>
                              </m:dPr>
                              <m:e>
                                <m:sSub>
                                  <m:e>
                                    <m:r>
                                      <m:t>C</m:t>
                                    </m:r>
                                  </m:e>
                                  <m:sub>
                                    <m:r>
                                      <m:t>j</m:t>
                                    </m:r>
                                  </m:sub>
                                </m:sSub>
                                <m:r>
                                  <m:rPr>
                                    <m:sty m:val="p"/>
                                  </m:rPr>
                                  <m:t>−</m:t>
                                </m:r>
                                <m:acc>
                                  <m:accPr>
                                    <m:chr m:val="‾"/>
                                  </m:accPr>
                                  <m:e>
                                    <m:r>
                                      <m:t>C</m:t>
                                    </m:r>
                                  </m:e>
                                </m:acc>
                              </m:e>
                            </m:d>
                          </m:e>
                          <m:sup>
                            <m:r>
                              <m:t>2</m:t>
                            </m:r>
                          </m:sup>
                        </m:sSup>
                      </m:e>
                    </m:nary>
                  </m:den>
                </m:f>
                <m:r>
                  <m:rPr>
                    <m:sty m:val="p"/>
                  </m:rPr>
                  <m:t>,</m:t>
                </m:r>
              </m:oMath>
            </m:oMathPara>
          </w:p>
        </w:tc>
        <w:tc>
          <w:tcPr>
            <w:tcW w:type="dxa" w:w="1088"/>
            <w:vAlign w:val="center"/>
          </w:tcPr>
          <w:p>
            <w:pPr>
              <w:jc w:val="right"/>
            </w:pPr>
            <w:r>
              <w:t xml:space="preserve">(14)</w:t>
            </w:r>
          </w:p>
        </w:tc>
      </w:tr>
    </w:tbl>
    <w:p>
      <w:pPr>
        <w:pStyle w:val="BodyText"/>
      </w:pPr>
      <w:r>
        <w:t xml:space="preserve">where</w:t>
      </w:r>
      <w:r>
        <w:t xml:space="preserve"> </w:t>
      </w:r>
      <m:oMath>
        <m:r>
          <m:t>ρ</m:t>
        </m:r>
      </m:oMath>
      <w:r>
        <w:t xml:space="preserve"> </w:t>
      </w:r>
      <w:r>
        <w:t xml:space="preserve">is the common-mode fraction of the offset and</w:t>
      </w:r>
      <w:r>
        <w:t xml:space="preserve"> </w:t>
      </w:r>
      <m:oMath>
        <m:r>
          <m:t>Δ</m:t>
        </m:r>
        <m:r>
          <m:t>x</m:t>
        </m:r>
      </m:oMath>
      <w:r>
        <w:t xml:space="preserve"> </w:t>
      </w:r>
      <w:r>
        <w:t xml:space="preserve">the sampling interval. Eq. (14) does not contain the common offset. For two channels,</w:t>
      </w:r>
      <w:r>
        <w:t xml:space="preserve"> </w:t>
      </w:r>
      <m:oMath>
        <m:r>
          <m:t>w</m:t>
        </m:r>
        <m:r>
          <m:rPr>
            <m:sty m:val="p"/>
          </m:rPr>
          <m:t>=</m:t>
        </m:r>
        <m:d>
          <m:dPr>
            <m:begChr m:val="("/>
            <m:endChr m:val=")"/>
            <m:sepChr m:val=""/>
            <m:grow/>
          </m:dPr>
          <m:e>
            <m:r>
              <m:t>1</m:t>
            </m:r>
            <m:r>
              <m:rPr>
                <m:sty m:val="p"/>
              </m:rPr>
              <m:t>,</m:t>
            </m:r>
            <m:r>
              <m:rPr>
                <m:sty m:val="p"/>
              </m:rPr>
              <m:t>−</m:t>
            </m:r>
            <m:r>
              <m:t>1</m:t>
            </m:r>
          </m:e>
        </m:d>
        <m:r>
          <m:rPr>
            <m:sty m:val="p"/>
          </m:rPr>
          <m:t>/</m:t>
        </m:r>
        <m:d>
          <m:dPr>
            <m:begChr m:val="("/>
            <m:endChr m:val=")"/>
            <m:sepChr m:val=""/>
            <m:grow/>
          </m:dPr>
          <m:e>
            <m:sSub>
              <m:e>
                <m:r>
                  <m:t>C</m:t>
                </m:r>
              </m:e>
              <m:sub>
                <m:r>
                  <m:t>1</m:t>
                </m:r>
              </m:sub>
            </m:sSub>
            <m:r>
              <m:rPr>
                <m:sty m:val="p"/>
              </m:rPr>
              <m:t>−</m:t>
            </m:r>
            <m:sSub>
              <m:e>
                <m:r>
                  <m:t>C</m:t>
                </m:r>
              </m:e>
              <m:sub>
                <m:r>
                  <m:t>2</m:t>
                </m:r>
              </m:sub>
            </m:sSub>
          </m:e>
        </m:d>
      </m:oMath>
      <w:r>
        <w:t xml:space="preserve">, and a second sensor over a support (</w:t>
      </w:r>
      <m:oMath>
        <m:sSub>
          <m:e>
            <m:r>
              <m:t>C</m:t>
            </m:r>
          </m:e>
          <m:sub>
            <m:r>
              <m:t>2</m:t>
            </m:r>
          </m:sub>
        </m:sSub>
        <m:r>
          <m:rPr>
            <m:sty m:val="p"/>
          </m:rPr>
          <m:t>=</m:t>
        </m:r>
        <m:r>
          <m:t>0</m:t>
        </m:r>
      </m:oMath>
      <w:r>
        <w:t xml:space="preserve">) gives the familiar differential measurement against a reference target. The price is a white-noise variance higher by the factor</w:t>
      </w:r>
      <w:r>
        <w:t xml:space="preserve"> </w:t>
      </w:r>
      <m:oMath>
        <m:r>
          <m:t>2</m:t>
        </m:r>
        <m:sSubSup>
          <m:e>
            <m:r>
              <m:t>C</m:t>
            </m:r>
          </m:e>
          <m:sub>
            <m:r>
              <m:t>1</m:t>
            </m:r>
          </m:sub>
          <m:sup>
            <m:r>
              <m:t>2</m:t>
            </m:r>
          </m:sup>
        </m:sSubSup>
        <m:r>
          <m:rPr>
            <m:sty m:val="p"/>
          </m:rPr>
          <m:t>/</m:t>
        </m:r>
        <m:sSup>
          <m:e>
            <m:d>
              <m:dPr>
                <m:begChr m:val="("/>
                <m:endChr m:val=")"/>
                <m:sepChr m:val=""/>
                <m:grow/>
              </m:dPr>
              <m:e>
                <m:sSub>
                  <m:e>
                    <m:r>
                      <m:t>C</m:t>
                    </m:r>
                  </m:e>
                  <m:sub>
                    <m:r>
                      <m:t>1</m:t>
                    </m:r>
                  </m:sub>
                </m:sSub>
                <m:r>
                  <m:rPr>
                    <m:sty m:val="p"/>
                  </m:rPr>
                  <m:t>−</m:t>
                </m:r>
                <m:sSub>
                  <m:e>
                    <m:r>
                      <m:t>C</m:t>
                    </m:r>
                  </m:e>
                  <m:sub>
                    <m:r>
                      <m:t>2</m:t>
                    </m:r>
                  </m:sub>
                </m:sSub>
              </m:e>
            </m:d>
          </m:e>
          <m:sup>
            <m:r>
              <m:t>2</m:t>
            </m:r>
          </m:sup>
        </m:sSup>
      </m:oMath>
      <w:r>
        <w:t xml:space="preserve">, 1.65–2.0 on the beams studied. This is negligible, because the white-noise term was about 10⁻⁴ of the offset term at</w:t>
      </w:r>
      <w:r>
        <w:t xml:space="preserve"> </w:t>
      </w:r>
      <m:oMath>
        <m:r>
          <m:t>σ</m:t>
        </m:r>
        <m:r>
          <m:rPr>
            <m:sty m:val="p"/>
          </m:rPr>
          <m:t>=</m:t>
        </m:r>
        <m:r>
          <m:t>0.01</m:t>
        </m:r>
      </m:oMath>
      <w:r>
        <w:t xml:space="preserve"> </w:t>
      </w:r>
      <w:r>
        <w:t xml:space="preserve">mm and</w:t>
      </w:r>
      <w:r>
        <w:t xml:space="preserve"> </w:t>
      </w:r>
      <m:oMath>
        <m:sSub>
          <m:e>
            <m:r>
              <m:t>ε</m:t>
            </m:r>
          </m:e>
          <m:sub>
            <m:r>
              <m:t>0</m:t>
            </m:r>
          </m:sub>
        </m:sSub>
        <m:r>
          <m:rPr>
            <m:sty m:val="p"/>
          </m:rPr>
          <m:t>=</m:t>
        </m:r>
        <m:r>
          <m:t>0.1</m:t>
        </m:r>
      </m:oMath>
      <w:r>
        <w:t xml:space="preserve"> </w:t>
      </w:r>
      <w:r>
        <w:t xml:space="preserve">mm. The standard-load ratio</w:t>
      </w:r>
      <w:r>
        <w:t xml:space="preserve"> </w:t>
      </w:r>
      <m:oMath>
        <m:sSub>
          <m:e>
            <m:r>
              <m:t>P</m:t>
            </m:r>
          </m:e>
          <m:sub>
            <m:r>
              <m:t>t</m:t>
            </m:r>
          </m:sub>
        </m:sSub>
        <m:r>
          <m:rPr>
            <m:sty m:val="p"/>
          </m:rPr>
          <m:t>=</m:t>
        </m:r>
        <m:sSub>
          <m:e>
            <m:r>
              <m:t>P</m:t>
            </m:r>
          </m:e>
          <m:sub>
            <m:r>
              <m:t>0</m:t>
            </m:r>
          </m:sub>
        </m:sSub>
        <m:r>
          <m:t> </m:t>
        </m:r>
        <m:sSup>
          <m:e>
            <m:r>
              <m:t>w</m:t>
            </m:r>
          </m:e>
          <m:sup>
            <m:r>
              <m:rPr>
                <m:sty m:val="p"/>
              </m:rPr>
              <m:t>⊤</m:t>
            </m:r>
          </m:sup>
        </m:sSup>
        <m:sSub>
          <m:e>
            <m:r>
              <m:t>I</m:t>
            </m:r>
          </m:e>
          <m:sub>
            <m:r>
              <m:t>t</m:t>
            </m:r>
          </m:sub>
        </m:sSub>
        <m:r>
          <m:rPr>
            <m:sty m:val="p"/>
          </m:rPr>
          <m:t>/</m:t>
        </m:r>
        <m:sSup>
          <m:e>
            <m:r>
              <m:t>w</m:t>
            </m:r>
          </m:e>
          <m:sup>
            <m:r>
              <m:rPr>
                <m:sty m:val="p"/>
              </m:rPr>
              <m:t>⊤</m:t>
            </m:r>
          </m:sup>
        </m:sSup>
        <m:sSub>
          <m:e>
            <m:r>
              <m:t>I</m:t>
            </m:r>
          </m:e>
          <m:sub>
            <m:r>
              <m:t>0</m:t>
            </m:r>
          </m:sub>
        </m:sSub>
      </m:oMath>
      <w:r>
        <w:t xml:space="preserve"> </w:t>
      </w:r>
      <w:r>
        <w:t xml:space="preserve">with</w:t>
      </w:r>
      <w:r>
        <w:t xml:space="preserve"> </w:t>
      </w:r>
      <m:oMath>
        <m:r>
          <m:rPr>
            <m:sty m:val="p"/>
          </m:rPr>
          <m:t>∑</m:t>
        </m:r>
        <m:sSub>
          <m:e>
            <m:r>
              <m:t>w</m:t>
            </m:r>
          </m:e>
          <m:sub>
            <m:r>
              <m:t>j</m:t>
            </m:r>
          </m:sub>
        </m:sSub>
        <m:r>
          <m:rPr>
            <m:sty m:val="p"/>
          </m:rPr>
          <m:t>=</m:t>
        </m:r>
        <m:r>
          <m:t>0</m:t>
        </m:r>
      </m:oMath>
      <w:r>
        <w:t xml:space="preserve"> </w:t>
      </w:r>
      <w:r>
        <w:t xml:space="preserve">cancels the common offset in both crossings, which a single gauge cannot do.</w:t>
      </w:r>
    </w:p>
    <w:p>
      <w:pPr>
        <w:pStyle w:val="BodyText"/>
      </w:pPr>
      <w:r>
        <w:t xml:space="preserve">If the noise statistics do not depend on position,</w:t>
      </w:r>
      <w:r>
        <w:t xml:space="preserve"> </w:t>
      </w:r>
      <m:oMath>
        <m:r>
          <m:t>1</m:t>
        </m:r>
        <m:r>
          <m:rPr>
            <m:sty m:val="p"/>
          </m:rPr>
          <m:t>/</m:t>
        </m:r>
        <m:r>
          <m:rPr>
            <m:sty m:val="p"/>
          </m:rPr>
          <m:t>V</m:t>
        </m:r>
        <m:r>
          <m:rPr>
            <m:sty m:val="p"/>
          </m:rPr>
          <m:t>a</m:t>
        </m:r>
        <m:r>
          <m:rPr>
            <m:sty m:val="p"/>
          </m:rPr>
          <m:t>r</m:t>
        </m:r>
      </m:oMath>
      <w:r>
        <w:t xml:space="preserve"> </w:t>
      </w:r>
      <w:r>
        <w:t xml:space="preserve">is a convex quadratic in the vector of constants</w:t>
      </w:r>
      <w:r>
        <w:t xml:space="preserve"> </w:t>
      </w:r>
      <m:oMath>
        <m:r>
          <m:t>C</m:t>
        </m:r>
        <m:d>
          <m:dPr>
            <m:begChr m:val="("/>
            <m:endChr m:val=")"/>
            <m:sepChr m:val=""/>
            <m:grow/>
          </m:dPr>
          <m:e>
            <m:sSub>
              <m:e>
                <m:r>
                  <m:t>x</m:t>
                </m:r>
              </m:e>
              <m:sub>
                <m:r>
                  <m:t>j</m:t>
                </m:r>
              </m:sub>
            </m:sSub>
          </m:e>
        </m:d>
      </m:oMath>
      <w:r>
        <w:t xml:space="preserve">, for both Eq. (13) and Eq. (14). A convex function on a box attains its maximum at a vertex. Optimal sensors therefore lie only at the maximum and the minimum of the uniform-load response: of</w:t>
      </w:r>
      <w:r>
        <w:t xml:space="preserve"> </w:t>
      </w:r>
      <m:oMath>
        <m:sSub>
          <m:e>
            <m:r>
              <m:t>w</m:t>
            </m:r>
          </m:e>
          <m:sub>
            <m:r>
              <m:t>q</m:t>
            </m:r>
          </m:sub>
        </m:sSub>
        <m:d>
          <m:dPr>
            <m:begChr m:val="("/>
            <m:endChr m:val=")"/>
            <m:sepChr m:val=""/>
            <m:grow/>
          </m:dPr>
          <m:e>
            <m:r>
              <m:t>x</m:t>
            </m:r>
          </m:e>
        </m:d>
      </m:oMath>
      <w:r>
        <w:t xml:space="preserve"> </w:t>
      </w:r>
      <w:r>
        <w:t xml:space="preserve">for deflection and of</w:t>
      </w:r>
      <w:r>
        <w:t xml:space="preserve"> </w:t>
      </w:r>
      <m:oMath>
        <m:sSub>
          <m:e>
            <m:r>
              <m:t>M</m:t>
            </m:r>
          </m:e>
          <m:sub>
            <m:r>
              <m:t>q</m:t>
            </m:r>
          </m:sub>
        </m:sSub>
        <m:d>
          <m:dPr>
            <m:begChr m:val="("/>
            <m:endChr m:val=")"/>
            <m:sepChr m:val=""/>
            <m:grow/>
          </m:dPr>
          <m:e>
            <m:r>
              <m:t>x</m:t>
            </m:r>
          </m:e>
        </m:d>
      </m:oMath>
      <w:r>
        <w:t xml:space="preserve"> </w:t>
      </w:r>
      <w:r>
        <w:t xml:space="preserve">for strain. Placement needs the same single static analysis as Eq. (2). Independent offsets call for clustering at the maximum; correlated offsets call for one sensor at the minimum, which is a support or the most negative point. A brute-force search over 96 cases found no design better than the vertex design. A Monte Carlo study with 10⁵ random axle configurations per case confirmed that the estimators are unbiased, that their scatter does not depend on the number of axles, and that the variances of Eqs. (13) and (14) hold to within 0.6 % (Supplementary Material). Fig. 4 shows the gain over the best single sensor.</w:t>
      </w:r>
    </w:p>
    <w:bookmarkEnd w:id="26"/>
    <w:bookmarkStart w:id="27" w:name="X6ab3fc27de2b5de64f15c775aec52703a76b6b3"/>
    <w:p>
      <w:pPr>
        <w:pStyle w:val="Heading3"/>
      </w:pPr>
      <w:r>
        <w:t xml:space="preserve">2.5. Identifiability of the indicator under boundary uncertainty</w:t>
      </w:r>
    </w:p>
    <w:p>
      <w:pPr>
        <w:pStyle w:val="FirstParagraph"/>
      </w:pPr>
      <w:r>
        <w:t xml:space="preserve">A girder with monolithic piers has a stiffness matrix</w:t>
      </w:r>
      <w:r>
        <w:t xml:space="preserve"> </w:t>
      </w:r>
      <m:oMath>
        <m:r>
          <m:t>α</m:t>
        </m:r>
        <m:sSub>
          <m:e>
            <m:r>
              <m:t>K</m:t>
            </m:r>
          </m:e>
          <m:sub>
            <m:r>
              <m:t>g</m:t>
            </m:r>
          </m:sub>
        </m:sSub>
        <m:r>
          <m:rPr>
            <m:sty m:val="p"/>
          </m:rPr>
          <m:t>+</m:t>
        </m:r>
        <m:r>
          <m:t>k</m:t>
        </m:r>
        <m:sSub>
          <m:e>
            <m:r>
              <m:t>K</m:t>
            </m:r>
          </m:e>
          <m:sub>
            <m:r>
              <m:t>p</m:t>
            </m:r>
          </m:sub>
        </m:sSub>
      </m:oMath>
      <w:r>
        <w:t xml:space="preserve">. Here</w:t>
      </w:r>
      <w:r>
        <w:t xml:space="preserve"> </w:t>
      </w:r>
      <m:oMath>
        <m:r>
          <m:t>α</m:t>
        </m:r>
      </m:oMath>
      <w:r>
        <w:t xml:space="preserve"> </w:t>
      </w:r>
      <w:r>
        <w:t xml:space="preserve">scales the girder rigidity and</w:t>
      </w:r>
      <w:r>
        <w:t xml:space="preserve"> </w:t>
      </w:r>
      <m:oMath>
        <m:r>
          <m:t>k</m:t>
        </m:r>
      </m:oMath>
      <w:r>
        <w:t xml:space="preserve"> </w:t>
      </w:r>
      <w:r>
        <w:t xml:space="preserve">is the rotational stiffness of each pier. Every static response then scales as</w:t>
      </w:r>
      <w:r>
        <w:t xml:space="preserve"> </w:t>
      </w:r>
      <m:oMath>
        <m:sSup>
          <m:e>
            <m:r>
              <m:t>α</m:t>
            </m:r>
          </m:e>
          <m:sup>
            <m:r>
              <m:rPr>
                <m:sty m:val="p"/>
              </m:rPr>
              <m:t>−</m:t>
            </m:r>
            <m:r>
              <m:t>1</m:t>
            </m:r>
          </m:sup>
        </m:sSup>
        <m:r>
          <m:t>g</m:t>
        </m:r>
        <m:d>
          <m:dPr>
            <m:begChr m:val="("/>
            <m:endChr m:val=")"/>
            <m:sepChr m:val=""/>
            <m:grow/>
          </m:dPr>
          <m:e>
            <m:r>
              <m:t>κ</m:t>
            </m:r>
          </m:e>
        </m:d>
      </m:oMath>
      <w:r>
        <w:t xml:space="preserve"> </w:t>
      </w:r>
      <w:r>
        <w:t xml:space="preserve">with</w:t>
      </w:r>
      <w:r>
        <w:t xml:space="preserve"> </w:t>
      </w:r>
      <m:oMath>
        <m:r>
          <m:t>κ</m:t>
        </m:r>
        <m:r>
          <m:rPr>
            <m:sty m:val="p"/>
          </m:rPr>
          <m:t>=</m:t>
        </m:r>
        <m:r>
          <m:t>k</m:t>
        </m:r>
        <m:r>
          <m:rPr>
            <m:sty m:val="p"/>
          </m:rPr>
          <m:t>/</m:t>
        </m:r>
        <m:r>
          <m:t>α</m:t>
        </m:r>
      </m:oMath>
      <w:r>
        <w:t xml:space="preserve">, so two static readings fix</w:t>
      </w:r>
      <w:r>
        <w:t xml:space="preserve"> </w:t>
      </w:r>
      <m:oMath>
        <m:r>
          <m:t>α</m:t>
        </m:r>
      </m:oMath>
      <w:r>
        <w:t xml:space="preserve"> </w:t>
      </w:r>
      <w:r>
        <w:t xml:space="preserve">for each</w:t>
      </w:r>
      <w:r>
        <w:t xml:space="preserve"> </w:t>
      </w:r>
      <m:oMath>
        <m:r>
          <m:t>κ</m:t>
        </m:r>
      </m:oMath>
      <w:r>
        <w:t xml:space="preserve"> </w:t>
      </w:r>
      <w:r>
        <w:t xml:space="preserve">and constrain</w:t>
      </w:r>
      <w:r>
        <w:t xml:space="preserve"> </w:t>
      </w:r>
      <m:oMath>
        <m:r>
          <m:t>κ</m:t>
        </m:r>
      </m:oMath>
      <w:r>
        <w:t xml:space="preserve"> </w:t>
      </w:r>
      <w:r>
        <w:t xml:space="preserve">only through their ratio. For a mirror-symmetric girder with equal piers, the uniform load excites only the antisymmetric pier-rotation pattern, and the Sherman–Morrison formula gives (Appendix C)</w:t>
      </w:r>
    </w:p>
    <w:tbl>
      <w:tblPr>
        <w:tblStyle w:val="Table"/>
        <w:tblW w:type="pct" w:w="5000"/>
        <w:tblLook w:firstRow="0" w:lastRow="0" w:firstColumn="0" w:lastColumn="0" w:noHBand="0" w:noVBand="0" w:val="0000"/>
        <w:jc w:val="start"/>
        <w:tblBorders>
          <w:top w:val="nil"/>
          <w:left w:val="nil"/>
          <w:bottom w:val="nil"/>
          <w:right w:val="nil"/>
          <w:insideH w:val="nil"/>
          <w:insideV w:val="nil"/>
        </w:tblBorders>
      </w:tblPr>
      <w:tblGrid>
        <w:gridCol w:w="7981"/>
        <w:gridCol w:w="1088"/>
      </w:tblGrid>
      <w:tr>
        <w:tc>
          <w:tcPr>
            <w:tcW w:type="dxa" w:w="7981"/>
            <w:vAlign w:val="center"/>
          </w:tcPr>
          <w:p>
            <w:pPr>
              <w:jc w:val="center"/>
            </w:pPr>
            <m:oMathPara>
              <m:oMathParaPr>
                <m:jc m:val="center"/>
              </m:oMathParaPr>
              <m:oMath>
                <m:sSub>
                  <m:e>
                    <m:r>
                      <m:t>C</m:t>
                    </m:r>
                  </m:e>
                  <m:sub>
                    <m:r>
                      <m:t>m</m:t>
                    </m:r>
                  </m:sub>
                </m:sSub>
                <m:d>
                  <m:dPr>
                    <m:begChr m:val="("/>
                    <m:endChr m:val=")"/>
                    <m:sepChr m:val=""/>
                    <m:grow/>
                  </m:dPr>
                  <m:e>
                    <m:r>
                      <m:t>κ</m:t>
                    </m:r>
                  </m:e>
                </m:d>
                <m:r>
                  <m:rPr>
                    <m:sty m:val="p"/>
                  </m:rPr>
                  <m:t>=</m:t>
                </m:r>
                <m:sSub>
                  <m:e>
                    <m:r>
                      <m:t>C</m:t>
                    </m:r>
                  </m:e>
                  <m:sub>
                    <m:r>
                      <m:rPr>
                        <m:sty m:val="p"/>
                      </m:rPr>
                      <m:t>∞</m:t>
                    </m:r>
                  </m:sub>
                </m:sSub>
                <m:r>
                  <m:rPr>
                    <m:sty m:val="p"/>
                  </m:rPr>
                  <m:t>+</m:t>
                </m:r>
                <m:f>
                  <m:fPr>
                    <m:type m:val="bar"/>
                  </m:fPr>
                  <m:num>
                    <m:sSub>
                      <m:e>
                        <m:r>
                          <m:t>C</m:t>
                        </m:r>
                      </m:e>
                      <m:sub>
                        <m:r>
                          <m:t>0</m:t>
                        </m:r>
                      </m:sub>
                    </m:sSub>
                    <m:r>
                      <m:rPr>
                        <m:sty m:val="p"/>
                      </m:rPr>
                      <m:t>−</m:t>
                    </m:r>
                    <m:sSub>
                      <m:e>
                        <m:r>
                          <m:t>C</m:t>
                        </m:r>
                      </m:e>
                      <m:sub>
                        <m:r>
                          <m:rPr>
                            <m:sty m:val="p"/>
                          </m:rPr>
                          <m:t>∞</m:t>
                        </m:r>
                      </m:sub>
                    </m:sSub>
                  </m:num>
                  <m:den>
                    <m:r>
                      <m:t>1</m:t>
                    </m:r>
                    <m:r>
                      <m:rPr>
                        <m:sty m:val="p"/>
                      </m:rPr>
                      <m:t>+</m:t>
                    </m:r>
                    <m:r>
                      <m:t>κ</m:t>
                    </m:r>
                    <m:r>
                      <m:rPr>
                        <m:sty m:val="p"/>
                      </m:rPr>
                      <m:t>/</m:t>
                    </m:r>
                    <m:sSub>
                      <m:e>
                        <m:r>
                          <m:t>k</m:t>
                        </m:r>
                      </m:e>
                      <m:sub>
                        <m:r>
                          <m:t>g</m:t>
                        </m:r>
                      </m:sub>
                    </m:sSub>
                  </m:den>
                </m:f>
                <m:r>
                  <m:rPr>
                    <m:sty m:val="p"/>
                  </m:rPr>
                  <m:t>.</m:t>
                </m:r>
              </m:oMath>
            </m:oMathPara>
          </w:p>
        </w:tc>
        <w:tc>
          <w:tcPr>
            <w:tcW w:type="dxa" w:w="1088"/>
            <w:vAlign w:val="center"/>
          </w:tcPr>
          <w:p>
            <w:pPr>
              <w:jc w:val="right"/>
            </w:pPr>
            <w:r>
              <w:t xml:space="preserve">(15)</w:t>
            </w:r>
          </w:p>
        </w:tc>
      </w:tr>
    </w:tbl>
    <w:p>
      <w:pPr>
        <w:pStyle w:val="BodyText"/>
      </w:pPr>
      <m:oMath>
        <m:sSub>
          <m:e>
            <m:r>
              <m:t>C</m:t>
            </m:r>
          </m:e>
          <m:sub>
            <m:r>
              <m:t>0</m:t>
            </m:r>
          </m:sub>
        </m:sSub>
      </m:oMath>
      <w:r>
        <w:t xml:space="preserve"> </w:t>
      </w:r>
      <w:r>
        <w:t xml:space="preserve">and</w:t>
      </w:r>
      <w:r>
        <w:t xml:space="preserve"> </w:t>
      </w:r>
      <m:oMath>
        <m:sSub>
          <m:e>
            <m:r>
              <m:t>C</m:t>
            </m:r>
          </m:e>
          <m:sub>
            <m:r>
              <m:rPr>
                <m:sty m:val="p"/>
              </m:rPr>
              <m:t>∞</m:t>
            </m:r>
          </m:sub>
        </m:sSub>
      </m:oMath>
      <w:r>
        <w:t xml:space="preserve"> </w:t>
      </w:r>
      <w:r>
        <w:t xml:space="preserve">are the constants for pinned and fixed piers, and</w:t>
      </w:r>
      <w:r>
        <w:t xml:space="preserve"> </w:t>
      </w:r>
      <m:oMath>
        <m:sSub>
          <m:e>
            <m:r>
              <m:t>k</m:t>
            </m:r>
          </m:e>
          <m:sub>
            <m:r>
              <m:t>g</m:t>
            </m:r>
          </m:sub>
        </m:sSub>
      </m:oMath>
      <w:r>
        <w:t xml:space="preserve"> </w:t>
      </w:r>
      <w:r>
        <w:t xml:space="preserve">is the girder’s own antisymmetric pier stiffness. The ratio</w:t>
      </w:r>
      <w:r>
        <w:t xml:space="preserve"> </w:t>
      </w:r>
      <m:oMath>
        <m:sSub>
          <m:e>
            <m:r>
              <m:t>C</m:t>
            </m:r>
          </m:e>
          <m:sub>
            <m:r>
              <m:rPr>
                <m:sty m:val="p"/>
              </m:rPr>
              <m:t>∞</m:t>
            </m:r>
          </m:sub>
        </m:sSub>
        <m:r>
          <m:rPr>
            <m:sty m:val="p"/>
          </m:rPr>
          <m:t>/</m:t>
        </m:r>
        <m:sSub>
          <m:e>
            <m:r>
              <m:t>C</m:t>
            </m:r>
          </m:e>
          <m:sub>
            <m:r>
              <m:t>0</m:t>
            </m:r>
          </m:sub>
        </m:sSub>
      </m:oMath>
      <w:r>
        <w:t xml:space="preserve"> </w:t>
      </w:r>
      <w:r>
        <w:t xml:space="preserve">is the full range that pier fixity can produce at a gauge. The local measure is the boundary-conditioning indicator</w:t>
      </w:r>
      <w:r>
        <w:t xml:space="preserve"> </w:t>
      </w:r>
      <m:oMath>
        <m:sSub>
          <m:e>
            <m:r>
              <m:t>B</m:t>
            </m:r>
          </m:e>
          <m:sub>
            <m:r>
              <m:t>m</m:t>
            </m:r>
          </m:sub>
        </m:sSub>
        <m:r>
          <m:rPr>
            <m:sty m:val="p"/>
          </m:rPr>
          <m:t>=</m:t>
        </m:r>
        <m:d>
          <m:dPr>
            <m:begChr m:val="|"/>
            <m:endChr m:val="|"/>
            <m:sepChr m:val=""/>
            <m:grow/>
          </m:dPr>
          <m:e>
            <m:r>
              <m:rPr>
                <m:sty m:val="p"/>
              </m:rPr>
              <m:t>∂</m:t>
            </m:r>
            <m:r>
              <m:rPr>
                <m:sty m:val="p"/>
              </m:rPr>
              <m:t>ln</m:t>
            </m:r>
            <m:sSub>
              <m:e>
                <m:r>
                  <m:t>C</m:t>
                </m:r>
              </m:e>
              <m:sub>
                <m:r>
                  <m:t>m</m:t>
                </m:r>
              </m:sub>
            </m:sSub>
            <m:r>
              <m:rPr>
                <m:sty m:val="p"/>
              </m:rPr>
              <m:t>/</m:t>
            </m:r>
            <m:r>
              <m:rPr>
                <m:sty m:val="p"/>
              </m:rPr>
              <m:t>∂</m:t>
            </m:r>
            <m:r>
              <m:rPr>
                <m:sty m:val="p"/>
              </m:rPr>
              <m:t>ln</m:t>
            </m:r>
            <m:r>
              <m:t>κ</m:t>
            </m:r>
          </m:e>
        </m:d>
      </m:oMath>
      <w:r>
        <w:t xml:space="preserve">, the relative error in</w:t>
      </w:r>
      <w:r>
        <w:t xml:space="preserve"> </w:t>
      </w:r>
      <m:oMath>
        <m:sSub>
          <m:e>
            <m:r>
              <m:t>C</m:t>
            </m:r>
          </m:e>
          <m:sub>
            <m:r>
              <m:t>m</m:t>
            </m:r>
          </m:sub>
        </m:sSub>
      </m:oMath>
      <w:r>
        <w:t xml:space="preserve"> </w:t>
      </w:r>
      <w:r>
        <w:t xml:space="preserve">per unit relative error in</w:t>
      </w:r>
      <w:r>
        <w:t xml:space="preserve"> </w:t>
      </w:r>
      <m:oMath>
        <m:r>
          <m:t>κ</m:t>
        </m:r>
      </m:oMath>
      <w:r>
        <w:t xml:space="preserve">. For a symmetric prismatic three-span beam with rotational springs</w:t>
      </w:r>
      <w:r>
        <w:t xml:space="preserve"> </w:t>
      </w:r>
      <m:oMath>
        <m:r>
          <m:t>k</m:t>
        </m:r>
      </m:oMath>
      <w:r>
        <w:t xml:space="preserve"> </w:t>
      </w:r>
      <w:r>
        <w:t xml:space="preserve">at the piers, slope-deflection gives</w:t>
      </w:r>
    </w:p>
    <w:tbl>
      <w:tblPr>
        <w:tblStyle w:val="Table"/>
        <w:tblW w:type="pct" w:w="5000"/>
        <w:tblLook w:firstRow="0" w:lastRow="0" w:firstColumn="0" w:lastColumn="0" w:noHBand="0" w:noVBand="0" w:val="0000"/>
        <w:jc w:val="start"/>
        <w:tblBorders>
          <w:top w:val="nil"/>
          <w:left w:val="nil"/>
          <w:bottom w:val="nil"/>
          <w:right w:val="nil"/>
          <w:insideH w:val="nil"/>
          <w:insideV w:val="nil"/>
        </w:tblBorders>
      </w:tblPr>
      <w:tblGrid>
        <w:gridCol w:w="7981"/>
        <w:gridCol w:w="1088"/>
      </w:tblGrid>
      <w:tr>
        <w:tc>
          <w:tcPr>
            <w:tcW w:type="dxa" w:w="7981"/>
            <w:vAlign w:val="center"/>
          </w:tcPr>
          <w:p>
            <w:pPr>
              <w:jc w:val="center"/>
            </w:pPr>
            <m:oMathPara>
              <m:oMathParaPr>
                <m:jc m:val="center"/>
              </m:oMathParaPr>
              <m:oMath>
                <m:r>
                  <m:t>μ</m:t>
                </m:r>
                <m:d>
                  <m:dPr>
                    <m:begChr m:val="("/>
                    <m:endChr m:val=")"/>
                    <m:sepChr m:val=""/>
                    <m:grow/>
                  </m:dPr>
                  <m:e>
                    <m:r>
                      <m:t>K</m:t>
                    </m:r>
                  </m:e>
                </m:d>
                <m:r>
                  <m:rPr>
                    <m:sty m:val="p"/>
                  </m:rPr>
                  <m:t>=</m:t>
                </m:r>
                <m:r>
                  <m:t>1</m:t>
                </m:r>
                <m:r>
                  <m:rPr>
                    <m:sty m:val="p"/>
                  </m:rPr>
                  <m:t>+</m:t>
                </m:r>
                <m:f>
                  <m:fPr>
                    <m:type m:val="bar"/>
                  </m:fPr>
                  <m:num>
                    <m:r>
                      <m:t>β</m:t>
                    </m:r>
                    <m:d>
                      <m:dPr>
                        <m:begChr m:val="("/>
                        <m:endChr m:val=")"/>
                        <m:sepChr m:val=""/>
                        <m:grow/>
                      </m:dPr>
                      <m:e>
                        <m:r>
                          <m:t>2</m:t>
                        </m:r>
                        <m:sSup>
                          <m:e>
                            <m:r>
                              <m:t>β</m:t>
                            </m:r>
                          </m:e>
                          <m:sup>
                            <m:r>
                              <m:t>2</m:t>
                            </m:r>
                          </m:sup>
                        </m:sSup>
                        <m:r>
                          <m:rPr>
                            <m:sty m:val="p"/>
                          </m:rPr>
                          <m:t>−</m:t>
                        </m:r>
                        <m:r>
                          <m:t>3</m:t>
                        </m:r>
                      </m:e>
                    </m:d>
                  </m:num>
                  <m:den>
                    <m:r>
                      <m:t>3</m:t>
                    </m:r>
                    <m:r>
                      <m:t>β</m:t>
                    </m:r>
                    <m:r>
                      <m:rPr>
                        <m:sty m:val="p"/>
                      </m:rPr>
                      <m:t>+</m:t>
                    </m:r>
                    <m:r>
                      <m:t>2</m:t>
                    </m:r>
                    <m:sSub>
                      <m:e>
                        <m:r>
                          <m:t>ρ</m:t>
                        </m:r>
                      </m:e>
                      <m:sub>
                        <m:r>
                          <m:t>E</m:t>
                        </m:r>
                        <m:r>
                          <m:t>I</m:t>
                        </m:r>
                      </m:sub>
                    </m:sSub>
                    <m:r>
                      <m:rPr>
                        <m:sty m:val="p"/>
                      </m:rPr>
                      <m:t>+</m:t>
                    </m:r>
                    <m:r>
                      <m:t>β</m:t>
                    </m:r>
                    <m:r>
                      <m:t>K</m:t>
                    </m:r>
                  </m:den>
                </m:f>
                <m:r>
                  <m:rPr>
                    <m:sty m:val="p"/>
                  </m:rPr>
                  <m:t>,</m:t>
                </m:r>
                <m:r>
                  <m:t>  </m:t>
                </m:r>
                <m:r>
                  <m:t>K</m:t>
                </m:r>
                <m:r>
                  <m:rPr>
                    <m:sty m:val="p"/>
                  </m:rPr>
                  <m:t>=</m:t>
                </m:r>
                <m:f>
                  <m:fPr>
                    <m:type m:val="bar"/>
                  </m:fPr>
                  <m:num>
                    <m:r>
                      <m:t>k</m:t>
                    </m:r>
                    <m:sSub>
                      <m:e>
                        <m:r>
                          <m:t>L</m:t>
                        </m:r>
                      </m:e>
                      <m:sub>
                        <m:r>
                          <m:t>s</m:t>
                        </m:r>
                      </m:sub>
                    </m:sSub>
                  </m:num>
                  <m:den>
                    <m:r>
                      <m:t>E</m:t>
                    </m:r>
                    <m:sSub>
                      <m:e>
                        <m:r>
                          <m:t>I</m:t>
                        </m:r>
                      </m:e>
                      <m:sub>
                        <m:r>
                          <m:t>s</m:t>
                        </m:r>
                      </m:sub>
                    </m:sSub>
                  </m:den>
                </m:f>
                <m:r>
                  <m:rPr>
                    <m:sty m:val="p"/>
                  </m:rPr>
                  <m:t>,</m:t>
                </m:r>
              </m:oMath>
            </m:oMathPara>
          </w:p>
        </w:tc>
        <w:tc>
          <w:tcPr>
            <w:tcW w:type="dxa" w:w="1088"/>
            <w:vAlign w:val="center"/>
          </w:tcPr>
          <w:p>
            <w:pPr>
              <w:jc w:val="right"/>
            </w:pPr>
            <w:r>
              <w:t xml:space="preserve">(16)</w:t>
            </w:r>
          </w:p>
        </w:tc>
      </w:tr>
    </w:tbl>
    <w:p>
      <w:pPr>
        <w:pStyle w:val="BodyText"/>
      </w:pPr>
      <w:r>
        <w:t xml:space="preserve">Eq. (16) replaces</w:t>
      </w:r>
      <w:r>
        <w:t xml:space="preserve"> </w:t>
      </w:r>
      <m:oMath>
        <m:sSub>
          <m:e>
            <m:r>
              <m:t>μ</m:t>
            </m:r>
          </m:e>
          <m:sub>
            <m:r>
              <m:rPr>
                <m:sty m:val="p"/>
              </m:rPr>
              <m:t>3</m:t>
            </m:r>
            <m:r>
              <m:rPr>
                <m:sty m:val="p"/>
              </m:rPr>
              <m:t>s</m:t>
            </m:r>
            <m:r>
              <m:rPr>
                <m:sty m:val="p"/>
              </m:rPr>
              <m:t>p</m:t>
            </m:r>
            <m:r>
              <m:rPr>
                <m:sty m:val="p"/>
              </m:rPr>
              <m:t>a</m:t>
            </m:r>
            <m:r>
              <m:rPr>
                <m:sty m:val="p"/>
              </m:rPr>
              <m:t>n</m:t>
            </m:r>
          </m:sub>
        </m:sSub>
      </m:oMath>
      <w:r>
        <w:t xml:space="preserve"> </w:t>
      </w:r>
      <w:r>
        <w:t xml:space="preserve">in Eq. (5) and agrees with FE to 4.4 × 10⁻⁷. For</w:t>
      </w:r>
      <w:r>
        <w:t xml:space="preserve"> </w:t>
      </w:r>
      <m:oMath>
        <m:r>
          <m:t>β</m:t>
        </m:r>
        <m:r>
          <m:rPr>
            <m:sty m:val="p"/>
          </m:rPr>
          <m:t>=</m:t>
        </m:r>
        <m:r>
          <m:t>1.636</m:t>
        </m:r>
      </m:oMath>
      <w:r>
        <w:t xml:space="preserve"> </w:t>
      </w:r>
      <w:r>
        <w:t xml:space="preserve">the side-span index at</w:t>
      </w:r>
      <w:r>
        <w:t xml:space="preserve"> </w:t>
      </w:r>
      <m:oMath>
        <m:r>
          <m:t>ξ</m:t>
        </m:r>
        <m:r>
          <m:rPr>
            <m:sty m:val="p"/>
          </m:rPr>
          <m:t>=</m:t>
        </m:r>
        <m:r>
          <m:t>0.4</m:t>
        </m:r>
      </m:oMath>
      <w:r>
        <w:t xml:space="preserve"> </w:t>
      </w:r>
      <w:r>
        <w:t xml:space="preserve">rises from 0.287 (pinned) to 1.037 (fixed), whereas the mid main-span index falls from 0.755 to 0.500. Rotational restraint moves the side-span gauge away from blindness but makes its constant strongly dependent on</w:t>
      </w:r>
      <w:r>
        <w:t xml:space="preserve"> </w:t>
      </w:r>
      <m:oMath>
        <m:r>
          <m:t>k</m:t>
        </m:r>
      </m:oMath>
      <w:r>
        <w:t xml:space="preserve">.</w:t>
      </w:r>
    </w:p>
    <w:p>
      <w:pPr>
        <w:pStyle w:val="BodyText"/>
      </w:pPr>
      <w:r>
        <w:t xml:space="preserve">The theory thus gives, from one static analysis, the constant of every channel, its blind loci, the optimal placement and its sensitivity to the boundary conditions. Sections 3–5 test it.</w:t>
      </w:r>
    </w:p>
    <w:bookmarkEnd w:id="27"/>
    <w:bookmarkEnd w:id="28"/>
    <w:bookmarkStart w:id="31" w:name="laboratory-verification"/>
    <w:p>
      <w:pPr>
        <w:pStyle w:val="Heading2"/>
      </w:pPr>
      <w:r>
        <w:t xml:space="preserve">3. Laboratory verification</w:t>
      </w:r>
    </w:p>
    <w:p>
      <w:pPr>
        <w:pStyle w:val="FirstParagraph"/>
      </w:pPr>
      <w:r>
        <w:t xml:space="preserve">This section verifies the deflection influence line, the integral and the two estimators on a laboratory two-span beam. The loads were positioned statically at successive points, so the tests check the model and the algorithm, not performance under moving traffic. The equal spans are also the layout furthest from blindness.</w:t>
      </w:r>
    </w:p>
    <w:bookmarkStart w:id="29" w:name="specimen-and-procedure"/>
    <w:p>
      <w:pPr>
        <w:pStyle w:val="Heading3"/>
      </w:pPr>
      <w:r>
        <w:t xml:space="preserve">3.1. Specimen and procedure</w:t>
      </w:r>
    </w:p>
    <w:p>
      <w:pPr>
        <w:pStyle w:val="FirstParagraph"/>
      </w:pPr>
      <w:r>
        <w:t xml:space="preserve">The specimen was a steel hollow square tube, 25 mm × 25 mm with a wall thickness of 2.03 mm (</w:t>
      </w:r>
      <m:oMath>
        <m:r>
          <m:t>I</m:t>
        </m:r>
        <m:r>
          <m:rPr>
            <m:sty m:val="p"/>
          </m:rPr>
          <m:t>=</m:t>
        </m:r>
        <m:r>
          <m:t>16</m:t>
        </m:r>
        <m:r>
          <m:t> </m:t>
        </m:r>
        <m:r>
          <m:t>530</m:t>
        </m:r>
      </m:oMath>
      <w:r>
        <w:t xml:space="preserve"> </w:t>
      </w:r>
      <w:r>
        <w:t xml:space="preserve">mm⁴,</w:t>
      </w:r>
      <w:r>
        <w:t xml:space="preserve"> </w:t>
      </w:r>
      <m:oMath>
        <m:r>
          <m:t>E</m:t>
        </m:r>
        <m:r>
          <m:rPr>
            <m:sty m:val="p"/>
          </m:rPr>
          <m:t>=</m:t>
        </m:r>
        <m:r>
          <m:t>200</m:t>
        </m:r>
      </m:oMath>
      <w:r>
        <w:t xml:space="preserve"> </w:t>
      </w:r>
      <w:r>
        <w:t xml:space="preserve">GPa), on three supports forming two equal spans of 2500 mm. The end supports were rollers and the interior support a knife edge. The theoretical constant at mid-span of the first span is</w:t>
      </w:r>
      <w:r>
        <w:t xml:space="preserve"> </w:t>
      </w:r>
      <m:oMath>
        <m:sSub>
          <m:e>
            <m:r>
              <m:t>C</m:t>
            </m:r>
          </m:e>
          <m:sub>
            <m:r>
              <m:t>m</m:t>
            </m:r>
          </m:sub>
        </m:sSub>
        <m:r>
          <m:rPr>
            <m:sty m:val="p"/>
          </m:rPr>
          <m:t>=</m:t>
        </m:r>
        <m:sSup>
          <m:e>
            <m:r>
              <m:t>l</m:t>
            </m:r>
          </m:e>
          <m:sup>
            <m:r>
              <m:t>4</m:t>
            </m:r>
          </m:sup>
        </m:sSup>
        <m:r>
          <m:rPr>
            <m:sty m:val="p"/>
          </m:rPr>
          <m:t>/</m:t>
        </m:r>
        <m:d>
          <m:dPr>
            <m:begChr m:val="("/>
            <m:endChr m:val=")"/>
            <m:sepChr m:val=""/>
            <m:grow/>
          </m:dPr>
          <m:e>
            <m:r>
              <m:t>192</m:t>
            </m:r>
            <m:r>
              <m:t>E</m:t>
            </m:r>
            <m:r>
              <m:t>I</m:t>
            </m:r>
          </m:e>
        </m:d>
        <m:r>
          <m:rPr>
            <m:sty m:val="p"/>
          </m:rPr>
          <m:t>=</m:t>
        </m:r>
        <m:r>
          <m:t>61.54</m:t>
        </m:r>
      </m:oMath>
      <w:r>
        <w:t xml:space="preserve"> </w:t>
      </w:r>
      <w:r>
        <w:t xml:space="preserve">mm²/N, and shear deformation adds 8 × 10⁻⁴ of the bending deflection. Deflection at that point was measured with a linear variable differential transformer (LVDT) of 0.005 mm resolution. Calibrated steel weights were suspended at 250 mm steps along the whole traverse, and each reported deflection is the mean of three loading and unloading cycles. Three configurations were tested: a single 40.64 N reference load; two loads of 2145 g and 4684 g, 250 mm apart; and three loads of 2550 g, 5100 g and 5100 g. The order of the three-load group was not recorded independently. The order used here, with the 2550 g load leading and the others 500 mm and a further 250 mm behind, fits the record with a root-mean-square residual of 0.030 mm, against 0.55 mm for the reverse spacing. The three-load result is therefore not a fully independent test. The data are listed in Appendix D, and Fig. 5 shows the specimen and the single-load influence line.</w:t>
      </w:r>
    </w:p>
    <w:bookmarkEnd w:id="29"/>
    <w:bookmarkStart w:id="30" w:name="results"/>
    <w:p>
      <w:pPr>
        <w:pStyle w:val="Heading3"/>
      </w:pPr>
      <w:r>
        <w:t xml:space="preserve">3.2. Results</w:t>
      </w:r>
    </w:p>
    <w:p>
      <w:pPr>
        <w:pStyle w:val="FirstParagraph"/>
      </w:pPr>
      <w:r>
        <w:t xml:space="preserve">The analytical influence line matched the single-load record within 0.0126 mm, 0.44 % of the peak, with predominantly positive residuals that indicate a small systematic component such as slight support flexibility. The trapezoidal rule on the 250 mm grid underestimates the exact single-load integral by 0.500 %, a property of the quadrature, whereas Simpson’s rule reduces this to +0.027 %. Simpson’s rule loses its advantage when the entry and exit kinks of trailing loads fall inside its panels: −0.92 % and −0.44 % for the two- and three-load records. The trapezoidal rule is used throughout.</w:t>
      </w:r>
    </w:p>
    <w:p>
      <w:pPr>
        <w:pStyle w:val="BodyText"/>
      </w:pPr>
      <w:r>
        <w:rPr>
          <w:bCs/>
          <w:b/>
        </w:rPr>
        <w:t xml:space="preserve">Table 2.</w:t>
      </w:r>
      <w:r>
        <w:t xml:space="preserve"> </w:t>
      </w:r>
      <w:r>
        <w:t xml:space="preserve">Identified total loads against direct weighing (trapezoidal rule).</w:t>
      </w:r>
    </w:p>
    <w:tbl>
      <w:tblPr>
        <w:tblStyle w:val="Table"/>
        <w:tblW w:type="pct" w:w="5000"/>
        <w:tblLook w:firstRow="1" w:lastRow="0" w:firstColumn="0" w:lastColumn="0" w:noHBand="0" w:noVBand="0" w:val="0020"/>
        <w:jc w:val="start"/>
        <w:tblBorders>
          <w:top w:val="single" w:sz="8" w:space="0" w:color="000000"/>
          <w:left w:val="nil"/>
          <w:bottom w:val="single" w:sz="8" w:space="0" w:color="000000"/>
          <w:right w:val="nil"/>
          <w:insideH w:val="nil"/>
          <w:insideV w:val="nil"/>
        </w:tblBorders>
      </w:tblPr>
      <w:tblGrid>
        <w:gridCol w:w="2229"/>
        <w:gridCol w:w="1306"/>
        <w:gridCol w:w="1152"/>
        <w:gridCol w:w="1614"/>
        <w:gridCol w:w="1152"/>
        <w:gridCol w:w="1614"/>
      </w:tblGrid>
      <w:tr>
        <w:trPr>
          <w:tblHeader w:val="true"/>
        </w:trPr>
        <w:tc>
          <w:tcPr>
            <w:tcW w:type="dxa" w:w="2229"/>
            <w:tcBorders>
              <w:top w:val="nil"/>
              <w:left w:val="nil"/>
              <w:bottom w:val="single" w:sz="6" w:space="0" w:color="000000"/>
              <w:right w:val="nil"/>
            </w:tcBorders>
          </w:tcPr>
          <w:p>
            <w:pPr>
              <w:pStyle w:val="Compact"/>
              <w:jc w:val="left"/>
            </w:pPr>
            <w:r>
              <w:t xml:space="preserve">Configuration</w:t>
            </w:r>
          </w:p>
        </w:tc>
        <w:tc>
          <w:tcPr>
            <w:tcW w:type="dxa" w:w="1306"/>
            <w:tcBorders>
              <w:top w:val="nil"/>
              <w:left w:val="nil"/>
              <w:bottom w:val="single" w:sz="6" w:space="0" w:color="000000"/>
              <w:right w:val="nil"/>
            </w:tcBorders>
          </w:tcPr>
          <w:p>
            <w:pPr>
              <w:pStyle w:val="Compact"/>
              <w:jc w:val="left"/>
            </w:pPr>
            <w:r>
              <w:t xml:space="preserve">Weighed (N)</w:t>
            </w:r>
          </w:p>
        </w:tc>
        <w:tc>
          <w:tcPr>
            <w:tcW w:type="dxa" w:w="1152"/>
            <w:tcBorders>
              <w:top w:val="nil"/>
              <w:left w:val="nil"/>
              <w:bottom w:val="single" w:sz="6" w:space="0" w:color="000000"/>
              <w:right w:val="nil"/>
            </w:tcBorders>
          </w:tcPr>
          <w:p>
            <w:pPr>
              <w:pStyle w:val="Compact"/>
              <w:jc w:val="left"/>
            </w:pPr>
            <w:r>
              <w:t xml:space="preserve">BPM (N)</w:t>
            </w:r>
          </w:p>
        </w:tc>
        <w:tc>
          <w:tcPr>
            <w:tcW w:type="dxa" w:w="1614"/>
            <w:tcBorders>
              <w:top w:val="nil"/>
              <w:left w:val="nil"/>
              <w:bottom w:val="single" w:sz="6" w:space="0" w:color="000000"/>
              <w:right w:val="nil"/>
            </w:tcBorders>
          </w:tcPr>
          <w:p>
            <w:pPr>
              <w:pStyle w:val="Compact"/>
              <w:jc w:val="left"/>
            </w:pPr>
            <w:r>
              <w:t xml:space="preserve">BPM deviation</w:t>
            </w:r>
          </w:p>
        </w:tc>
        <w:tc>
          <w:tcPr>
            <w:tcW w:type="dxa" w:w="1152"/>
            <w:tcBorders>
              <w:top w:val="nil"/>
              <w:left w:val="nil"/>
              <w:bottom w:val="single" w:sz="6" w:space="0" w:color="000000"/>
              <w:right w:val="nil"/>
            </w:tcBorders>
          </w:tcPr>
          <w:p>
            <w:pPr>
              <w:pStyle w:val="Compact"/>
              <w:jc w:val="left"/>
            </w:pPr>
            <w:r>
              <w:t xml:space="preserve">SLM (N)</w:t>
            </w:r>
          </w:p>
        </w:tc>
        <w:tc>
          <w:tcPr>
            <w:tcW w:type="dxa" w:w="1614"/>
            <w:tcBorders>
              <w:top w:val="nil"/>
              <w:left w:val="nil"/>
              <w:bottom w:val="single" w:sz="6" w:space="0" w:color="000000"/>
              <w:right w:val="nil"/>
            </w:tcBorders>
          </w:tcPr>
          <w:p>
            <w:pPr>
              <w:pStyle w:val="Compact"/>
              <w:jc w:val="left"/>
            </w:pPr>
            <w:r>
              <w:t xml:space="preserve">SLM deviation</w:t>
            </w:r>
          </w:p>
        </w:tc>
      </w:tr>
      <w:tr>
        <w:tc>
          <w:tcPr>
            <w:tcW w:type="dxa" w:w="2229"/>
          </w:tcPr>
          <w:p>
            <w:pPr>
              <w:pStyle w:val="Compact"/>
              <w:jc w:val="left"/>
            </w:pPr>
            <w:r>
              <w:t xml:space="preserve">Two loads</w:t>
            </w:r>
          </w:p>
        </w:tc>
        <w:tc>
          <w:tcPr>
            <w:tcW w:type="dxa" w:w="1306"/>
          </w:tcPr>
          <w:p>
            <w:pPr>
              <w:pStyle w:val="Compact"/>
              <w:jc w:val="left"/>
            </w:pPr>
            <w:r>
              <w:t xml:space="preserve">66.99</w:t>
            </w:r>
          </w:p>
        </w:tc>
        <w:tc>
          <w:tcPr>
            <w:tcW w:type="dxa" w:w="1152"/>
          </w:tcPr>
          <w:p>
            <w:pPr>
              <w:pStyle w:val="Compact"/>
              <w:jc w:val="left"/>
            </w:pPr>
            <w:r>
              <w:t xml:space="preserve">67.73</w:t>
            </w:r>
          </w:p>
        </w:tc>
        <w:tc>
          <w:tcPr>
            <w:tcW w:type="dxa" w:w="1614"/>
          </w:tcPr>
          <w:p>
            <w:pPr>
              <w:pStyle w:val="Compact"/>
              <w:jc w:val="left"/>
            </w:pPr>
            <w:r>
              <w:t xml:space="preserve">+1.10 %</w:t>
            </w:r>
          </w:p>
        </w:tc>
        <w:tc>
          <w:tcPr>
            <w:tcW w:type="dxa" w:w="1152"/>
          </w:tcPr>
          <w:p>
            <w:pPr>
              <w:pStyle w:val="Compact"/>
              <w:jc w:val="left"/>
            </w:pPr>
            <w:r>
              <w:t xml:space="preserve">67.40</w:t>
            </w:r>
          </w:p>
        </w:tc>
        <w:tc>
          <w:tcPr>
            <w:tcW w:type="dxa" w:w="1614"/>
          </w:tcPr>
          <w:p>
            <w:pPr>
              <w:pStyle w:val="Compact"/>
              <w:jc w:val="left"/>
            </w:pPr>
            <w:r>
              <w:t xml:space="preserve">+0.61 %</w:t>
            </w:r>
          </w:p>
        </w:tc>
      </w:tr>
      <w:tr>
        <w:tc>
          <w:tcPr>
            <w:tcW w:type="dxa" w:w="2229"/>
          </w:tcPr>
          <w:p>
            <w:pPr>
              <w:pStyle w:val="Compact"/>
              <w:jc w:val="left"/>
            </w:pPr>
            <w:r>
              <w:t xml:space="preserve">Three loads</w:t>
            </w:r>
          </w:p>
        </w:tc>
        <w:tc>
          <w:tcPr>
            <w:tcW w:type="dxa" w:w="1306"/>
          </w:tcPr>
          <w:p>
            <w:pPr>
              <w:pStyle w:val="Compact"/>
              <w:jc w:val="left"/>
            </w:pPr>
            <w:r>
              <w:t xml:space="preserve">125.08</w:t>
            </w:r>
          </w:p>
        </w:tc>
        <w:tc>
          <w:tcPr>
            <w:tcW w:type="dxa" w:w="1152"/>
          </w:tcPr>
          <w:p>
            <w:pPr>
              <w:pStyle w:val="Compact"/>
              <w:jc w:val="left"/>
            </w:pPr>
            <w:r>
              <w:t xml:space="preserve">126.57</w:t>
            </w:r>
          </w:p>
        </w:tc>
        <w:tc>
          <w:tcPr>
            <w:tcW w:type="dxa" w:w="1614"/>
          </w:tcPr>
          <w:p>
            <w:pPr>
              <w:pStyle w:val="Compact"/>
              <w:jc w:val="left"/>
            </w:pPr>
            <w:r>
              <w:t xml:space="preserve">+1.19 %</w:t>
            </w:r>
          </w:p>
        </w:tc>
        <w:tc>
          <w:tcPr>
            <w:tcW w:type="dxa" w:w="1152"/>
          </w:tcPr>
          <w:p>
            <w:pPr>
              <w:pStyle w:val="Compact"/>
              <w:jc w:val="left"/>
            </w:pPr>
            <w:r>
              <w:t xml:space="preserve">125.95</w:t>
            </w:r>
          </w:p>
        </w:tc>
        <w:tc>
          <w:tcPr>
            <w:tcW w:type="dxa" w:w="1614"/>
          </w:tcPr>
          <w:p>
            <w:pPr>
              <w:pStyle w:val="Compact"/>
              <w:jc w:val="left"/>
            </w:pPr>
            <w:r>
              <w:t xml:space="preserve">+0.70 %</w:t>
            </w:r>
          </w:p>
        </w:tc>
      </w:tr>
    </w:tbl>
    <w:p>
      <w:pPr>
        <w:pStyle w:val="BodyText"/>
      </w:pPr>
      <w:r>
        <w:t xml:space="preserve">Table 2 compares the beam-property method (BPM),</w:t>
      </w:r>
      <w:r>
        <w:t xml:space="preserve"> </w:t>
      </w:r>
      <m:oMath>
        <m:r>
          <m:t>P</m:t>
        </m:r>
        <m:r>
          <m:rPr>
            <m:sty m:val="p"/>
          </m:rPr>
          <m:t>=</m:t>
        </m:r>
        <m:r>
          <m:t>I</m:t>
        </m:r>
        <m:r>
          <m:rPr>
            <m:sty m:val="p"/>
          </m:rPr>
          <m:t>/</m:t>
        </m:r>
        <m:sSub>
          <m:e>
            <m:r>
              <m:t>C</m:t>
            </m:r>
          </m:e>
          <m:sub>
            <m:r>
              <m:t>m</m:t>
            </m:r>
          </m:sub>
        </m:sSub>
      </m:oMath>
      <w:r>
        <w:t xml:space="preserve">, with the standard-load method (SLM),</w:t>
      </w:r>
      <w:r>
        <w:t xml:space="preserve"> </w:t>
      </w:r>
      <m:oMath>
        <m:sSub>
          <m:e>
            <m:r>
              <m:t>P</m:t>
            </m:r>
          </m:e>
          <m:sub>
            <m:r>
              <m:t>t</m:t>
            </m:r>
          </m:sub>
        </m:sSub>
        <m:r>
          <m:rPr>
            <m:sty m:val="p"/>
          </m:rPr>
          <m:t>=</m:t>
        </m:r>
        <m:sSub>
          <m:e>
            <m:r>
              <m:t>P</m:t>
            </m:r>
          </m:e>
          <m:sub>
            <m:r>
              <m:t>0</m:t>
            </m:r>
          </m:sub>
        </m:sSub>
        <m:sSub>
          <m:e>
            <m:r>
              <m:t>I</m:t>
            </m:r>
          </m:e>
          <m:sub>
            <m:r>
              <m:t>t</m:t>
            </m:r>
          </m:sub>
        </m:sSub>
        <m:r>
          <m:rPr>
            <m:sty m:val="p"/>
          </m:rPr>
          <m:t>/</m:t>
        </m:r>
        <m:sSub>
          <m:e>
            <m:r>
              <m:t>I</m:t>
            </m:r>
          </m:e>
          <m:sub>
            <m:r>
              <m:t>0</m:t>
            </m:r>
          </m:sub>
        </m:sSub>
      </m:oMath>
      <w:r>
        <w:t xml:space="preserve">, which is the Ojio–Yamada calibration written for a deflection record [27]. The ratio of the two estimates is 1.0049 for both configurations, which equals the ratio of the measured reference integral to its exact value. SLM absorbs the calibration error of the reference record; BPM does not.</w:t>
      </w:r>
    </w:p>
    <w:p>
      <w:pPr>
        <w:pStyle w:val="BodyText"/>
      </w:pPr>
      <w:r>
        <w:t xml:space="preserve">The measured-to-analytical integral ratio depends on the load group: 1.010 for the single load, 1.016 for two loads and 1.017 for three loads. The SLM residuals of 0.61 % and 0.70 % are exactly this step. The data cannot separate a mild non-proportionality of the support seating from errors in the stated masses or load positions. Because the configurations differ in both total load and spacing, the tests support the invariance of Eq. (2) only indirectly. A direct test with a fixed total load at several spacings and magnitudes, and a test of the predicted blind configuration (spans of 2500 mm and 3644 mm on the same rig), have not been carried out. The field records of Section 4 supply the moving-load test on a continuous structure that the laboratory lacks.</w:t>
      </w:r>
    </w:p>
    <w:bookmarkEnd w:id="30"/>
    <w:bookmarkEnd w:id="31"/>
    <w:bookmarkStart w:id="36" w:name="X3f5c3fc84e568c092e72a866157cd8d51980a42"/>
    <w:p>
      <w:pPr>
        <w:pStyle w:val="Heading2"/>
      </w:pPr>
      <w:r>
        <w:t xml:space="preserve">4. Field verification on a five-span continuous box girder</w:t>
      </w:r>
    </w:p>
    <w:p>
      <w:pPr>
        <w:pStyle w:val="FirstParagraph"/>
      </w:pPr>
      <w:r>
        <w:t xml:space="preserve">This section tests the theorem with moving, weighed trucks on a real continuous girder, using a public dataset. The tests address invariance to axle configuration, the standard-load method, speed, superposition, lane, noise and the limits of a beam model.</w:t>
      </w:r>
    </w:p>
    <w:bookmarkStart w:id="32" w:name="data"/>
    <w:p>
      <w:pPr>
        <w:pStyle w:val="Heading3"/>
      </w:pPr>
      <w:r>
        <w:t xml:space="preserve">4.1. Data</w:t>
      </w:r>
    </w:p>
    <w:p>
      <w:pPr>
        <w:pStyle w:val="FirstParagraph"/>
      </w:pPr>
      <w:r>
        <w:t xml:space="preserve">The Nothing-on-Road BWIM dataset [50] (CC0 licence) contains strain records of the Virginia Smart Road Bridge, documented in [43–45,51]. The bridge is a post-tensioned concrete box girder continuous over five spans of 86.5 + 3 × 144 + 86.5 m = 605 m. The box depth varies from about 3.8 m at mid-span to 9.5 m at the piers. Strain transducers on the soffit of the top slab, in line with the wheel path at about 2 m pitch, lie near mid-span of span 2, 158.5 m from the first abutment. On the first day two 3-axle construction trucks, with driver-reported gross weights of 21.17–22.82 t per pass, were recorded at 100 Hz on 12 channels. On the second day a 3-axle truck of 26.8 t and a 5-axle truck of 25.9 t, both weighed on a static scale, were recorded at 200 Hz on four channels. They ran in the instrumented lane (lane A), on the return trip in the other lane (lane B), and in two in-line two-truck runs. Axle spacings were measured on site [51].</w:t>
      </w:r>
    </w:p>
    <w:p>
      <w:pPr>
        <w:pStyle w:val="BodyText"/>
      </w:pPr>
      <w:r>
        <w:t xml:space="preserve">Speeds were obtained from the local strain spikes of the axles and the measured wheelbase; they agree with the GPS speeds of the dataset authors within 1–2 %. For each crossing a linear baseline was fitted to quiet segments before and after the event. The strain was integrated over the whole time the truck was on the 605 m bridge plus 5 s at each end, and converted to</w:t>
      </w:r>
      <w:r>
        <w:t xml:space="preserve"> </w:t>
      </w:r>
      <m:oMath>
        <m:r>
          <m:rPr>
            <m:sty m:val="p"/>
          </m:rPr>
          <m:t>∫</m:t>
        </m:r>
        <m:r>
          <m:t>ε</m:t>
        </m:r>
        <m:r>
          <m:t> </m:t>
        </m:r>
        <m:r>
          <m:rPr>
            <m:sty m:val="p"/>
          </m:rPr>
          <m:t>d</m:t>
        </m:r>
        <m:r>
          <m:t>x</m:t>
        </m:r>
      </m:oMath>
      <w:r>
        <w:t xml:space="preserve"> </w:t>
      </w:r>
      <w:r>
        <w:t xml:space="preserve">with the speed. The noise of each integral was estimated from 80 vehicle-free records of the same length on the same day and channel. Three day-1 runs with two trucks on the bridge, and four passes without documented weights, were excluded. Fig. 6 shows three crossings with the integration windows.</w:t>
      </w:r>
    </w:p>
    <w:bookmarkEnd w:id="32"/>
    <w:bookmarkStart w:id="33" w:name="Xc5026d3f3e34fc0e794d48cf13cdfab8884b439"/>
    <w:p>
      <w:pPr>
        <w:pStyle w:val="Heading3"/>
      </w:pPr>
      <w:r>
        <w:t xml:space="preserve">4.2. Invariance, standard-load estimation and speed</w:t>
      </w:r>
    </w:p>
    <w:p>
      <w:pPr>
        <w:pStyle w:val="FirstParagraph"/>
      </w:pPr>
      <w:r>
        <w:t xml:space="preserve">Table 3 summarises the tests. On day 1 the per-gauge coefficient of variation of</w:t>
      </w:r>
      <w:r>
        <w:t xml:space="preserve"> </w:t>
      </w:r>
      <m:oMath>
        <m:r>
          <m:rPr>
            <m:sty m:val="p"/>
          </m:rPr>
          <m:t>∫</m:t>
        </m:r>
        <m:r>
          <m:t>ε</m:t>
        </m:r>
        <m:r>
          <m:t> </m:t>
        </m:r>
        <m:r>
          <m:rPr>
            <m:sty m:val="p"/>
          </m:rPr>
          <m:t>d</m:t>
        </m:r>
        <m:r>
          <m:t>x</m:t>
        </m:r>
        <m:r>
          <m:rPr>
            <m:sty m:val="p"/>
          </m:rPr>
          <m:t>/</m:t>
        </m:r>
        <m:r>
          <m:rPr>
            <m:sty m:val="p"/>
          </m:rPr>
          <m:t>G</m:t>
        </m:r>
        <m:r>
          <m:rPr>
            <m:sty m:val="p"/>
          </m:rPr>
          <m:t>V</m:t>
        </m:r>
        <m:r>
          <m:rPr>
            <m:sty m:val="p"/>
          </m:rPr>
          <m:t>W</m:t>
        </m:r>
      </m:oMath>
      <w:r>
        <w:t xml:space="preserve"> </w:t>
      </w:r>
      <w:r>
        <w:t xml:space="preserve">over seven crossings at 10–20 m/s was 5.8–13.5 % for the four wheel-path gauges and 5.6 % for their average. This scatter is explained by the measured integral noise (</w:t>
      </w:r>
      <m:oMath>
        <m:sSup>
          <m:e>
            <m:r>
              <m:t>χ</m:t>
            </m:r>
          </m:e>
          <m:sup>
            <m:r>
              <m:t>2</m:t>
            </m:r>
          </m:sup>
        </m:sSup>
      </m:oMath>
      <w:r>
        <w:t xml:space="preserve"> </w:t>
      </w:r>
      <w:r>
        <w:t xml:space="preserve">p = 0.14–0.60 per gauge). The gauge common to both days gave</w:t>
      </w:r>
      <w:r>
        <w:t xml:space="preserve"> </w:t>
      </w:r>
      <m:oMath>
        <m:r>
          <m:rPr>
            <m:sty m:val="p"/>
          </m:rPr>
          <m:t>−</m:t>
        </m:r>
        <m:r>
          <m:t>2.18</m:t>
        </m:r>
        <m:r>
          <m:rPr>
            <m:sty m:val="p"/>
          </m:rPr>
          <m:t>±</m:t>
        </m:r>
        <m:r>
          <m:t>0.09</m:t>
        </m:r>
      </m:oMath>
      <w:r>
        <w:t xml:space="preserve"> </w:t>
      </w:r>
      <w:r>
        <w:t xml:space="preserve">µε m/t on day 1 and</w:t>
      </w:r>
      <w:r>
        <w:t xml:space="preserve"> </w:t>
      </w:r>
      <m:oMath>
        <m:r>
          <m:rPr>
            <m:sty m:val="p"/>
          </m:rPr>
          <m:t>−</m:t>
        </m:r>
        <m:r>
          <m:t>2.12</m:t>
        </m:r>
        <m:r>
          <m:rPr>
            <m:sty m:val="p"/>
          </m:rPr>
          <m:t>±</m:t>
        </m:r>
        <m:r>
          <m:t>0.25</m:t>
        </m:r>
      </m:oMath>
      <w:r>
        <w:t xml:space="preserve"> </w:t>
      </w:r>
      <w:r>
        <w:t xml:space="preserve">µε m/t on day 2, although trucks, axle configurations and speeds differed (Fig. 7). On day 2 the 5-axle and 3-axle trucks gave the same constant within noise: their ratio was 0.999 ± 0.140 for the gauge average and 1.010 ± 0.115 for the best gauge. This is the axle-configuration independence that Eq. (2) predicts.</w:t>
      </w:r>
    </w:p>
    <w:p>
      <w:pPr>
        <w:pStyle w:val="BodyText"/>
      </w:pPr>
      <w:r>
        <w:rPr>
          <w:bCs/>
          <w:b/>
        </w:rPr>
        <w:t xml:space="preserve">Table 3.</w:t>
      </w:r>
      <w:r>
        <w:t xml:space="preserve"> </w:t>
      </w:r>
      <w:r>
        <w:t xml:space="preserve">Field tests on the NOR-BWIM records (lane A unless stated; ± one standard error).</w:t>
      </w:r>
    </w:p>
    <w:tbl>
      <w:tblPr>
        <w:tblStyle w:val="Table"/>
        <w:tblW w:type="pct" w:w="5000"/>
        <w:tblLook w:firstRow="1" w:lastRow="0" w:firstColumn="0" w:lastColumn="0" w:noHBand="0" w:noVBand="0" w:val="0020"/>
        <w:jc w:val="start"/>
        <w:tblBorders>
          <w:top w:val="single" w:sz="8" w:space="0" w:color="000000"/>
          <w:left w:val="nil"/>
          <w:bottom w:val="single" w:sz="8" w:space="0" w:color="000000"/>
          <w:right w:val="nil"/>
          <w:insideH w:val="nil"/>
          <w:insideV w:val="nil"/>
        </w:tblBorders>
      </w:tblPr>
      <w:tblGrid>
        <w:gridCol w:w="2899"/>
        <w:gridCol w:w="3463"/>
        <w:gridCol w:w="2706"/>
      </w:tblGrid>
      <w:tr>
        <w:trPr>
          <w:tblHeader w:val="true"/>
        </w:trPr>
        <w:tc>
          <w:tcPr>
            <w:tcW w:type="dxa" w:w="2899"/>
            <w:tcBorders>
              <w:top w:val="nil"/>
              <w:left w:val="nil"/>
              <w:bottom w:val="single" w:sz="6" w:space="0" w:color="000000"/>
              <w:right w:val="nil"/>
            </w:tcBorders>
          </w:tcPr>
          <w:p>
            <w:pPr>
              <w:pStyle w:val="Compact"/>
              <w:jc w:val="left"/>
            </w:pPr>
            <w:r>
              <w:t xml:space="preserve">Test</w:t>
            </w:r>
          </w:p>
        </w:tc>
        <w:tc>
          <w:tcPr>
            <w:tcW w:type="dxa" w:w="3463"/>
            <w:tcBorders>
              <w:top w:val="nil"/>
              <w:left w:val="nil"/>
              <w:bottom w:val="single" w:sz="6" w:space="0" w:color="000000"/>
              <w:right w:val="nil"/>
            </w:tcBorders>
          </w:tcPr>
          <w:p>
            <w:pPr>
              <w:pStyle w:val="Compact"/>
              <w:jc w:val="left"/>
            </w:pPr>
            <w:r>
              <w:t xml:space="preserve">Quantity</w:t>
            </w:r>
          </w:p>
        </w:tc>
        <w:tc>
          <w:tcPr>
            <w:tcW w:type="dxa" w:w="2706"/>
            <w:tcBorders>
              <w:top w:val="nil"/>
              <w:left w:val="nil"/>
              <w:bottom w:val="single" w:sz="6" w:space="0" w:color="000000"/>
              <w:right w:val="nil"/>
            </w:tcBorders>
          </w:tcPr>
          <w:p>
            <w:pPr>
              <w:pStyle w:val="Compact"/>
              <w:jc w:val="left"/>
            </w:pPr>
            <w:r>
              <w:t xml:space="preserve">Result</w:t>
            </w:r>
          </w:p>
        </w:tc>
      </w:tr>
      <w:tr>
        <w:tc>
          <w:tcPr>
            <w:tcW w:type="dxa" w:w="2899"/>
          </w:tcPr>
          <w:p>
            <w:pPr>
              <w:pStyle w:val="Compact"/>
              <w:jc w:val="left"/>
            </w:pPr>
            <w:r>
              <w:t xml:space="preserve">Invariance, day 1 (3-axle, 10–20 m/s, n = 7)</w:t>
            </w:r>
          </w:p>
        </w:tc>
        <w:tc>
          <w:tcPr>
            <w:tcW w:type="dxa" w:w="3463"/>
          </w:tcPr>
          <w:p>
            <w:pPr>
              <w:pStyle w:val="Compact"/>
              <w:jc w:val="left"/>
            </w:pPr>
            <w:r>
              <w:t xml:space="preserve">CV of</w:t>
            </w:r>
            <w:r>
              <w:t xml:space="preserve"> </w:t>
            </w:r>
            <m:oMath>
              <m:r>
                <m:rPr>
                  <m:sty m:val="p"/>
                </m:rPr>
                <m:t>∫</m:t>
              </m:r>
              <m:r>
                <m:t>ε</m:t>
              </m:r>
              <m:r>
                <m:t> </m:t>
              </m:r>
              <m:r>
                <m:rPr>
                  <m:sty m:val="p"/>
                </m:rPr>
                <m:t>d</m:t>
              </m:r>
              <m:r>
                <m:t>x</m:t>
              </m:r>
              <m:r>
                <m:rPr>
                  <m:sty m:val="p"/>
                </m:rPr>
                <m:t>/</m:t>
              </m:r>
              <m:r>
                <m:rPr>
                  <m:sty m:val="p"/>
                </m:rPr>
                <m:t>G</m:t>
              </m:r>
              <m:r>
                <m:rPr>
                  <m:sty m:val="p"/>
                </m:rPr>
                <m:t>V</m:t>
              </m:r>
              <m:r>
                <m:rPr>
                  <m:sty m:val="p"/>
                </m:rPr>
                <m:t>W</m:t>
              </m:r>
            </m:oMath>
            <w:r>
              <w:t xml:space="preserve">, gauge average (noise-expected)</w:t>
            </w:r>
          </w:p>
        </w:tc>
        <w:tc>
          <w:tcPr>
            <w:tcW w:type="dxa" w:w="2706"/>
          </w:tcPr>
          <w:p>
            <w:pPr>
              <w:pStyle w:val="Compact"/>
              <w:jc w:val="left"/>
            </w:pPr>
            <w:r>
              <w:t xml:space="preserve">5.6 % (6.1 %)</w:t>
            </w:r>
          </w:p>
        </w:tc>
      </w:tr>
      <w:tr>
        <w:tc>
          <w:tcPr>
            <w:tcW w:type="dxa" w:w="2899"/>
          </w:tcPr>
          <w:p>
            <w:pPr>
              <w:pStyle w:val="Compact"/>
              <w:jc w:val="left"/>
            </w:pPr>
            <w:r>
              <w:t xml:space="preserve">Invariance, day 2 (3- and 5-axle, 13–28 m/s, n = 8)</w:t>
            </w:r>
          </w:p>
        </w:tc>
        <w:tc>
          <w:tcPr>
            <w:tcW w:type="dxa" w:w="3463"/>
          </w:tcPr>
          <w:p>
            <w:pPr>
              <w:pStyle w:val="Compact"/>
              <w:jc w:val="left"/>
            </w:pPr>
            <w:r>
              <w:t xml:space="preserve">CV, gauge average (noise-expected)</w:t>
            </w:r>
          </w:p>
        </w:tc>
        <w:tc>
          <w:tcPr>
            <w:tcW w:type="dxa" w:w="2706"/>
          </w:tcPr>
          <w:p>
            <w:pPr>
              <w:pStyle w:val="Compact"/>
              <w:jc w:val="left"/>
            </w:pPr>
            <w:r>
              <w:t xml:space="preserve">14.4 % (20.2 %)</w:t>
            </w:r>
          </w:p>
        </w:tc>
      </w:tr>
      <w:tr>
        <w:tc>
          <w:tcPr>
            <w:tcW w:type="dxa" w:w="2899"/>
          </w:tcPr>
          <w:p>
            <w:pPr>
              <w:pStyle w:val="Compact"/>
              <w:jc w:val="left"/>
            </w:pPr>
            <w:r>
              <w:t xml:space="preserve">Axle configuration, day 2</w:t>
            </w:r>
          </w:p>
        </w:tc>
        <w:tc>
          <w:tcPr>
            <w:tcW w:type="dxa" w:w="3463"/>
          </w:tcPr>
          <w:p>
            <w:pPr>
              <w:pStyle w:val="Compact"/>
              <w:jc w:val="left"/>
            </w:pPr>
            <m:oMath>
              <m:r>
                <m:t>C</m:t>
              </m:r>
            </m:oMath>
            <w:r>
              <w:t xml:space="preserve">(5-axle)/</w:t>
            </w:r>
            <m:oMath>
              <m:r>
                <m:t>C</m:t>
              </m:r>
            </m:oMath>
            <w:r>
              <w:t xml:space="preserve">(3-axle), average; best gauge</w:t>
            </w:r>
          </w:p>
        </w:tc>
        <w:tc>
          <w:tcPr>
            <w:tcW w:type="dxa" w:w="2706"/>
          </w:tcPr>
          <w:p>
            <w:pPr>
              <w:pStyle w:val="Compact"/>
              <w:jc w:val="left"/>
            </w:pPr>
            <w:r>
              <w:t xml:space="preserve">0.999 ± 0.140; 1.010 ± 0.115</w:t>
            </w:r>
          </w:p>
        </w:tc>
      </w:tr>
      <w:tr>
        <w:tc>
          <w:tcPr>
            <w:tcW w:type="dxa" w:w="2899"/>
          </w:tcPr>
          <w:p>
            <w:pPr>
              <w:pStyle w:val="Compact"/>
              <w:jc w:val="left"/>
            </w:pPr>
            <w:r>
              <w:t xml:space="preserve">SLM, one reference crossing, day 1</w:t>
            </w:r>
          </w:p>
        </w:tc>
        <w:tc>
          <w:tcPr>
            <w:tcW w:type="dxa" w:w="3463"/>
          </w:tcPr>
          <w:p>
            <w:pPr>
              <w:pStyle w:val="Compact"/>
              <w:jc w:val="left"/>
            </w:pPr>
            <w:r>
              <w:t xml:space="preserve">mean absolute error, same / other truck</w:t>
            </w:r>
          </w:p>
        </w:tc>
        <w:tc>
          <w:tcPr>
            <w:tcW w:type="dxa" w:w="2706"/>
          </w:tcPr>
          <w:p>
            <w:pPr>
              <w:pStyle w:val="Compact"/>
              <w:jc w:val="left"/>
            </w:pPr>
            <w:r>
              <w:t xml:space="preserve">7.0 % / 6.5 %</w:t>
            </w:r>
          </w:p>
        </w:tc>
      </w:tr>
      <w:tr>
        <w:tc>
          <w:tcPr>
            <w:tcW w:type="dxa" w:w="2899"/>
          </w:tcPr>
          <w:p>
            <w:pPr>
              <w:pStyle w:val="Compact"/>
              <w:jc w:val="left"/>
            </w:pPr>
            <w:r>
              <w:t xml:space="preserve">SLM, all runs of the 3-axle truck as reference, day 2</w:t>
            </w:r>
          </w:p>
        </w:tc>
        <w:tc>
          <w:tcPr>
            <w:tcW w:type="dxa" w:w="3463"/>
          </w:tcPr>
          <w:p>
            <w:pPr>
              <w:pStyle w:val="Compact"/>
              <w:jc w:val="left"/>
            </w:pPr>
            <w:r>
              <w:t xml:space="preserve">mean absolute error for the 5-axle truck</w:t>
            </w:r>
          </w:p>
        </w:tc>
        <w:tc>
          <w:tcPr>
            <w:tcW w:type="dxa" w:w="2706"/>
          </w:tcPr>
          <w:p>
            <w:pPr>
              <w:pStyle w:val="Compact"/>
              <w:jc w:val="left"/>
            </w:pPr>
            <w:r>
              <w:t xml:space="preserve">5.1 %</w:t>
            </w:r>
          </w:p>
        </w:tc>
      </w:tr>
      <w:tr>
        <w:tc>
          <w:tcPr>
            <w:tcW w:type="dxa" w:w="2899"/>
          </w:tcPr>
          <w:p>
            <w:pPr>
              <w:pStyle w:val="Compact"/>
              <w:jc w:val="left"/>
            </w:pPr>
            <w:r>
              <w:t xml:space="preserve">Speed, day 1</w:t>
            </w:r>
          </w:p>
        </w:tc>
        <w:tc>
          <w:tcPr>
            <w:tcW w:type="dxa" w:w="3463"/>
          </w:tcPr>
          <w:p>
            <w:pPr>
              <w:pStyle w:val="Compact"/>
              <w:jc w:val="left"/>
            </w:pPr>
            <w:r>
              <w:t xml:space="preserve">slope of</w:t>
            </w:r>
            <w:r>
              <w:t xml:space="preserve"> </w:t>
            </w:r>
            <m:oMath>
              <m:r>
                <m:t>C</m:t>
              </m:r>
            </m:oMath>
            <w:r>
              <w:t xml:space="preserve"> </w:t>
            </w:r>
            <w:r>
              <w:t xml:space="preserve">per 10 m/s, average</w:t>
            </w:r>
          </w:p>
        </w:tc>
        <w:tc>
          <w:tcPr>
            <w:tcW w:type="dxa" w:w="2706"/>
          </w:tcPr>
          <w:p>
            <w:pPr>
              <w:pStyle w:val="Compact"/>
              <w:jc w:val="left"/>
            </w:pPr>
            <w:r>
              <w:t xml:space="preserve">−3.6 ± 5.8 %</w:t>
            </w:r>
          </w:p>
        </w:tc>
      </w:tr>
      <w:tr>
        <w:tc>
          <w:tcPr>
            <w:tcW w:type="dxa" w:w="2899"/>
          </w:tcPr>
          <w:p>
            <w:pPr>
              <w:pStyle w:val="Compact"/>
              <w:jc w:val="left"/>
            </w:pPr>
            <w:r>
              <w:t xml:space="preserve">Superposition (5-axle + 3-axle in line, 52.7 t)</w:t>
            </w:r>
          </w:p>
        </w:tc>
        <w:tc>
          <w:tcPr>
            <w:tcW w:type="dxa" w:w="3463"/>
          </w:tcPr>
          <w:p>
            <w:pPr>
              <w:pStyle w:val="Compact"/>
              <w:jc w:val="left"/>
            </w:pPr>
            <w:r>
              <w:t xml:space="preserve">measured / sum of single-truck predictions</w:t>
            </w:r>
          </w:p>
        </w:tc>
        <w:tc>
          <w:tcPr>
            <w:tcW w:type="dxa" w:w="2706"/>
          </w:tcPr>
          <w:p>
            <w:pPr>
              <w:pStyle w:val="Compact"/>
              <w:jc w:val="left"/>
            </w:pPr>
            <w:r>
              <w:t xml:space="preserve">0.93 ± 0.11; 0.92 ± 0.11</w:t>
            </w:r>
          </w:p>
        </w:tc>
      </w:tr>
      <w:tr>
        <w:tc>
          <w:tcPr>
            <w:tcW w:type="dxa" w:w="2899"/>
          </w:tcPr>
          <w:p>
            <w:pPr>
              <w:pStyle w:val="Compact"/>
              <w:jc w:val="left"/>
            </w:pPr>
            <w:r>
              <w:t xml:space="preserve">Lane</w:t>
            </w:r>
          </w:p>
        </w:tc>
        <w:tc>
          <w:tcPr>
            <w:tcW w:type="dxa" w:w="3463"/>
          </w:tcPr>
          <w:p>
            <w:pPr>
              <w:pStyle w:val="Compact"/>
              <w:jc w:val="left"/>
            </w:pPr>
            <m:oMath>
              <m:sSub>
                <m:e>
                  <m:r>
                    <m:t>C</m:t>
                  </m:r>
                </m:e>
                <m:sub>
                  <m:r>
                    <m:t>B</m:t>
                  </m:r>
                </m:sub>
              </m:sSub>
              <m:r>
                <m:rPr>
                  <m:sty m:val="p"/>
                </m:rPr>
                <m:t>/</m:t>
              </m:r>
              <m:sSub>
                <m:e>
                  <m:r>
                    <m:t>C</m:t>
                  </m:r>
                </m:e>
                <m:sub>
                  <m:r>
                    <m:t>A</m:t>
                  </m:r>
                </m:sub>
              </m:sSub>
            </m:oMath>
            <w:r>
              <w:t xml:space="preserve">, average (range of gauges)</w:t>
            </w:r>
          </w:p>
        </w:tc>
        <w:tc>
          <w:tcPr>
            <w:tcW w:type="dxa" w:w="2706"/>
          </w:tcPr>
          <w:p>
            <w:pPr>
              <w:pStyle w:val="Compact"/>
              <w:jc w:val="left"/>
            </w:pPr>
            <w:r>
              <w:t xml:space="preserve">0.81 ± 0.09 (0.66–1.02)</w:t>
            </w:r>
          </w:p>
        </w:tc>
      </w:tr>
      <w:tr>
        <w:tc>
          <w:tcPr>
            <w:tcW w:type="dxa" w:w="2899"/>
          </w:tcPr>
          <w:p>
            <w:pPr>
              <w:pStyle w:val="Compact"/>
              <w:jc w:val="left"/>
            </w:pPr>
            <w:r>
              <w:t xml:space="preserve">Gauges at one section</w:t>
            </w:r>
          </w:p>
        </w:tc>
        <w:tc>
          <w:tcPr>
            <w:tcW w:type="dxa" w:w="3463"/>
          </w:tcPr>
          <w:p>
            <w:pPr>
              <w:pStyle w:val="Compact"/>
              <w:jc w:val="left"/>
            </w:pPr>
            <w:r>
              <w:t xml:space="preserve">integral ratio to the reference gauge: model; measured</w:t>
            </w:r>
          </w:p>
        </w:tc>
        <w:tc>
          <w:tcPr>
            <w:tcW w:type="dxa" w:w="2706"/>
          </w:tcPr>
          <w:p>
            <w:pPr>
              <w:pStyle w:val="Compact"/>
              <w:jc w:val="left"/>
            </w:pPr>
            <w:r>
              <w:t xml:space="preserve">0.978–1.003; 0.68–2.71</w:t>
            </w:r>
          </w:p>
        </w:tc>
      </w:tr>
    </w:tbl>
    <w:p>
      <w:pPr>
        <w:pStyle w:val="BodyText"/>
      </w:pPr>
      <w:r>
        <w:t xml:space="preserve">As a standard-load estimator with a single reference crossing, the integral predicted the gross weight of the other day-1 crossings with mean absolute errors of 7.0 % (same truck) and 6.5 % (other truck) for the gauge average. Calibrating on all runs of the 3-axle truck and weighing the 5-axle truck gave 5.1 %; the reverse direction gave 17.1 %. On day 2 the single-reference errors were larger, 17.8 % for the average, because the integral noise per crossing was 3–4 times higher (Section 4.4). No speed effect was resolved between 10 and 28 m/s: the slope was</w:t>
      </w:r>
      <w:r>
        <w:t xml:space="preserve"> </w:t>
      </w:r>
      <m:oMath>
        <m:r>
          <m:rPr>
            <m:sty m:val="p"/>
          </m:rPr>
          <m:t>−</m:t>
        </m:r>
        <m:r>
          <m:t>3.6</m:t>
        </m:r>
        <m:r>
          <m:rPr>
            <m:sty m:val="p"/>
          </m:rPr>
          <m:t>±</m:t>
        </m:r>
        <m:r>
          <m:t>5.8</m:t>
        </m:r>
      </m:oMath>
      <w:r>
        <w:t xml:space="preserve"> </w:t>
      </w:r>
      <w:r>
        <w:t xml:space="preserve">% per 10 m/s on day 1 and</w:t>
      </w:r>
      <w:r>
        <w:t xml:space="preserve"> </w:t>
      </w:r>
      <m:oMath>
        <m:r>
          <m:rPr>
            <m:sty m:val="p"/>
          </m:rPr>
          <m:t>+</m:t>
        </m:r>
        <m:r>
          <m:t>5.2</m:t>
        </m:r>
        <m:r>
          <m:rPr>
            <m:sty m:val="p"/>
          </m:rPr>
          <m:t>±</m:t>
        </m:r>
        <m:r>
          <m:t>13.0</m:t>
        </m:r>
      </m:oMath>
      <w:r>
        <w:t xml:space="preserve"> </w:t>
      </w:r>
      <w:r>
        <w:t xml:space="preserve">% on day 2. The local axle spikes and the deck vibration after exit integrate out (Fig. 6).</w:t>
      </w:r>
    </w:p>
    <w:bookmarkEnd w:id="33"/>
    <w:bookmarkStart w:id="34" w:name="Xcf42681636017c7fd8b43ff12c6e75c37ebb2c8"/>
    <w:p>
      <w:pPr>
        <w:pStyle w:val="Heading3"/>
      </w:pPr>
      <w:r>
        <w:t xml:space="preserve">4.3. Superposition, lane and the limits of a beam model</w:t>
      </w:r>
    </w:p>
    <w:p>
      <w:pPr>
        <w:pStyle w:val="FirstParagraph"/>
      </w:pPr>
      <w:r>
        <w:t xml:space="preserve">The two in-line two-truck events gave integrals of 0.93 ± 0.11 and 0.92 ± 0.11 of the sum predicted from the single-truck constants. Superposition therefore holds within uncertainty, and the combined weight of 52.7 t was recovered as 48.8 t and 48.5 t (−7.3 % and −7.9 %). The constant belongs to the load path, as Eq. (2) states. Return trips of the same trucks in the far lane gave 0.81 ± 0.09 of the lane-A constant for the gauge average, and 0.66–1.02 for individual gauges. Each lane needs its own constant, as found on another continuous girder [42].</w:t>
      </w:r>
    </w:p>
    <w:p>
      <w:pPr>
        <w:pStyle w:val="BodyText"/>
      </w:pPr>
      <w:r>
        <w:t xml:space="preserve">Gauges a few metres apart at one cross-section had constants differing by up to 2.7 times. The 12 day-1 channels ranged from 0.68 to 2.71 times the reference gauge, and on day 2, in lane B, the ratios to the reference gauge were 1.82 ± 0.10 and 2.41 ± 0.10. A one-dimensional beam model predicts 0.978–1.003 for all of them. The difference is not noise, and it is unlikely to be gauge-factor spread, because the ratios change with the lane (about 3.2 in lane A against 1.8 in lane B for the same pair). The deck-soffit gauges respond to slab bending and shear lag as well as to girder bending. The integral is invariant for every gauge separately, but its value cannot be predicted from a beam model. On such girders the constant must come from a weighed reference vehicle (SLM) or from a three-dimensional model; a beam-model BPM would fail.</w:t>
      </w:r>
    </w:p>
    <w:p>
      <w:pPr>
        <w:pStyle w:val="BodyText"/>
      </w:pPr>
      <w:r>
        <w:t xml:space="preserve">A beam model of the girder (Euler–Bernoulli, parabolic haunch,</w:t>
      </w:r>
      <w:r>
        <w:t xml:space="preserve"> </w:t>
      </w:r>
      <m:oMath>
        <m:r>
          <m:t>I</m:t>
        </m:r>
        <m:r>
          <m:rPr>
            <m:sty m:val="p"/>
          </m:rPr>
          <m:t>∝</m:t>
        </m:r>
        <m:sSup>
          <m:e>
            <m:r>
              <m:t>h</m:t>
            </m:r>
          </m:e>
          <m:sup>
            <m:r>
              <m:t>2</m:t>
            </m:r>
          </m:sup>
        </m:sSup>
      </m:oMath>
      <w:r>
        <w:t xml:space="preserve">) reproduces the global shape of the strain history (</w:t>
      </w:r>
      <m:oMath>
        <m:sSup>
          <m:e>
            <m:r>
              <m:t>r</m:t>
            </m:r>
          </m:e>
          <m:sup>
            <m:r>
              <m:t>2</m:t>
            </m:r>
          </m:sup>
        </m:sSup>
      </m:oMath>
      <w:r>
        <w:t xml:space="preserve"> </w:t>
      </w:r>
      <w:r>
        <w:t xml:space="preserve">= 0.79–0.94 for the documented single-truck crossings). It places the zero-moment points of the uniform-load moment diagram in span 2 at 121.6 m and 190.8 m, about 35 m from the gauges on either side. The gauges are therefore not blind; their strain constant is 0.69 of the largest on the girder, which is found at an interior pier (0.56–0.93 across the stiffness laws tested). Only about half of the integral comes net from the instrumented span: its net-to-positive ratio is 0.51. The adjacent spans contribute −26 % and −66 % of the net integral and span 4 adds +23 %, so the whole 605 m crossing must be integrated.</w:t>
      </w:r>
    </w:p>
    <w:bookmarkEnd w:id="34"/>
    <w:bookmarkStart w:id="35" w:name="noise-and-its-implication"/>
    <w:p>
      <w:pPr>
        <w:pStyle w:val="Heading3"/>
      </w:pPr>
      <w:r>
        <w:t xml:space="preserve">4.4. Noise and its implication</w:t>
      </w:r>
    </w:p>
    <w:p>
      <w:pPr>
        <w:pStyle w:val="FirstParagraph"/>
      </w:pPr>
      <w:r>
        <w:t xml:space="preserve">The day-2 records carry low-frequency strain wander of about 0.1–0.3 µε below 0.2 Hz, inside the band of the global response. At the reference gauge the integral noise per crossing was 5.5 µε m on day 1 and 18.8 µε m on day 2, against signals of 50–130 µε m. For one crossing of a 25 t truck this corresponds to a weight error of 10 % (day 1) or 35 % (day 2), and longer or quadratic baselines did not reduce it. This is the residual-offset term of Eq. (12) in strain form: a slow disturbance integrated over a long window. Combining the beam-model shape with the measured noise, a gauge within ±12 m of a zero-moment point would see its constant fall below half the mid-span value, so its weight error would at least double. If the wander is common to gauges whose constants differ, the zero-sum combination of Eq. (14) would remove it. The constants at one section here differ by factors of 2–3, but whether the wander is common-mode was not tested.</w:t>
      </w:r>
    </w:p>
    <w:p>
      <w:pPr>
        <w:pStyle w:val="BodyText"/>
      </w:pPr>
      <w:r>
        <w:t xml:space="preserve">The field data confirm invariance to axle configuration, the standard-load estimator, speed independence and superposition on a continuous girder under moving load, and show that lane, local deck action and slow drift limit the accuracy. The tests rest on two axle counts, four trucks and driver-reported weights on day 1, and the gauge calibration factors and exact positions are not published, so absolute constants cannot be checked.</w:t>
      </w:r>
    </w:p>
    <w:bookmarkEnd w:id="35"/>
    <w:bookmarkEnd w:id="36"/>
    <w:bookmarkStart w:id="42" w:name="X80959e8cf6f992baeb70ddee111b40ab53e3716"/>
    <w:p>
      <w:pPr>
        <w:pStyle w:val="Heading2"/>
      </w:pPr>
      <w:r>
        <w:t xml:space="preserve">5. In-service box girder: identifiability and channel design</w:t>
      </w:r>
    </w:p>
    <w:p>
      <w:pPr>
        <w:pStyle w:val="FirstParagraph"/>
      </w:pPr>
      <w:r>
        <w:t xml:space="preserve">This section applies the criteria to an in-service three-span box girder with static acceptance-test data. The question is how far the observability of each installed gauge is determined by the available data, which channel and position would be robust, and which measurements would decide between the admissible models.</w:t>
      </w:r>
    </w:p>
    <w:bookmarkStart w:id="37" w:name="bridge-data-and-model"/>
    <w:p>
      <w:pPr>
        <w:pStyle w:val="Heading3"/>
      </w:pPr>
      <w:r>
        <w:t xml:space="preserve">5.1. Bridge, data and model</w:t>
      </w:r>
    </w:p>
    <w:p>
      <w:pPr>
        <w:pStyle w:val="FirstParagraph"/>
      </w:pPr>
      <w:r>
        <w:t xml:space="preserve">The Cầu Mây Bridge carries provincial road DT389 over the Kinh Mon River in Hai Duong, Viet Nam. Its main bridge is a three-span continuous prestressed concrete box girder of 55 + 90 + 55 m built by balanced cantilever (</w:t>
      </w:r>
      <m:oMath>
        <m:r>
          <m:t>β</m:t>
        </m:r>
        <m:r>
          <m:rPr>
            <m:sty m:val="p"/>
          </m:rPr>
          <m:t>=</m:t>
        </m:r>
        <m:r>
          <m:t>1.636</m:t>
        </m:r>
      </m:oMath>
      <w:r>
        <w:t xml:space="preserve">). The depth varies from 2.40 m at mid-span to 5.40 m at the piers, with design second moments of 5.482 m⁴ and 59.61 m⁴ and</w:t>
      </w:r>
      <w:r>
        <w:t xml:space="preserve"> </w:t>
      </w:r>
      <m:oMath>
        <m:sSub>
          <m:e>
            <m:r>
              <m:t>E</m:t>
            </m:r>
          </m:e>
          <m:sub>
            <m:r>
              <m:t>c</m:t>
            </m:r>
          </m:sub>
        </m:sSub>
        <m:r>
          <m:rPr>
            <m:sty m:val="p"/>
          </m:rPr>
          <m:t>=</m:t>
        </m:r>
        <m:r>
          <m:t>36</m:t>
        </m:r>
        <m:r>
          <m:t> </m:t>
        </m:r>
        <m:r>
          <m:t>057</m:t>
        </m:r>
      </m:oMath>
      <w:r>
        <w:t xml:space="preserve"> </w:t>
      </w:r>
      <w:r>
        <w:t xml:space="preserve">MPa. The inner piers are monolithic with the girder; the end piers carry pot bearings. In the June 2020 acceptance test, four trucks stood in side span N8 and six in centre span N7. The trucks were three-axle, nominally 5 + 10 + 10 t, with a weighed mean of 25.06 t. Dial gauges read the peak deflection under centric and eccentric transverse positions. Gauge N8 is at 0.4L of the side span and N7 at mid main span. The mean of six readings is 5.55 mm at N8 and 15.42 mm at N7.</w:t>
      </w:r>
    </w:p>
    <w:p>
      <w:pPr>
        <w:pStyle w:val="BodyText"/>
      </w:pPr>
      <w:r>
        <w:t xml:space="preserve">The girder was modelled with Euler–Bernoulli elements, a parabolic depth variation over</w:t>
      </w:r>
      <w:r>
        <w:t xml:space="preserve"> </w:t>
      </w:r>
      <m:oMath>
        <m:sSub>
          <m:e>
            <m:r>
              <m:t>L</m:t>
            </m:r>
          </m:e>
          <m:sub>
            <m:r>
              <m:t>v</m:t>
            </m:r>
          </m:sub>
        </m:sSub>
        <m:r>
          <m:rPr>
            <m:sty m:val="p"/>
          </m:rPr>
          <m:t>=</m:t>
        </m:r>
        <m:r>
          <m:t>44</m:t>
        </m:r>
      </m:oMath>
      <w:r>
        <w:t xml:space="preserve"> </w:t>
      </w:r>
      <w:r>
        <w:t xml:space="preserve">m from each inner pier and</w:t>
      </w:r>
      <w:r>
        <w:t xml:space="preserve"> </w:t>
      </w:r>
      <m:oMath>
        <m:r>
          <m:t>I</m:t>
        </m:r>
        <m:r>
          <m:rPr>
            <m:sty m:val="p"/>
          </m:rPr>
          <m:t>∝</m:t>
        </m:r>
        <m:sSup>
          <m:e>
            <m:r>
              <m:t>h</m:t>
            </m:r>
          </m:e>
          <m:sup>
            <m:r>
              <m:t>2.943</m:t>
            </m:r>
          </m:sup>
        </m:sSup>
      </m:oMath>
      <w:r>
        <w:t xml:space="preserve"> </w:t>
      </w:r>
      <w:r>
        <w:t xml:space="preserve">fitted to the two design sections. Each inner pier is a rotational spring</w:t>
      </w:r>
      <w:r>
        <w:t xml:space="preserve"> </w:t>
      </w:r>
      <m:oMath>
        <m:r>
          <m:t>k</m:t>
        </m:r>
      </m:oMath>
      <w:r>
        <w:t xml:space="preserve">. The depth law and the pier dimensions are not documented, so</w:t>
      </w:r>
      <w:r>
        <w:t xml:space="preserve"> </w:t>
      </w:r>
      <m:oMath>
        <m:sSub>
          <m:e>
            <m:r>
              <m:t>L</m:t>
            </m:r>
          </m:e>
          <m:sub>
            <m:r>
              <m:t>v</m:t>
            </m:r>
          </m:sub>
        </m:sSub>
      </m:oMath>
      <w:r>
        <w:t xml:space="preserve"> </w:t>
      </w:r>
      <w:r>
        <w:t xml:space="preserve">= 40 and 45 m, exponents of 2.5 and 3.2, and a ±1.5 m rigid pier zone were tested as model-form variants. Three reference calibrations are reported. Calibration A is the design model (</w:t>
      </w:r>
      <m:oMath>
        <m:r>
          <m:t>α</m:t>
        </m:r>
        <m:r>
          <m:rPr>
            <m:sty m:val="p"/>
          </m:rPr>
          <m:t>=</m:t>
        </m:r>
        <m:r>
          <m:t>1</m:t>
        </m:r>
      </m:oMath>
      <w:r>
        <w:t xml:space="preserve">,</w:t>
      </w:r>
      <w:r>
        <w:t xml:space="preserve"> </w:t>
      </w:r>
      <m:oMath>
        <m:r>
          <m:t>k</m:t>
        </m:r>
        <m:r>
          <m:rPr>
            <m:sty m:val="p"/>
          </m:rPr>
          <m:t>=</m:t>
        </m:r>
        <m:r>
          <m:t>2.75</m:t>
        </m:r>
        <m:r>
          <m:rPr>
            <m:sty m:val="p"/>
          </m:rPr>
          <m:t>×</m:t>
        </m:r>
        <m:sSup>
          <m:e>
            <m:r>
              <m:t>10</m:t>
            </m:r>
          </m:e>
          <m:sup>
            <m:r>
              <m:t>7</m:t>
            </m:r>
          </m:sup>
        </m:sSup>
      </m:oMath>
      <w:r>
        <w:t xml:space="preserve"> </w:t>
      </w:r>
      <w:r>
        <w:t xml:space="preserve">kN m/rad fitted to the designer’s FE output); it misfits the measurements by +2.4 % at N8 and +12.3 % at N7. Calibration A′ rescales A to the measurements (</w:t>
      </w:r>
      <m:oMath>
        <m:r>
          <m:t>α</m:t>
        </m:r>
        <m:r>
          <m:rPr>
            <m:sty m:val="p"/>
          </m:rPr>
          <m:t>=</m:t>
        </m:r>
        <m:r>
          <m:t>1.088</m:t>
        </m:r>
      </m:oMath>
      <w:r>
        <w:t xml:space="preserve">; misfits −4.6 % and +5.0 %). Calibration B is the joint least-squares fit (</w:t>
      </w:r>
      <m:oMath>
        <m:r>
          <m:t>α</m:t>
        </m:r>
        <m:r>
          <m:rPr>
            <m:sty m:val="p"/>
          </m:rPr>
          <m:t>=</m:t>
        </m:r>
        <m:r>
          <m:t>0.716</m:t>
        </m:r>
      </m:oMath>
      <w:r>
        <w:t xml:space="preserve">,</w:t>
      </w:r>
      <w:r>
        <w:t xml:space="preserve"> </w:t>
      </w:r>
      <m:oMath>
        <m:r>
          <m:t>k</m:t>
        </m:r>
        <m:r>
          <m:rPr>
            <m:sty m:val="p"/>
          </m:rPr>
          <m:t>=</m:t>
        </m:r>
        <m:r>
          <m:t>1.2</m:t>
        </m:r>
        <m:r>
          <m:rPr>
            <m:sty m:val="p"/>
          </m:rPr>
          <m:t>×</m:t>
        </m:r>
        <m:sSup>
          <m:e>
            <m:r>
              <m:t>10</m:t>
            </m:r>
          </m:e>
          <m:sup>
            <m:r>
              <m:t>8</m:t>
            </m:r>
          </m:sup>
        </m:sSup>
      </m:oMath>
      <w:r>
        <w:t xml:space="preserve"> </w:t>
      </w:r>
      <w:r>
        <w:t xml:space="preserve">kN m/rad; misfits −2.8 % and +2.9 %).</w:t>
      </w:r>
    </w:p>
    <w:bookmarkEnd w:id="37"/>
    <w:bookmarkStart w:id="38" w:name="what-the-static-data-identify"/>
    <w:p>
      <w:pPr>
        <w:pStyle w:val="Heading3"/>
      </w:pPr>
      <w:r>
        <w:t xml:space="preserve">5.2. What the static data identify</w:t>
      </w:r>
    </w:p>
    <w:p>
      <w:pPr>
        <w:pStyle w:val="FirstParagraph"/>
      </w:pPr>
      <w:r>
        <w:t xml:space="preserve">The ratio of the measured-to-model ratios at N8 and N7 never reaches 1. It falls from 1.126 at</w:t>
      </w:r>
      <w:r>
        <w:t xml:space="preserve"> </w:t>
      </w:r>
      <m:oMath>
        <m:r>
          <m:t>κ</m:t>
        </m:r>
        <m:r>
          <m:rPr>
            <m:sty m:val="p"/>
          </m:rPr>
          <m:t>=</m:t>
        </m:r>
        <m:sSup>
          <m:e>
            <m:r>
              <m:t>10</m:t>
            </m:r>
          </m:e>
          <m:sup>
            <m:r>
              <m:t>7</m:t>
            </m:r>
          </m:sup>
        </m:sSup>
      </m:oMath>
      <w:r>
        <w:t xml:space="preserve"> </w:t>
      </w:r>
      <w:r>
        <w:t xml:space="preserve">kN m/rad to a minimum of 1.058 at</w:t>
      </w:r>
      <w:r>
        <w:t xml:space="preserve"> </w:t>
      </w:r>
      <m:oMath>
        <m:r>
          <m:t>κ</m:t>
        </m:r>
        <m:r>
          <m:rPr>
            <m:sty m:val="p"/>
          </m:rPr>
          <m:t>=</m:t>
        </m:r>
        <m:r>
          <m:t>1.68</m:t>
        </m:r>
        <m:r>
          <m:rPr>
            <m:sty m:val="p"/>
          </m:rPr>
          <m:t>×</m:t>
        </m:r>
        <m:sSup>
          <m:e>
            <m:r>
              <m:t>10</m:t>
            </m:r>
          </m:e>
          <m:sup>
            <m:r>
              <m:t>8</m:t>
            </m:r>
          </m:sup>
        </m:sSup>
      </m:oMath>
      <w:r>
        <w:t xml:space="preserve"> </w:t>
      </w:r>
      <w:r>
        <w:t xml:space="preserve">kN m/rad, which is calibration B, and returns to 1.091 for fixed piers (Fig. 9a). The Fisher information of the two readings is singular at that minimum. The model-form variants move the minimum between 1.039 and 1.092 but never to 1, so the 4–9 % residual is model-form error, not a calibration choice. B is therefore the nearest fit, not an exact one, and its</w:t>
      </w:r>
      <w:r>
        <w:t xml:space="preserve"> </w:t>
      </w:r>
      <m:oMath>
        <m:r>
          <m:t>α</m:t>
        </m:r>
        <m:r>
          <m:rPr>
            <m:sty m:val="p"/>
          </m:rPr>
          <m:t>=</m:t>
        </m:r>
        <m:r>
          <m:t>0.716</m:t>
        </m:r>
      </m:oMath>
      <w:r>
        <w:t xml:space="preserve"> </w:t>
      </w:r>
      <w:r>
        <w:t xml:space="preserve">would mean a 28 % loss of rigidity in a young, uncracked prestressed girder.</w:t>
      </w:r>
    </w:p>
    <w:p>
      <w:pPr>
        <w:pStyle w:val="BodyText"/>
      </w:pPr>
      <w:r>
        <w:t xml:space="preserve">The admissible range is reported instead of point calibrations. The relative standard error of each mean reading is 1.9–2.0 %, and the model-form spread adds 1.75 % per gauge. A 2σ tolerance of 5.3 % on both gauges admits every</w:t>
      </w:r>
      <w:r>
        <w:t xml:space="preserve"> </w:t>
      </w:r>
      <m:oMath>
        <m:r>
          <m:t>κ</m:t>
        </m:r>
        <m:r>
          <m:rPr>
            <m:sty m:val="p"/>
          </m:rPr>
          <m:t>≥</m:t>
        </m:r>
        <m:r>
          <m:t>1.8</m:t>
        </m:r>
        <m:r>
          <m:rPr>
            <m:sty m:val="p"/>
          </m:rPr>
          <m:t>×</m:t>
        </m:r>
        <m:sSup>
          <m:e>
            <m:r>
              <m:t>10</m:t>
            </m:r>
          </m:e>
          <m:sup>
            <m:r>
              <m:t>7</m:t>
            </m:r>
          </m:sup>
        </m:sSup>
      </m:oMath>
      <w:r>
        <w:t xml:space="preserve"> </w:t>
      </w:r>
      <w:r>
        <w:t xml:space="preserve">kN m/rad: the static data bound</w:t>
      </w:r>
      <w:r>
        <w:t xml:space="preserve"> </w:t>
      </w:r>
      <m:oMath>
        <m:r>
          <m:t>κ</m:t>
        </m:r>
      </m:oMath>
      <w:r>
        <w:t xml:space="preserve"> </w:t>
      </w:r>
      <w:r>
        <w:t xml:space="preserve">only from below. Over this set the N8 index (</w:t>
      </w:r>
      <m:oMath>
        <m:r>
          <m:t>E</m:t>
        </m:r>
        <m:sSub>
          <m:e>
            <m:r>
              <m:t>I</m:t>
            </m:r>
          </m:e>
          <m:sub>
            <m:r>
              <m:rPr>
                <m:sty m:val="p"/>
              </m:rPr>
              <m:t>r</m:t>
            </m:r>
            <m:r>
              <m:rPr>
                <m:sty m:val="p"/>
              </m:rPr>
              <m:t>e</m:t>
            </m:r>
            <m:r>
              <m:rPr>
                <m:sty m:val="p"/>
              </m:rPr>
              <m:t>f</m:t>
            </m:r>
          </m:sub>
        </m:sSub>
        <m:r>
          <m:rPr>
            <m:sty m:val="p"/>
          </m:rPr>
          <m:t>=</m:t>
        </m:r>
        <m:r>
          <m:t>E</m:t>
        </m:r>
        <m:sSub>
          <m:e>
            <m:r>
              <m:t>I</m:t>
            </m:r>
          </m:e>
          <m:sub>
            <m:r>
              <m:rPr>
                <m:sty m:val="p"/>
              </m:rPr>
              <m:t>m</m:t>
            </m:r>
            <m:r>
              <m:rPr>
                <m:sty m:val="p"/>
              </m:rPr>
              <m:t>i</m:t>
            </m:r>
            <m:r>
              <m:rPr>
                <m:sty m:val="p"/>
              </m:rPr>
              <m:t>d</m:t>
            </m:r>
          </m:sub>
        </m:sSub>
      </m:oMath>
      <w:r>
        <w:t xml:space="preserve">) lies between 0.12 and 0.82 and</w:t>
      </w:r>
      <w:r>
        <w:t xml:space="preserve"> </w:t>
      </w:r>
      <m:oMath>
        <m:r>
          <m:t>R</m:t>
        </m:r>
      </m:oMath>
      <w:r>
        <w:t xml:space="preserve"> </w:t>
      </w:r>
      <w:r>
        <w:t xml:space="preserve">between 0.13 and 1.00, whereas the N7 index stays between 0.19 and 0.29 (Table 4, Fig. 9b). The upper part of the N8 range requires</w:t>
      </w:r>
      <w:r>
        <w:t xml:space="preserve"> </w:t>
      </w:r>
      <m:oMath>
        <m:r>
          <m:t>α</m:t>
        </m:r>
        <m:r>
          <m:rPr>
            <m:sty m:val="p"/>
          </m:rPr>
          <m:t>≈</m:t>
        </m:r>
        <m:r>
          <m:t>0.5</m:t>
        </m:r>
      </m:oMath>
      <w:r>
        <w:t xml:space="preserve">–0.7. A prior</w:t>
      </w:r>
      <w:r>
        <w:t xml:space="preserve"> </w:t>
      </w:r>
      <m:oMath>
        <m:r>
          <m:t>α</m:t>
        </m:r>
        <m:r>
          <m:rPr>
            <m:sty m:val="p"/>
          </m:rPr>
          <m:t>∈</m:t>
        </m:r>
        <m:d>
          <m:dPr>
            <m:begChr m:val="["/>
            <m:endChr m:val="]"/>
            <m:sepChr m:val=""/>
            <m:grow/>
          </m:dPr>
          <m:e>
            <m:r>
              <m:t>0.9</m:t>
            </m:r>
            <m:r>
              <m:rPr>
                <m:sty m:val="p"/>
              </m:rPr>
              <m:t>,</m:t>
            </m:r>
            <m:r>
              <m:t>1.3</m:t>
            </m:r>
          </m:e>
        </m:d>
      </m:oMath>
      <w:r>
        <w:t xml:space="preserve"> </w:t>
      </w:r>
      <w:r>
        <w:t xml:space="preserve">leaves N8 at 0.12–0.30.</w:t>
      </w:r>
    </w:p>
    <w:p>
      <w:pPr>
        <w:pStyle w:val="BodyText"/>
      </w:pPr>
      <w:r>
        <w:t xml:space="preserve">The Möbius law of Eq. (15) explains the asymmetry. With</w:t>
      </w:r>
      <w:r>
        <w:t xml:space="preserve"> </w:t>
      </w:r>
      <m:oMath>
        <m:sSub>
          <m:e>
            <m:r>
              <m:t>k</m:t>
            </m:r>
          </m:e>
          <m:sub>
            <m:r>
              <m:t>g</m:t>
            </m:r>
          </m:sub>
        </m:sSub>
        <m:r>
          <m:rPr>
            <m:sty m:val="p"/>
          </m:rPr>
          <m:t>=</m:t>
        </m:r>
        <m:r>
          <m:t>4.36</m:t>
        </m:r>
        <m:r>
          <m:rPr>
            <m:sty m:val="p"/>
          </m:rPr>
          <m:t>×</m:t>
        </m:r>
        <m:sSup>
          <m:e>
            <m:r>
              <m:t>10</m:t>
            </m:r>
          </m:e>
          <m:sup>
            <m:r>
              <m:t>7</m:t>
            </m:r>
          </m:sup>
        </m:sSup>
      </m:oMath>
      <w:r>
        <w:t xml:space="preserve"> </w:t>
      </w:r>
      <w:r>
        <w:t xml:space="preserve">kN m/rad,</w:t>
      </w:r>
      <w:r>
        <w:t xml:space="preserve"> </w:t>
      </w:r>
      <m:oMath>
        <m:sSub>
          <m:e>
            <m:r>
              <m:t>C</m:t>
            </m:r>
          </m:e>
          <m:sub>
            <m:r>
              <m:rPr>
                <m:sty m:val="p"/>
              </m:rPr>
              <m:t>∞</m:t>
            </m:r>
          </m:sub>
        </m:sSub>
        <m:r>
          <m:rPr>
            <m:sty m:val="p"/>
          </m:rPr>
          <m:t>/</m:t>
        </m:r>
        <m:sSub>
          <m:e>
            <m:r>
              <m:t>C</m:t>
            </m:r>
          </m:e>
          <m:sub>
            <m:r>
              <m:t>0</m:t>
            </m:r>
          </m:sub>
        </m:sSub>
      </m:oMath>
      <w:r>
        <w:t xml:space="preserve"> </w:t>
      </w:r>
      <w:r>
        <w:t xml:space="preserve">is 14.0 at N8 and 0.59 at N7, and the design stiffness sits at</w:t>
      </w:r>
      <w:r>
        <w:t xml:space="preserve"> </w:t>
      </w:r>
      <m:oMath>
        <m:r>
          <m:t>κ</m:t>
        </m:r>
        <m:r>
          <m:rPr>
            <m:sty m:val="p"/>
          </m:rPr>
          <m:t>/</m:t>
        </m:r>
        <m:sSub>
          <m:e>
            <m:r>
              <m:t>k</m:t>
            </m:r>
          </m:e>
          <m:sub>
            <m:r>
              <m:t>g</m:t>
            </m:r>
          </m:sub>
        </m:sSub>
        <m:r>
          <m:rPr>
            <m:sty m:val="p"/>
          </m:rPr>
          <m:t>=</m:t>
        </m:r>
        <m:r>
          <m:t>0.63</m:t>
        </m:r>
      </m:oMath>
      <w:r>
        <w:t xml:space="preserve">, near the steepest part of the curve. At that point</w:t>
      </w:r>
      <w:r>
        <w:t xml:space="preserve"> </w:t>
      </w:r>
      <m:oMath>
        <m:sSub>
          <m:e>
            <m:r>
              <m:t>B</m:t>
            </m:r>
          </m:e>
          <m:sub>
            <m:r>
              <m:t>m</m:t>
            </m:r>
          </m:sub>
        </m:sSub>
      </m:oMath>
      <w:r>
        <w:t xml:space="preserve"> </w:t>
      </w:r>
      <w:r>
        <w:t xml:space="preserve">is 0.51 at N8 and 0.12 at N7. Calibrating the model to the N8 reading does not fix the N8 constant either: over the static admissible set, the ratio of</w:t>
      </w:r>
      <w:r>
        <w:t xml:space="preserve"> </w:t>
      </w:r>
      <m:oMath>
        <m:sSub>
          <m:e>
            <m:r>
              <m:t>C</m:t>
            </m:r>
          </m:e>
          <m:sub>
            <m:r>
              <m:t>m</m:t>
            </m:r>
          </m:sub>
        </m:sSub>
      </m:oMath>
      <w:r>
        <w:t xml:space="preserve"> </w:t>
      </w:r>
      <w:r>
        <w:t xml:space="preserve">to the modelled N8 deflection varies by a factor of 6.5, against 1.5 for N7.</w:t>
      </w:r>
    </w:p>
    <w:p>
      <w:pPr>
        <w:pStyle w:val="BodyText"/>
      </w:pPr>
      <w:r>
        <w:rPr>
          <w:bCs/>
          <w:b/>
        </w:rPr>
        <w:t xml:space="preserve">Table 4.</w:t>
      </w:r>
      <w:r>
        <w:t xml:space="preserve"> </w:t>
      </w:r>
      <w:r>
        <w:t xml:space="preserve">Observability indicators of the Cầu Mây gauges.</w:t>
      </w:r>
      <w:r>
        <w:t xml:space="preserve"> </w:t>
      </w:r>
      <m:oMath>
        <m:sSub>
          <m:e>
            <m:r>
              <m:t>N</m:t>
            </m:r>
          </m:e>
          <m:sub>
            <m:r>
              <m:t>w</m:t>
            </m:r>
          </m:sub>
        </m:sSub>
      </m:oMath>
      <w:r>
        <w:t xml:space="preserve"> </w:t>
      </w:r>
      <w:r>
        <w:t xml:space="preserve">from Eq. (10) with</w:t>
      </w:r>
      <w:r>
        <w:t xml:space="preserve"> </w:t>
      </w:r>
      <m:oMath>
        <m:r>
          <m:t>E</m:t>
        </m:r>
        <m:sSub>
          <m:e>
            <m:r>
              <m:t>I</m:t>
            </m:r>
          </m:e>
          <m:sub>
            <m:r>
              <m:rPr>
                <m:sty m:val="p"/>
              </m:rPr>
              <m:t>r</m:t>
            </m:r>
            <m:r>
              <m:rPr>
                <m:sty m:val="p"/>
              </m:rPr>
              <m:t>e</m:t>
            </m:r>
            <m:r>
              <m:rPr>
                <m:sty m:val="p"/>
              </m:rPr>
              <m:t>f</m:t>
            </m:r>
          </m:sub>
        </m:sSub>
        <m:r>
          <m:rPr>
            <m:sty m:val="p"/>
          </m:rPr>
          <m:t>=</m:t>
        </m:r>
        <m:r>
          <m:t>E</m:t>
        </m:r>
        <m:sSub>
          <m:e>
            <m:r>
              <m:t>I</m:t>
            </m:r>
          </m:e>
          <m:sub>
            <m:r>
              <m:rPr>
                <m:sty m:val="p"/>
              </m:rPr>
              <m:t>m</m:t>
            </m:r>
            <m:r>
              <m:rPr>
                <m:sty m:val="p"/>
              </m:rPr>
              <m:t>i</m:t>
            </m:r>
            <m:r>
              <m:rPr>
                <m:sty m:val="p"/>
              </m:rPr>
              <m:t>d</m:t>
            </m:r>
          </m:sub>
        </m:sSub>
      </m:oMath>
      <w:r>
        <w:t xml:space="preserve"> </w:t>
      </w:r>
      <w:r>
        <w:t xml:space="preserve">of the design section and</w:t>
      </w:r>
      <w:r>
        <w:t xml:space="preserve"> </w:t>
      </w:r>
      <m:oMath>
        <m:r>
          <m:t>L</m:t>
        </m:r>
      </m:oMath>
      <w:r>
        <w:t xml:space="preserve"> </w:t>
      </w:r>
      <w:r>
        <w:t xml:space="preserve">the span containing the gauge;</w:t>
      </w:r>
      <w:r>
        <w:t xml:space="preserve"> </w:t>
      </w:r>
      <m:oMath>
        <m:r>
          <m:t>R</m:t>
        </m:r>
      </m:oMath>
      <w:r>
        <w:t xml:space="preserve"> </w:t>
      </w:r>
      <w:r>
        <w:t xml:space="preserve">from Eq. (11) in brackets. Static set: tolerance 5.3 %; joint set: static set plus the mode-3 interpretation of the measured frequencies (Section 5.3). The bound column covers pinned to fixed piers with design</w:t>
      </w:r>
      <w:r>
        <w:t xml:space="preserve"> </w:t>
      </w:r>
      <m:oMath>
        <m:r>
          <m:t>E</m:t>
        </m:r>
        <m:r>
          <m:t>I</m:t>
        </m:r>
      </m:oMath>
      <w:r>
        <w:t xml:space="preserve"> </w:t>
      </w:r>
      <w:r>
        <w:t xml:space="preserve">and all</w:t>
      </w:r>
      <w:r>
        <w:t xml:space="preserve"> </w:t>
      </w:r>
      <m:oMath>
        <m:sSub>
          <m:e>
            <m:r>
              <m:t>L</m:t>
            </m:r>
          </m:e>
          <m:sub>
            <m:r>
              <m:t>v</m:t>
            </m:r>
          </m:sub>
        </m:sSub>
      </m:oMath>
      <w:r>
        <w:t xml:space="preserve"> </w:t>
      </w:r>
      <w:r>
        <w:t xml:space="preserve">variants; it is a bound, not an uncertainty range. –: not computed.</w:t>
      </w:r>
    </w:p>
    <w:tbl>
      <w:tblPr>
        <w:tblStyle w:val="Table"/>
        <w:tblW w:type="pct" w:w="5000"/>
        <w:tblLook w:firstRow="1" w:lastRow="0" w:firstColumn="0" w:lastColumn="0" w:noHBand="0" w:noVBand="0" w:val="0020"/>
        <w:jc w:val="start"/>
        <w:tblBorders>
          <w:top w:val="single" w:sz="8" w:space="0" w:color="000000"/>
          <w:left w:val="nil"/>
          <w:bottom w:val="single" w:sz="8" w:space="0" w:color="000000"/>
          <w:right w:val="nil"/>
          <w:insideH w:val="nil"/>
          <w:insideV w:val="nil"/>
        </w:tblBorders>
      </w:tblPr>
      <w:tblGrid>
        <w:gridCol w:w="1664"/>
        <w:gridCol w:w="1100"/>
        <w:gridCol w:w="908"/>
        <w:gridCol w:w="803"/>
        <w:gridCol w:w="746"/>
        <w:gridCol w:w="1320"/>
        <w:gridCol w:w="1320"/>
        <w:gridCol w:w="1205"/>
      </w:tblGrid>
      <w:tr>
        <w:trPr>
          <w:tblHeader w:val="true"/>
        </w:trPr>
        <w:tc>
          <w:tcPr>
            <w:tcW w:type="dxa" w:w="1664"/>
            <w:tcBorders>
              <w:top w:val="nil"/>
              <w:left w:val="nil"/>
              <w:bottom w:val="single" w:sz="6" w:space="0" w:color="000000"/>
              <w:right w:val="nil"/>
            </w:tcBorders>
          </w:tcPr>
          <w:p>
            <w:pPr>
              <w:pStyle w:val="Compact"/>
              <w:jc w:val="left"/>
            </w:pPr>
            <w:r>
              <w:t xml:space="preserve">Gauge</w:t>
            </w:r>
          </w:p>
        </w:tc>
        <w:tc>
          <w:tcPr>
            <w:tcW w:type="dxa" w:w="1100"/>
            <w:tcBorders>
              <w:top w:val="nil"/>
              <w:left w:val="nil"/>
              <w:bottom w:val="single" w:sz="6" w:space="0" w:color="000000"/>
              <w:right w:val="nil"/>
            </w:tcBorders>
          </w:tcPr>
          <w:p>
            <w:pPr>
              <w:pStyle w:val="Compact"/>
              <w:jc w:val="left"/>
            </w:pPr>
            <w:r>
              <w:t xml:space="preserve">Prismatic, pinned</w:t>
            </w:r>
          </w:p>
        </w:tc>
        <w:tc>
          <w:tcPr>
            <w:tcW w:type="dxa" w:w="908"/>
            <w:tcBorders>
              <w:top w:val="nil"/>
              <w:left w:val="nil"/>
              <w:bottom w:val="single" w:sz="6" w:space="0" w:color="000000"/>
              <w:right w:val="nil"/>
            </w:tcBorders>
          </w:tcPr>
          <w:p>
            <w:pPr>
              <w:pStyle w:val="Compact"/>
              <w:jc w:val="left"/>
            </w:pPr>
            <w:r>
              <w:t xml:space="preserve">A (design)</w:t>
            </w:r>
          </w:p>
        </w:tc>
        <w:tc>
          <w:tcPr>
            <w:tcW w:type="dxa" w:w="803"/>
            <w:tcBorders>
              <w:top w:val="nil"/>
              <w:left w:val="nil"/>
              <w:bottom w:val="single" w:sz="6" w:space="0" w:color="000000"/>
              <w:right w:val="nil"/>
            </w:tcBorders>
          </w:tcPr>
          <w:p>
            <w:pPr>
              <w:pStyle w:val="Compact"/>
              <w:jc w:val="left"/>
            </w:pPr>
            <w:r>
              <w:t xml:space="preserve">A′ (</w:t>
            </w:r>
            <m:oMath>
              <m:r>
                <m:t>α</m:t>
              </m:r>
            </m:oMath>
            <w:r>
              <w:t xml:space="preserve"> </w:t>
            </w:r>
            <w:r>
              <w:t xml:space="preserve">= 1.088)</w:t>
            </w:r>
          </w:p>
        </w:tc>
        <w:tc>
          <w:tcPr>
            <w:tcW w:type="dxa" w:w="746"/>
            <w:tcBorders>
              <w:top w:val="nil"/>
              <w:left w:val="nil"/>
              <w:bottom w:val="single" w:sz="6" w:space="0" w:color="000000"/>
              <w:right w:val="nil"/>
            </w:tcBorders>
          </w:tcPr>
          <w:p>
            <w:pPr>
              <w:pStyle w:val="Compact"/>
              <w:jc w:val="left"/>
            </w:pPr>
            <w:r>
              <w:t xml:space="preserve">B (</w:t>
            </w:r>
            <m:oMath>
              <m:r>
                <m:t>α</m:t>
              </m:r>
            </m:oMath>
            <w:r>
              <w:t xml:space="preserve"> </w:t>
            </w:r>
            <w:r>
              <w:t xml:space="preserve">= 0.716)</w:t>
            </w:r>
          </w:p>
        </w:tc>
        <w:tc>
          <w:tcPr>
            <w:tcW w:type="dxa" w:w="1320"/>
            <w:tcBorders>
              <w:top w:val="nil"/>
              <w:left w:val="nil"/>
              <w:bottom w:val="single" w:sz="6" w:space="0" w:color="000000"/>
              <w:right w:val="nil"/>
            </w:tcBorders>
          </w:tcPr>
          <w:p>
            <w:pPr>
              <w:pStyle w:val="Compact"/>
              <w:jc w:val="left"/>
            </w:pPr>
            <w:r>
              <w:t xml:space="preserve">Static set</w:t>
            </w:r>
          </w:p>
        </w:tc>
        <w:tc>
          <w:tcPr>
            <w:tcW w:type="dxa" w:w="1320"/>
            <w:tcBorders>
              <w:top w:val="nil"/>
              <w:left w:val="nil"/>
              <w:bottom w:val="single" w:sz="6" w:space="0" w:color="000000"/>
              <w:right w:val="nil"/>
            </w:tcBorders>
          </w:tcPr>
          <w:p>
            <w:pPr>
              <w:pStyle w:val="Compact"/>
              <w:jc w:val="left"/>
            </w:pPr>
            <w:r>
              <w:t xml:space="preserve">Joint set</w:t>
            </w:r>
          </w:p>
        </w:tc>
        <w:tc>
          <w:tcPr>
            <w:tcW w:type="dxa" w:w="1205"/>
            <w:tcBorders>
              <w:top w:val="nil"/>
              <w:left w:val="nil"/>
              <w:bottom w:val="single" w:sz="6" w:space="0" w:color="000000"/>
              <w:right w:val="nil"/>
            </w:tcBorders>
          </w:tcPr>
          <w:p>
            <w:pPr>
              <w:pStyle w:val="Compact"/>
              <w:jc w:val="left"/>
            </w:pPr>
            <w:r>
              <w:t xml:space="preserve">Bound, pinned … fixed</w:t>
            </w:r>
          </w:p>
        </w:tc>
      </w:tr>
      <w:tr>
        <w:tc>
          <w:tcPr>
            <w:tcW w:type="dxa" w:w="1664"/>
          </w:tcPr>
          <w:p>
            <w:pPr>
              <w:pStyle w:val="Compact"/>
              <w:jc w:val="left"/>
            </w:pPr>
            <w:r>
              <w:t xml:space="preserve">N8, 0.4L (installed)</w:t>
            </w:r>
          </w:p>
        </w:tc>
        <w:tc>
          <w:tcPr>
            <w:tcW w:type="dxa" w:w="1100"/>
          </w:tcPr>
          <w:p>
            <w:pPr>
              <w:pStyle w:val="Compact"/>
              <w:jc w:val="left"/>
            </w:pPr>
            <w:r>
              <w:t xml:space="preserve">0.287 (0.14)</w:t>
            </w:r>
          </w:p>
        </w:tc>
        <w:tc>
          <w:tcPr>
            <w:tcW w:type="dxa" w:w="908"/>
          </w:tcPr>
          <w:p>
            <w:pPr>
              <w:pStyle w:val="Compact"/>
              <w:jc w:val="left"/>
            </w:pPr>
            <w:r>
              <w:t xml:space="preserve">0.181 (0.18)</w:t>
            </w:r>
          </w:p>
        </w:tc>
        <w:tc>
          <w:tcPr>
            <w:tcW w:type="dxa" w:w="803"/>
          </w:tcPr>
          <w:p>
            <w:pPr>
              <w:pStyle w:val="Compact"/>
              <w:jc w:val="left"/>
            </w:pPr>
            <w:r>
              <w:t xml:space="preserve">0.160 (0.17)</w:t>
            </w:r>
          </w:p>
        </w:tc>
        <w:tc>
          <w:tcPr>
            <w:tcW w:type="dxa" w:w="746"/>
          </w:tcPr>
          <w:p>
            <w:pPr>
              <w:pStyle w:val="Compact"/>
              <w:jc w:val="left"/>
            </w:pPr>
            <w:r>
              <w:t xml:space="preserve">0.476 (0.56)</w:t>
            </w:r>
          </w:p>
        </w:tc>
        <w:tc>
          <w:tcPr>
            <w:tcW w:type="dxa" w:w="1320"/>
          </w:tcPr>
          <w:p>
            <w:pPr>
              <w:pStyle w:val="Compact"/>
              <w:jc w:val="left"/>
            </w:pPr>
            <w:r>
              <w:t xml:space="preserve">0.124–0.822 (0.13–1.00)</w:t>
            </w:r>
          </w:p>
        </w:tc>
        <w:tc>
          <w:tcPr>
            <w:tcW w:type="dxa" w:w="1320"/>
          </w:tcPr>
          <w:p>
            <w:pPr>
              <w:pStyle w:val="Compact"/>
              <w:jc w:val="left"/>
            </w:pPr>
            <w:r>
              <w:t xml:space="preserve">0.124–0.390 (0.13–0.46)</w:t>
            </w:r>
          </w:p>
        </w:tc>
        <w:tc>
          <w:tcPr>
            <w:tcW w:type="dxa" w:w="1205"/>
          </w:tcPr>
          <w:p>
            <w:pPr>
              <w:pStyle w:val="Compact"/>
              <w:jc w:val="left"/>
            </w:pPr>
            <w:r>
              <w:t xml:space="preserve">0.023 … 0.446</w:t>
            </w:r>
          </w:p>
        </w:tc>
      </w:tr>
      <w:tr>
        <w:tc>
          <w:tcPr>
            <w:tcW w:type="dxa" w:w="1664"/>
          </w:tcPr>
          <w:p>
            <w:pPr>
              <w:pStyle w:val="Compact"/>
              <w:jc w:val="left"/>
            </w:pPr>
            <w:r>
              <w:t xml:space="preserve">N8 at mid side span</w:t>
            </w:r>
          </w:p>
        </w:tc>
        <w:tc>
          <w:tcPr>
            <w:tcW w:type="dxa" w:w="1100"/>
          </w:tcPr>
          <w:p>
            <w:pPr>
              <w:pStyle w:val="Compact"/>
              <w:jc w:val="left"/>
            </w:pPr>
            <w:r>
              <w:t xml:space="preserve">0.163 (0.08)</w:t>
            </w:r>
          </w:p>
        </w:tc>
        <w:tc>
          <w:tcPr>
            <w:tcW w:type="dxa" w:w="908"/>
          </w:tcPr>
          <w:p>
            <w:pPr>
              <w:pStyle w:val="Compact"/>
              <w:jc w:val="left"/>
            </w:pPr>
            <w:r>
              <w:t xml:space="preserve">0.105 (0.11)</w:t>
            </w:r>
          </w:p>
        </w:tc>
        <w:tc>
          <w:tcPr>
            <w:tcW w:type="dxa" w:w="803"/>
          </w:tcPr>
          <w:p>
            <w:pPr>
              <w:pStyle w:val="Compact"/>
              <w:jc w:val="left"/>
            </w:pPr>
            <w:r>
              <w:t xml:space="preserve">0.089 (–)</w:t>
            </w:r>
          </w:p>
        </w:tc>
        <w:tc>
          <w:tcPr>
            <w:tcW w:type="dxa" w:w="746"/>
          </w:tcPr>
          <w:p>
            <w:pPr>
              <w:pStyle w:val="Compact"/>
              <w:jc w:val="left"/>
            </w:pPr>
            <w:r>
              <w:t xml:space="preserve">0.377 (0.49)</w:t>
            </w:r>
          </w:p>
        </w:tc>
        <w:tc>
          <w:tcPr>
            <w:tcW w:type="dxa" w:w="1320"/>
          </w:tcPr>
          <w:p>
            <w:pPr>
              <w:pStyle w:val="Compact"/>
              <w:jc w:val="left"/>
            </w:pPr>
            <w:r>
              <w:t xml:space="preserve">–</w:t>
            </w:r>
          </w:p>
        </w:tc>
        <w:tc>
          <w:tcPr>
            <w:tcW w:type="dxa" w:w="1320"/>
          </w:tcPr>
          <w:p>
            <w:pPr>
              <w:pStyle w:val="Compact"/>
              <w:jc w:val="left"/>
            </w:pPr>
            <w:r>
              <w:t xml:space="preserve">–</w:t>
            </w:r>
          </w:p>
        </w:tc>
        <w:tc>
          <w:tcPr>
            <w:tcW w:type="dxa" w:w="1205"/>
          </w:tcPr>
          <w:p>
            <w:pPr>
              <w:pStyle w:val="Compact"/>
              <w:jc w:val="left"/>
            </w:pPr>
            <w:r>
              <w:t xml:space="preserve">−0.066 … 0.375</w:t>
            </w:r>
          </w:p>
        </w:tc>
      </w:tr>
      <w:tr>
        <w:tc>
          <w:tcPr>
            <w:tcW w:type="dxa" w:w="1664"/>
          </w:tcPr>
          <w:p>
            <w:pPr>
              <w:pStyle w:val="Compact"/>
              <w:jc w:val="left"/>
            </w:pPr>
            <w:r>
              <w:t xml:space="preserve">N7, mid main span (installed)</w:t>
            </w:r>
          </w:p>
        </w:tc>
        <w:tc>
          <w:tcPr>
            <w:tcW w:type="dxa" w:w="1100"/>
          </w:tcPr>
          <w:p>
            <w:pPr>
              <w:pStyle w:val="Compact"/>
              <w:jc w:val="left"/>
            </w:pPr>
            <w:r>
              <w:t xml:space="preserve">0.755 (0.70)</w:t>
            </w:r>
          </w:p>
        </w:tc>
        <w:tc>
          <w:tcPr>
            <w:tcW w:type="dxa" w:w="908"/>
          </w:tcPr>
          <w:p>
            <w:pPr>
              <w:pStyle w:val="Compact"/>
              <w:jc w:val="left"/>
            </w:pPr>
            <w:r>
              <w:t xml:space="preserve">0.209 (0.59)</w:t>
            </w:r>
          </w:p>
        </w:tc>
        <w:tc>
          <w:tcPr>
            <w:tcW w:type="dxa" w:w="803"/>
          </w:tcPr>
          <w:p>
            <w:pPr>
              <w:pStyle w:val="Compact"/>
              <w:jc w:val="left"/>
            </w:pPr>
            <w:r>
              <w:t xml:space="preserve">0.194 (0.58)</w:t>
            </w:r>
          </w:p>
        </w:tc>
        <w:tc>
          <w:tcPr>
            <w:tcW w:type="dxa" w:w="746"/>
          </w:tcPr>
          <w:p>
            <w:pPr>
              <w:pStyle w:val="Compact"/>
              <w:jc w:val="left"/>
            </w:pPr>
            <w:r>
              <w:t xml:space="preserve">0.234 (0.77)</w:t>
            </w:r>
          </w:p>
        </w:tc>
        <w:tc>
          <w:tcPr>
            <w:tcW w:type="dxa" w:w="1320"/>
          </w:tcPr>
          <w:p>
            <w:pPr>
              <w:pStyle w:val="Compact"/>
              <w:jc w:val="left"/>
            </w:pPr>
            <w:r>
              <w:t xml:space="preserve">0.190–0.286 (0.56–1.00)</w:t>
            </w:r>
          </w:p>
        </w:tc>
        <w:tc>
          <w:tcPr>
            <w:tcW w:type="dxa" w:w="1320"/>
          </w:tcPr>
          <w:p>
            <w:pPr>
              <w:pStyle w:val="Compact"/>
              <w:jc w:val="left"/>
            </w:pPr>
            <w:r>
              <w:t xml:space="preserve">0.190–0.222 (0.56–0.72)</w:t>
            </w:r>
          </w:p>
        </w:tc>
        <w:tc>
          <w:tcPr>
            <w:tcW w:type="dxa" w:w="1205"/>
          </w:tcPr>
          <w:p>
            <w:pPr>
              <w:pStyle w:val="Compact"/>
              <w:jc w:val="left"/>
            </w:pPr>
            <w:r>
              <w:t xml:space="preserve">0.263 … 0.145</w:t>
            </w:r>
          </w:p>
        </w:tc>
      </w:tr>
    </w:tbl>
    <w:p>
      <w:pPr>
        <w:pStyle w:val="BodyText"/>
      </w:pPr>
      <w:r>
        <w:t xml:space="preserve">Calibration B’s N8 value of 0.476 lies outside the bound column because the bound uses design</w:t>
      </w:r>
      <w:r>
        <w:t xml:space="preserve"> </w:t>
      </w:r>
      <m:oMath>
        <m:r>
          <m:t>E</m:t>
        </m:r>
        <m:r>
          <m:t>I</m:t>
        </m:r>
      </m:oMath>
      <w:r>
        <w:t xml:space="preserve">; normalised by</w:t>
      </w:r>
      <w:r>
        <w:t xml:space="preserve"> </w:t>
      </w:r>
      <m:oMath>
        <m:r>
          <m:t>α</m:t>
        </m:r>
        <m:r>
          <m:t>E</m:t>
        </m:r>
        <m:sSub>
          <m:e>
            <m:r>
              <m:t>I</m:t>
            </m:r>
          </m:e>
          <m:sub>
            <m:r>
              <m:rPr>
                <m:sty m:val="p"/>
              </m:rPr>
              <m:t>m</m:t>
            </m:r>
            <m:r>
              <m:rPr>
                <m:sty m:val="p"/>
              </m:rPr>
              <m:t>i</m:t>
            </m:r>
            <m:r>
              <m:rPr>
                <m:sty m:val="p"/>
              </m:rPr>
              <m:t>d</m:t>
            </m:r>
          </m:sub>
        </m:sSub>
      </m:oMath>
      <w:r>
        <w:t xml:space="preserve"> </w:t>
      </w:r>
      <w:r>
        <w:t xml:space="preserve">it is 0.341. The centre-span index is low (0.19–0.29) although</w:t>
      </w:r>
      <w:r>
        <w:t xml:space="preserve"> </w:t>
      </w:r>
      <m:oMath>
        <m:r>
          <m:t>R</m:t>
        </m:r>
      </m:oMath>
      <w:r>
        <w:t xml:space="preserve"> </w:t>
      </w:r>
      <w:r>
        <w:t xml:space="preserve">is 0.56–1.00, so its smallness reflects restraint by the haunches, not cancellation. The prismatic threshold</w:t>
      </w:r>
      <w:r>
        <w:t xml:space="preserve"> </w:t>
      </w:r>
      <m:oMath>
        <m:d>
          <m:dPr>
            <m:begChr m:val="|"/>
            <m:endChr m:val="|"/>
            <m:sepChr m:val=""/>
            <m:grow/>
          </m:dPr>
          <m:e>
            <m:sSub>
              <m:e>
                <m:r>
                  <m:t>N</m:t>
                </m:r>
              </m:e>
              <m:sub>
                <m:r>
                  <m:t>w</m:t>
                </m:r>
              </m:sub>
            </m:sSub>
          </m:e>
        </m:d>
        <m:r>
          <m:rPr>
            <m:sty m:val="p"/>
          </m:rPr>
          <m:t>&lt;</m:t>
        </m:r>
        <m:r>
          <m:t>0.2</m:t>
        </m:r>
      </m:oMath>
      <w:r>
        <w:t xml:space="preserve"> </w:t>
      </w:r>
      <w:r>
        <w:t xml:space="preserve">therefore does not transfer to haunched girders unless it is stated with</w:t>
      </w:r>
      <w:r>
        <w:t xml:space="preserve"> </w:t>
      </w:r>
      <m:oMath>
        <m:r>
          <m:t>E</m:t>
        </m:r>
        <m:sSub>
          <m:e>
            <m:r>
              <m:t>I</m:t>
            </m:r>
          </m:e>
          <m:sub>
            <m:r>
              <m:rPr>
                <m:sty m:val="p"/>
              </m:rPr>
              <m:t>r</m:t>
            </m:r>
            <m:r>
              <m:rPr>
                <m:sty m:val="p"/>
              </m:rPr>
              <m:t>e</m:t>
            </m:r>
            <m:r>
              <m:rPr>
                <m:sty m:val="p"/>
              </m:rPr>
              <m:t>f</m:t>
            </m:r>
          </m:sub>
        </m:sSub>
      </m:oMath>
      <w:r>
        <w:t xml:space="preserve">, whereas</w:t>
      </w:r>
      <w:r>
        <w:t xml:space="preserve"> </w:t>
      </w:r>
      <m:oMath>
        <m:r>
          <m:t>R</m:t>
        </m:r>
      </m:oMath>
      <w:r>
        <w:t xml:space="preserve"> </w:t>
      </w:r>
      <w:r>
        <w:t xml:space="preserve">separates the two effects.</w:t>
      </w:r>
    </w:p>
    <w:bookmarkEnd w:id="38"/>
    <w:bookmarkStart w:id="39" w:name="Xd7b4686b2c9aa1a643909b51cebcf01727a1370"/>
    <w:p>
      <w:pPr>
        <w:pStyle w:val="Heading3"/>
      </w:pPr>
      <w:r>
        <w:t xml:space="preserve">5.3. Measured frequencies as conditional evidence</w:t>
      </w:r>
    </w:p>
    <w:p>
      <w:pPr>
        <w:pStyle w:val="FirstParagraph"/>
      </w:pPr>
      <w:r>
        <w:t xml:space="preserve">The test report gives vertical frequencies of 3.43, 3.64 and 3.63 Hz at mid-span of N6, N7 and N8, one value per span and without mode shapes. A mass model (24.4–29.7 t/m) and a dynamic-to-static modulus ratio of 1.0–1.2 were assumed. The values cannot be the first vertical mode, which lies at 1.19–2.48 Hz in the model and would need</w:t>
      </w:r>
      <w:r>
        <w:t xml:space="preserve"> </w:t>
      </w:r>
      <m:oMath>
        <m:r>
          <m:t>α</m:t>
        </m:r>
        <m:r>
          <m:rPr>
            <m:sty m:val="p"/>
          </m:rPr>
          <m:t>≥</m:t>
        </m:r>
        <m:r>
          <m:t>1.91</m:t>
        </m:r>
      </m:oMath>
      <w:r>
        <w:t xml:space="preserve">. Nor can they be the antisymmetric second mode, which has a node at mid N7 and no admissible joint set. They are compatible only with the third mode, the first symmetric mode dominated by the side spans. Under this interpretation calibration B is excluded: it predicts 2.89 Hz, and at most 3.28 Hz with the lightest mass and the stiffest dynamic modulus. The joint admissible set becomes</w:t>
      </w:r>
      <w:r>
        <w:t xml:space="preserve"> </w:t>
      </w:r>
      <m:oMath>
        <m:r>
          <m:t>κ</m:t>
        </m:r>
        <m:r>
          <m:rPr>
            <m:sty m:val="p"/>
          </m:rPr>
          <m:t>=</m:t>
        </m:r>
        <m:r>
          <m:t>1.8</m:t>
        </m:r>
        <m:r>
          <m:rPr>
            <m:sty m:val="p"/>
          </m:rPr>
          <m:t>×</m:t>
        </m:r>
        <m:sSup>
          <m:e>
            <m:r>
              <m:t>10</m:t>
            </m:r>
          </m:e>
          <m:sup>
            <m:r>
              <m:t>7</m:t>
            </m:r>
          </m:sup>
        </m:sSup>
      </m:oMath>
      <w:r>
        <w:t xml:space="preserve">–</w:t>
      </w:r>
      <m:oMath>
        <m:r>
          <m:t>1.1</m:t>
        </m:r>
        <m:r>
          <m:rPr>
            <m:sty m:val="p"/>
          </m:rPr>
          <m:t>×</m:t>
        </m:r>
        <m:sSup>
          <m:e>
            <m:r>
              <m:t>10</m:t>
            </m:r>
          </m:e>
          <m:sup>
            <m:r>
              <m:t>8</m:t>
            </m:r>
          </m:sup>
        </m:sSup>
      </m:oMath>
      <w:r>
        <w:t xml:space="preserve"> </w:t>
      </w:r>
      <w:r>
        <w:t xml:space="preserve">kN m/rad and</w:t>
      </w:r>
      <w:r>
        <w:t xml:space="preserve"> </w:t>
      </w:r>
      <m:oMath>
        <m:r>
          <m:t>α</m:t>
        </m:r>
        <m:r>
          <m:rPr>
            <m:sty m:val="p"/>
          </m:rPr>
          <m:t>=</m:t>
        </m:r>
        <m:r>
          <m:t>0.80</m:t>
        </m:r>
      </m:oMath>
      <w:r>
        <w:t xml:space="preserve">–1.15, with an N8 index of 0.12–0.39 and an N7 index of 0.19–0.22 (Table 4). The selection is conditional, because the approach spans give similar values (3.0–3.1 Hz) and a truck-bounce response cannot be ruled out. Without the frequency row, the range falls back to the static set.</w:t>
      </w:r>
    </w:p>
    <w:bookmarkEnd w:id="39"/>
    <w:bookmarkStart w:id="40" w:name="which-channel-where"/>
    <w:p>
      <w:pPr>
        <w:pStyle w:val="Heading3"/>
      </w:pPr>
      <w:r>
        <w:t xml:space="preserve">5.4. Which channel, where</w:t>
      </w:r>
    </w:p>
    <w:p>
      <w:pPr>
        <w:pStyle w:val="FirstParagraph"/>
      </w:pPr>
      <w:r>
        <w:t xml:space="preserve">For this girder the deflection channel at mid main span is the robust choice: over the joint set its constant spans only</w:t>
      </w:r>
      <w:r>
        <w:t xml:space="preserve"> </w:t>
      </w:r>
      <m:oMath>
        <m:r>
          <m:t>3.3</m:t>
        </m:r>
      </m:oMath>
      <w:r>
        <w:t xml:space="preserve">–</w:t>
      </w:r>
      <m:oMath>
        <m:r>
          <m:t>3.8</m:t>
        </m:r>
        <m:r>
          <m:rPr>
            <m:sty m:val="p"/>
          </m:rPr>
          <m:t>×</m:t>
        </m:r>
        <m:sSup>
          <m:e>
            <m:r>
              <m:t>10</m:t>
            </m:r>
          </m:e>
          <m:sup>
            <m:r>
              <m:rPr>
                <m:sty m:val="p"/>
              </m:rPr>
              <m:t>−</m:t>
            </m:r>
            <m:r>
              <m:t>4</m:t>
            </m:r>
          </m:sup>
        </m:sSup>
      </m:oMath>
      <w:r>
        <w:t xml:space="preserve"> </w:t>
      </w:r>
      <w:r>
        <w:t xml:space="preserve">m²/kN. A side-span deflection gauge is ill-conditioned with respect to pier stiffness and should not take its constant from a design model unless that stiffness is identified. The strain channel behaves differently from the deflection channel on this girder (Fig. 8). The haunches move every zero-moment point towards mid-span. The side-span zero lies 26.0–33.3 m from the abutment over the range of pier fixity, so a strain gauge at mid side span would be blind under calibration A (</w:t>
      </w:r>
      <m:oMath>
        <m:sSub>
          <m:e>
            <m:r>
              <m:t>N</m:t>
            </m:r>
          </m:e>
          <m:sub>
            <m:r>
              <m:t>M</m:t>
            </m:r>
          </m:sub>
        </m:sSub>
        <m:r>
          <m:rPr>
            <m:sty m:val="p"/>
          </m:rPr>
          <m:t>=</m:t>
        </m:r>
        <m:r>
          <m:t>0.048</m:t>
        </m:r>
      </m:oMath>
      <w:r>
        <w:t xml:space="preserve">) and change sign with pinned piers. The centre of the main span is near-blind for strain in every haunched model (</w:t>
      </w:r>
      <m:oMath>
        <m:sSub>
          <m:e>
            <m:r>
              <m:t>N</m:t>
            </m:r>
          </m:e>
          <m:sub>
            <m:r>
              <m:t>M</m:t>
            </m:r>
          </m:sub>
        </m:sSub>
      </m:oMath>
      <w:r>
        <w:t xml:space="preserve"> </w:t>
      </w:r>
      <w:r>
        <w:t xml:space="preserve">= 0.163–0.212 at N7), again through restraint (</w:t>
      </w:r>
      <m:oMath>
        <m:sSub>
          <m:e>
            <m:r>
              <m:t>R</m:t>
            </m:r>
          </m:e>
          <m:sub>
            <m:r>
              <m:t>ε</m:t>
            </m:r>
          </m:sub>
        </m:sSub>
      </m:oMath>
      <w:r>
        <w:t xml:space="preserve"> </w:t>
      </w:r>
      <w:r>
        <w:t xml:space="preserve">= 0.65–1). The best-conditioned strain locations are 5–10 m from the piers, where</w:t>
      </w:r>
      <w:r>
        <w:t xml:space="preserve"> </w:t>
      </w:r>
      <m:oMath>
        <m:d>
          <m:dPr>
            <m:begChr m:val="|"/>
            <m:endChr m:val="|"/>
            <m:sepChr m:val=""/>
            <m:grow/>
          </m:dPr>
          <m:e>
            <m:sSub>
              <m:e>
                <m:r>
                  <m:t>N</m:t>
                </m:r>
              </m:e>
              <m:sub>
                <m:r>
                  <m:t>M</m:t>
                </m:r>
              </m:sub>
            </m:sSub>
          </m:e>
        </m:d>
        <m:r>
          <m:rPr>
            <m:sty m:val="p"/>
          </m:rPr>
          <m:t>≥</m:t>
        </m:r>
        <m:r>
          <m:t>0.39</m:t>
        </m:r>
      </m:oMath>
      <w:r>
        <w:t xml:space="preserve"> </w:t>
      </w:r>
      <w:r>
        <w:t xml:space="preserve">in all haunched models; the gain</w:t>
      </w:r>
      <w:r>
        <w:t xml:space="preserve"> </w:t>
      </w:r>
      <m:oMath>
        <m:r>
          <m:t>c</m:t>
        </m:r>
        <m:r>
          <m:rPr>
            <m:sty m:val="p"/>
          </m:rPr>
          <m:t>/</m:t>
        </m:r>
        <m:r>
          <m:t>E</m:t>
        </m:r>
        <m:r>
          <m:t>I</m:t>
        </m:r>
      </m:oMath>
      <w:r>
        <w:t xml:space="preserve"> </w:t>
      </w:r>
      <w:r>
        <w:t xml:space="preserve">there is about one fifth of that at mid-span, assuming</w:t>
      </w:r>
      <w:r>
        <w:t xml:space="preserve"> </w:t>
      </w:r>
      <m:oMath>
        <m:r>
          <m:t>c</m:t>
        </m:r>
        <m:r>
          <m:rPr>
            <m:sty m:val="p"/>
          </m:rPr>
          <m:t>∝</m:t>
        </m:r>
        <m:r>
          <m:t>h</m:t>
        </m:r>
      </m:oMath>
      <w:r>
        <w:t xml:space="preserve">. Bearing load cells at the end supports give</w:t>
      </w:r>
      <w:r>
        <w:t xml:space="preserve"> </w:t>
      </w:r>
      <m:oMath>
        <m:sSub>
          <m:e>
            <m:r>
              <m:t>N</m:t>
            </m:r>
          </m:e>
          <m:sub>
            <m:r>
              <m:t>R</m:t>
            </m:r>
          </m:sub>
        </m:sSub>
        <m:r>
          <m:rPr>
            <m:sty m:val="p"/>
          </m:rPr>
          <m:t>=</m:t>
        </m:r>
        <m:sSub>
          <m:e>
            <m:r>
              <m:t>ξ</m:t>
            </m:r>
          </m:e>
          <m:sub>
            <m:r>
              <m:t>0</m:t>
            </m:r>
          </m:sub>
        </m:sSub>
      </m:oMath>
      <w:r>
        <w:t xml:space="preserve"> </w:t>
      </w:r>
      <w:r>
        <w:t xml:space="preserve">= 0.47–0.61 and cannot be blind unless the side span loses its sagging zone.</w:t>
      </w:r>
    </w:p>
    <w:p>
      <w:pPr>
        <w:pStyle w:val="BodyText"/>
      </w:pPr>
      <w:r>
        <w:t xml:space="preserve">For several deflection channels, Section 2.4 places the second sensor at the most negative constant, in the side span 4–10 m from the inner pier. The pair at 100 m and 152 m from the end support T5 is within 0.9 % of the calibration-specific optimum under both A and B. At</w:t>
      </w:r>
      <w:r>
        <w:t xml:space="preserve"> </w:t>
      </w:r>
      <m:oMath>
        <m:r>
          <m:t>σ</m:t>
        </m:r>
        <m:r>
          <m:rPr>
            <m:sty m:val="p"/>
          </m:rPr>
          <m:t>=</m:t>
        </m:r>
        <m:r>
          <m:t>0.01</m:t>
        </m:r>
      </m:oMath>
      <w:r>
        <w:t xml:space="preserve"> </w:t>
      </w:r>
      <w:r>
        <w:t xml:space="preserve">mm and</w:t>
      </w:r>
      <w:r>
        <w:t xml:space="preserve"> </w:t>
      </w:r>
      <m:oMath>
        <m:sSub>
          <m:e>
            <m:r>
              <m:t>ε</m:t>
            </m:r>
          </m:e>
          <m:sub>
            <m:r>
              <m:t>0</m:t>
            </m:r>
          </m:sub>
        </m:sSub>
        <m:r>
          <m:rPr>
            <m:sty m:val="p"/>
          </m:rPr>
          <m:t>=</m:t>
        </m:r>
        <m:r>
          <m:t>0.1</m:t>
        </m:r>
      </m:oMath>
      <w:r>
        <w:t xml:space="preserve"> </w:t>
      </w:r>
      <w:r>
        <w:t xml:space="preserve">mm, it lowers the standard deviation of the load from 24.8 % with N7 alone to 10.6 % at</w:t>
      </w:r>
      <w:r>
        <w:t xml:space="preserve"> </w:t>
      </w:r>
      <m:oMath>
        <m:r>
          <m:t>ρ</m:t>
        </m:r>
        <m:r>
          <m:rPr>
            <m:sty m:val="p"/>
          </m:rPr>
          <m:t>=</m:t>
        </m:r>
        <m:r>
          <m:t>0.9</m:t>
        </m:r>
      </m:oMath>
      <w:r>
        <w:t xml:space="preserve"> </w:t>
      </w:r>
      <w:r>
        <w:t xml:space="preserve">and 0.071 % at</w:t>
      </w:r>
      <w:r>
        <w:t xml:space="preserve"> </w:t>
      </w:r>
      <m:oMath>
        <m:r>
          <m:t>ρ</m:t>
        </m:r>
        <m:r>
          <m:rPr>
            <m:sty m:val="p"/>
          </m:rPr>
          <m:t>=</m:t>
        </m:r>
        <m:r>
          <m:t>1</m:t>
        </m:r>
      </m:oMath>
      <w:r>
        <w:t xml:space="preserve"> </w:t>
      </w:r>
      <w:r>
        <w:t xml:space="preserve">(calibration A). Placement is thus insensitive to the unresolved pier stiffness, unlike the observability of the side-span gauge.</w:t>
      </w:r>
    </w:p>
    <w:p>
      <w:pPr>
        <w:pStyle w:val="BodyText"/>
      </w:pPr>
      <w:r>
        <w:t xml:space="preserve">If a model-based constant is wanted, the most informative additional measurement is a tiltmeter on the monolithic pier T7. Under the side-span convoy it would read about 167 µrad. Added to the two deflections, it would reduce the Cramér–Rao standard deviation of</w:t>
      </w:r>
      <w:r>
        <w:t xml:space="preserve"> </w:t>
      </w:r>
      <m:oMath>
        <m:r>
          <m:rPr>
            <m:sty m:val="p"/>
          </m:rPr>
          <m:t>ln</m:t>
        </m:r>
        <m:sSub>
          <m:e>
            <m:r>
              <m:t>C</m:t>
            </m:r>
          </m:e>
          <m:sub>
            <m:r>
              <m:t>m</m:t>
            </m:r>
          </m:sub>
        </m:sSub>
      </m:oMath>
      <w:r>
        <w:t xml:space="preserve"> </w:t>
      </w:r>
      <w:r>
        <w:t xml:space="preserve">at N8 from 0.87 to 0.18. An identified first vertical frequency would reduce it to 0.24, whereas a rotation reading at the end bearing T8 adds little, because its sensitivity duplicates that of N8.</w:t>
      </w:r>
    </w:p>
    <w:bookmarkEnd w:id="40"/>
    <w:bookmarkStart w:id="41" w:name="predicted-discriminating-measurements"/>
    <w:p>
      <w:pPr>
        <w:pStyle w:val="Heading3"/>
      </w:pPr>
      <w:r>
        <w:t xml:space="preserve">5.5. Predicted discriminating measurements</w:t>
      </w:r>
    </w:p>
    <w:p>
      <w:pPr>
        <w:pStyle w:val="FirstParagraph"/>
      </w:pPr>
      <w:r>
        <w:t xml:space="preserve">A field test with moving weighed trucks has been designed for this bridge; Table 5 gives the predicted values that would decide between the reference calibrations. These are design predictions, not results. The ratio of integrals at the side-span and centre-span deflection gauges is independent of truck weight and absolute rigidity, and it differs by a factor of 2.3 between A and B. The integral of a strain gauge at the zero-moment point of calibration A is nearly zero under A and 0.17 of the mid-span strain integral under B.</w:t>
      </w:r>
    </w:p>
    <w:p>
      <w:pPr>
        <w:pStyle w:val="BodyText"/>
      </w:pPr>
      <w:r>
        <w:rPr>
          <w:bCs/>
          <w:b/>
        </w:rPr>
        <w:t xml:space="preserve">Table 5.</w:t>
      </w:r>
      <w:r>
        <w:t xml:space="preserve"> </w:t>
      </w:r>
      <w:r>
        <w:t xml:space="preserve">Predicted discriminating measurements at Cầu Mây for a 25 t three-axle truck (design predictions from the field-test plan; not measured).</w:t>
      </w:r>
    </w:p>
    <w:tbl>
      <w:tblPr>
        <w:tblStyle w:val="Table"/>
        <w:tblW w:type="pct" w:w="5000"/>
        <w:tblLook w:firstRow="1" w:lastRow="0" w:firstColumn="0" w:lastColumn="0" w:noHBand="0" w:noVBand="0" w:val="0020"/>
        <w:jc w:val="start"/>
        <w:tblBorders>
          <w:top w:val="single" w:sz="8" w:space="0" w:color="000000"/>
          <w:left w:val="nil"/>
          <w:bottom w:val="single" w:sz="8" w:space="0" w:color="000000"/>
          <w:right w:val="nil"/>
          <w:insideH w:val="nil"/>
          <w:insideV w:val="nil"/>
        </w:tblBorders>
      </w:tblPr>
      <w:tblGrid>
        <w:gridCol w:w="3796"/>
        <w:gridCol w:w="2636"/>
        <w:gridCol w:w="2636"/>
      </w:tblGrid>
      <w:tr>
        <w:trPr>
          <w:tblHeader w:val="true"/>
        </w:trPr>
        <w:tc>
          <w:tcPr>
            <w:tcW w:type="dxa" w:w="3796"/>
            <w:tcBorders>
              <w:top w:val="nil"/>
              <w:left w:val="nil"/>
              <w:bottom w:val="single" w:sz="6" w:space="0" w:color="000000"/>
              <w:right w:val="nil"/>
            </w:tcBorders>
          </w:tcPr>
          <w:p>
            <w:pPr>
              <w:pStyle w:val="Compact"/>
              <w:jc w:val="left"/>
            </w:pPr>
            <w:r>
              <w:t xml:space="preserve">Measured quantity</w:t>
            </w:r>
          </w:p>
        </w:tc>
        <w:tc>
          <w:tcPr>
            <w:tcW w:type="dxa" w:w="2636"/>
            <w:tcBorders>
              <w:top w:val="nil"/>
              <w:left w:val="nil"/>
              <w:bottom w:val="single" w:sz="6" w:space="0" w:color="000000"/>
              <w:right w:val="nil"/>
            </w:tcBorders>
          </w:tcPr>
          <w:p>
            <w:pPr>
              <w:pStyle w:val="Compact"/>
              <w:jc w:val="left"/>
            </w:pPr>
            <w:r>
              <w:t xml:space="preserve">Calibration A</w:t>
            </w:r>
          </w:p>
        </w:tc>
        <w:tc>
          <w:tcPr>
            <w:tcW w:type="dxa" w:w="2636"/>
            <w:tcBorders>
              <w:top w:val="nil"/>
              <w:left w:val="nil"/>
              <w:bottom w:val="single" w:sz="6" w:space="0" w:color="000000"/>
              <w:right w:val="nil"/>
            </w:tcBorders>
          </w:tcPr>
          <w:p>
            <w:pPr>
              <w:pStyle w:val="Compact"/>
              <w:jc w:val="left"/>
            </w:pPr>
            <w:r>
              <w:t xml:space="preserve">Calibration B</w:t>
            </w:r>
          </w:p>
        </w:tc>
      </w:tr>
      <w:tr>
        <w:tc>
          <w:tcPr>
            <w:tcW w:type="dxa" w:w="3796"/>
          </w:tcPr>
          <w:p>
            <w:pPr>
              <w:pStyle w:val="Compact"/>
              <w:jc w:val="left"/>
            </w:pPr>
            <w:r>
              <w:t xml:space="preserve">Integral ratio, N8 at 0.4L / N7 at mid-span</w:t>
            </w:r>
          </w:p>
        </w:tc>
        <w:tc>
          <w:tcPr>
            <w:tcW w:type="dxa" w:w="2636"/>
          </w:tcPr>
          <w:p>
            <w:pPr>
              <w:pStyle w:val="Compact"/>
              <w:jc w:val="left"/>
            </w:pPr>
            <w:r>
              <w:t xml:space="preserve">0.121</w:t>
            </w:r>
          </w:p>
        </w:tc>
        <w:tc>
          <w:tcPr>
            <w:tcW w:type="dxa" w:w="2636"/>
          </w:tcPr>
          <w:p>
            <w:pPr>
              <w:pStyle w:val="Compact"/>
              <w:jc w:val="left"/>
            </w:pPr>
            <w:r>
              <w:t xml:space="preserve">0.284</w:t>
            </w:r>
          </w:p>
        </w:tc>
      </w:tr>
      <w:tr>
        <w:tc>
          <w:tcPr>
            <w:tcW w:type="dxa" w:w="3796"/>
          </w:tcPr>
          <w:p>
            <w:pPr>
              <w:pStyle w:val="Compact"/>
              <w:jc w:val="left"/>
            </w:pPr>
            <w:r>
              <w:t xml:space="preserve">Peak girder rotation over pier T7 (µrad)</w:t>
            </w:r>
          </w:p>
        </w:tc>
        <w:tc>
          <w:tcPr>
            <w:tcW w:type="dxa" w:w="2636"/>
          </w:tcPr>
          <w:p>
            <w:pPr>
              <w:pStyle w:val="Compact"/>
              <w:jc w:val="left"/>
            </w:pPr>
            <w:r>
              <w:t xml:space="preserve">−58</w:t>
            </w:r>
          </w:p>
        </w:tc>
        <w:tc>
          <w:tcPr>
            <w:tcW w:type="dxa" w:w="2636"/>
          </w:tcPr>
          <w:p>
            <w:pPr>
              <w:pStyle w:val="Compact"/>
              <w:jc w:val="left"/>
            </w:pPr>
            <w:r>
              <w:t xml:space="preserve">−29</w:t>
            </w:r>
          </w:p>
        </w:tc>
      </w:tr>
      <w:tr>
        <w:tc>
          <w:tcPr>
            <w:tcW w:type="dxa" w:w="3796"/>
          </w:tcPr>
          <w:p>
            <w:pPr>
              <w:pStyle w:val="Compact"/>
              <w:jc w:val="left"/>
            </w:pPr>
            <w:r>
              <w:t xml:space="preserve">Strain integral at the zero-moment point of A (171.3 m) / at mid N7</w:t>
            </w:r>
          </w:p>
        </w:tc>
        <w:tc>
          <w:tcPr>
            <w:tcW w:type="dxa" w:w="2636"/>
          </w:tcPr>
          <w:p>
            <w:pPr>
              <w:pStyle w:val="Compact"/>
              <w:jc w:val="left"/>
            </w:pPr>
            <w:r>
              <w:t xml:space="preserve">0.006</w:t>
            </w:r>
          </w:p>
        </w:tc>
        <w:tc>
          <w:tcPr>
            <w:tcW w:type="dxa" w:w="2636"/>
          </w:tcPr>
          <w:p>
            <w:pPr>
              <w:pStyle w:val="Compact"/>
              <w:jc w:val="left"/>
            </w:pPr>
            <w:r>
              <w:t xml:space="preserve">0.17</w:t>
            </w:r>
          </w:p>
        </w:tc>
      </w:tr>
      <w:tr>
        <w:tc>
          <w:tcPr>
            <w:tcW w:type="dxa" w:w="3796"/>
          </w:tcPr>
          <w:p>
            <w:pPr>
              <w:pStyle w:val="Compact"/>
              <w:jc w:val="left"/>
            </w:pPr>
            <w:r>
              <w:t xml:space="preserve">Frequency ratios</w:t>
            </w:r>
            <w:r>
              <w:t xml:space="preserve"> </w:t>
            </w:r>
            <m:oMath>
              <m:sSub>
                <m:e>
                  <m:r>
                    <m:t>f</m:t>
                  </m:r>
                </m:e>
                <m:sub>
                  <m:r>
                    <m:t>2</m:t>
                  </m:r>
                </m:sub>
              </m:sSub>
              <m:r>
                <m:rPr>
                  <m:sty m:val="p"/>
                </m:rPr>
                <m:t>/</m:t>
              </m:r>
              <m:sSub>
                <m:e>
                  <m:r>
                    <m:t>f</m:t>
                  </m:r>
                </m:e>
                <m:sub>
                  <m:r>
                    <m:t>1</m:t>
                  </m:r>
                </m:sub>
              </m:sSub>
            </m:oMath>
            <w:r>
              <w:t xml:space="preserve">;</w:t>
            </w:r>
            <w:r>
              <w:t xml:space="preserve"> </w:t>
            </w:r>
            <m:oMath>
              <m:sSub>
                <m:e>
                  <m:r>
                    <m:t>f</m:t>
                  </m:r>
                </m:e>
                <m:sub>
                  <m:r>
                    <m:t>3</m:t>
                  </m:r>
                </m:sub>
              </m:sSub>
              <m:r>
                <m:rPr>
                  <m:sty m:val="p"/>
                </m:rPr>
                <m:t>/</m:t>
              </m:r>
              <m:sSub>
                <m:e>
                  <m:r>
                    <m:t>f</m:t>
                  </m:r>
                </m:e>
                <m:sub>
                  <m:r>
                    <m:t>1</m:t>
                  </m:r>
                </m:sub>
              </m:sSub>
            </m:oMath>
            <w:r>
              <w:t xml:space="preserve"> </w:t>
            </w:r>
            <w:r>
              <w:t xml:space="preserve">(assumed mass)</w:t>
            </w:r>
          </w:p>
        </w:tc>
        <w:tc>
          <w:tcPr>
            <w:tcW w:type="dxa" w:w="2636"/>
          </w:tcPr>
          <w:p>
            <w:pPr>
              <w:pStyle w:val="Compact"/>
              <w:jc w:val="left"/>
            </w:pPr>
            <w:r>
              <w:t xml:space="preserve">1.78; 2.30</w:t>
            </w:r>
          </w:p>
        </w:tc>
        <w:tc>
          <w:tcPr>
            <w:tcW w:type="dxa" w:w="2636"/>
          </w:tcPr>
          <w:p>
            <w:pPr>
              <w:pStyle w:val="Compact"/>
              <w:jc w:val="left"/>
            </w:pPr>
            <w:r>
              <w:t xml:space="preserve">1.59; 1.75</w:t>
            </w:r>
          </w:p>
        </w:tc>
      </w:tr>
    </w:tbl>
    <w:p>
      <w:pPr>
        <w:pStyle w:val="BodyText"/>
      </w:pPr>
      <w:r>
        <w:t xml:space="preserve">At 40 km/h the crossing of the 200 m unit takes 18.6 s, and</w:t>
      </w:r>
      <w:r>
        <w:t xml:space="preserve"> </w:t>
      </w:r>
      <m:oMath>
        <m:sSub>
          <m:e>
            <m:r>
              <m:t>T</m:t>
            </m:r>
          </m:e>
          <m:sub>
            <m:r>
              <m:rPr>
                <m:sty m:val="p"/>
              </m:rPr>
              <m:t>c</m:t>
            </m:r>
            <m:r>
              <m:rPr>
                <m:sty m:val="p"/>
              </m:rPr>
              <m:t>r</m:t>
            </m:r>
          </m:sub>
        </m:sSub>
        <m:r>
          <m:rPr>
            <m:sty m:val="p"/>
          </m:rPr>
          <m:t>/</m:t>
        </m:r>
        <m:sSub>
          <m:e>
            <m:r>
              <m:t>T</m:t>
            </m:r>
          </m:e>
          <m:sub>
            <m:r>
              <m:t>1</m:t>
            </m:r>
          </m:sub>
        </m:sSub>
        <m:r>
          <m:rPr>
            <m:sty m:val="p"/>
          </m:rPr>
          <m:t>=</m:t>
        </m:r>
        <m:r>
          <m:t>26</m:t>
        </m:r>
      </m:oMath>
      <w:r>
        <w:t xml:space="preserve"> </w:t>
      </w:r>
      <w:r>
        <w:t xml:space="preserve">with the modelled fundamental period, which satisfies the quasi-static condition of Section 6.</w:t>
      </w:r>
    </w:p>
    <w:p>
      <w:pPr>
        <w:pStyle w:val="BodyText"/>
      </w:pPr>
      <w:r>
        <w:t xml:space="preserve">The in-service girder thus shows that a side-span deflection gauge on a layout near the prismatic blind locus is not identifiable from static acceptance data, that a centre-span gauge is, and that one tiltmeter or one integral ratio would close the gap.</w:t>
      </w:r>
    </w:p>
    <w:bookmarkEnd w:id="41"/>
    <w:bookmarkEnd w:id="42"/>
    <w:bookmarkStart w:id="46" w:name="error-budget"/>
    <w:p>
      <w:pPr>
        <w:pStyle w:val="Heading2"/>
      </w:pPr>
      <w:r>
        <w:t xml:space="preserve">6. Error budget</w:t>
      </w:r>
    </w:p>
    <w:p>
      <w:pPr>
        <w:pStyle w:val="FirstParagraph"/>
      </w:pPr>
      <w:r>
        <w:t xml:space="preserve">This section states the error terms of the integral estimator with their sensitivities and with the values that this paper measures or assumes. The budget is indicative: it is not an evaluation according to the GUM, because several entries are scenario ranges and the correlations between terms are not quantified.</w:t>
      </w:r>
    </w:p>
    <w:bookmarkStart w:id="43" w:name="error-terms"/>
    <w:p>
      <w:pPr>
        <w:pStyle w:val="Heading3"/>
      </w:pPr>
      <w:r>
        <w:t xml:space="preserve">6.1. Error terms</w:t>
      </w:r>
    </w:p>
    <w:p>
      <w:pPr>
        <w:pStyle w:val="FirstParagraph"/>
      </w:pPr>
      <w:r>
        <w:t xml:space="preserve">To first order, the relative error of BPM is the sum of the relative errors of the rigidity, of four times the span length, of the gain, of the speed and of the offset term of Eq. (12). SLM removes the structural terms, because they belong to</w:t>
      </w:r>
      <w:r>
        <w:t xml:space="preserve"> </w:t>
      </w:r>
      <m:oMath>
        <m:r>
          <m:t>C</m:t>
        </m:r>
      </m:oMath>
      <w:r>
        <w:t xml:space="preserve">. Every other term survives as the difference between the target and reference crossings and vanishes only when the error is common to both. The offset term never cancels fully for one channel, because the sensitivity</w:t>
      </w:r>
      <w:r>
        <w:t xml:space="preserve"> </w:t>
      </w:r>
      <m:oMath>
        <m:sSub>
          <m:e>
            <m:r>
              <m:t>L</m:t>
            </m:r>
          </m:e>
          <m:sub>
            <m:r>
              <m:rPr>
                <m:sty m:val="p"/>
              </m:rPr>
              <m:t>t</m:t>
            </m:r>
            <m:r>
              <m:rPr>
                <m:sty m:val="p"/>
              </m:rPr>
              <m:t>o</m:t>
            </m:r>
            <m:r>
              <m:rPr>
                <m:sty m:val="p"/>
              </m:rPr>
              <m:t>t</m:t>
            </m:r>
          </m:sub>
        </m:sSub>
        <m:r>
          <m:rPr>
            <m:sty m:val="p"/>
          </m:rPr>
          <m:t>/</m:t>
        </m:r>
        <m:r>
          <m:t>I</m:t>
        </m:r>
      </m:oMath>
      <w:r>
        <w:t xml:space="preserve"> </w:t>
      </w:r>
      <w:r>
        <w:t xml:space="preserve">differs between crossings. Random noise is negligible, because integration averages it: in the laboratory, noise at half the transducer resolution gave a standard deviation of 0.07 % in the identified load. A single reference crossing adds its own independent error; averaging five or more reference crossings with a vehicle comparable to the screened traffic reduces it.</w:t>
      </w:r>
    </w:p>
    <w:p>
      <w:pPr>
        <w:pStyle w:val="BodyText"/>
      </w:pPr>
      <w:r>
        <w:t xml:space="preserve">For a constant force crossing the laboratory beam, the quasi-static error is at most about 1 % for</w:t>
      </w:r>
      <w:r>
        <w:t xml:space="preserve"> </w:t>
      </w:r>
      <m:oMath>
        <m:sSub>
          <m:e>
            <m:r>
              <m:t>T</m:t>
            </m:r>
          </m:e>
          <m:sub>
            <m:r>
              <m:rPr>
                <m:sty m:val="p"/>
              </m:rPr>
              <m:t>c</m:t>
            </m:r>
            <m:r>
              <m:rPr>
                <m:sty m:val="p"/>
              </m:rPr>
              <m:t>r</m:t>
            </m:r>
          </m:sub>
        </m:sSub>
        <m:r>
          <m:rPr>
            <m:sty m:val="p"/>
          </m:rPr>
          <m:t>/</m:t>
        </m:r>
        <m:sSub>
          <m:e>
            <m:r>
              <m:t>T</m:t>
            </m:r>
          </m:e>
          <m:sub>
            <m:r>
              <m:t>1</m:t>
            </m:r>
          </m:sub>
        </m:sSub>
        <m:r>
          <m:rPr>
            <m:sty m:val="p"/>
          </m:rPr>
          <m:t>≥</m:t>
        </m:r>
        <m:r>
          <m:t>8</m:t>
        </m:r>
      </m:oMath>
      <w:r>
        <w:t xml:space="preserve"> </w:t>
      </w:r>
      <w:r>
        <w:t xml:space="preserve">and below 4.2 % for</w:t>
      </w:r>
      <w:r>
        <w:t xml:space="preserve"> </w:t>
      </w:r>
      <m:oMath>
        <m:sSub>
          <m:e>
            <m:r>
              <m:t>T</m:t>
            </m:r>
          </m:e>
          <m:sub>
            <m:r>
              <m:rPr>
                <m:sty m:val="p"/>
              </m:rPr>
              <m:t>c</m:t>
            </m:r>
            <m:r>
              <m:rPr>
                <m:sty m:val="p"/>
              </m:rPr>
              <m:t>r</m:t>
            </m:r>
          </m:sub>
        </m:sSub>
        <m:r>
          <m:rPr>
            <m:sty m:val="p"/>
          </m:rPr>
          <m:t>/</m:t>
        </m:r>
        <m:sSub>
          <m:e>
            <m:r>
              <m:t>T</m:t>
            </m:r>
          </m:e>
          <m:sub>
            <m:r>
              <m:t>1</m:t>
            </m:r>
          </m:sub>
        </m:sSub>
        <m:r>
          <m:rPr>
            <m:sty m:val="p"/>
          </m:rPr>
          <m:t>≥</m:t>
        </m:r>
        <m:r>
          <m:t>4</m:t>
        </m:r>
      </m:oMath>
      <w:r>
        <w:t xml:space="preserve">. Below 2.5 it exceeds 15 % and changes sign, mainly because the beam has not returned to its datum when the load leaves [53]. This bound omits vehicle–bridge interaction and road roughness, so it is a necessary condition, not a sufficient one. The NOR-BWIM records showed no speed effect over 10–28 m/s (Section 4.2).</w:t>
      </w:r>
    </w:p>
    <w:bookmarkEnd w:id="43"/>
    <w:bookmarkStart w:id="44" w:name="residual-offset-at-bridge-scale"/>
    <w:p>
      <w:pPr>
        <w:pStyle w:val="Heading3"/>
      </w:pPr>
      <w:r>
        <w:t xml:space="preserve">6.2. Residual offset at bridge scale</w:t>
      </w:r>
    </w:p>
    <w:p>
      <w:pPr>
        <w:pStyle w:val="FirstParagraph"/>
      </w:pPr>
      <w:r>
        <w:t xml:space="preserve">Table 6 evaluates Eq. (12) for the Cầu Mây gauges with</w:t>
      </w:r>
      <w:r>
        <w:t xml:space="preserve"> </w:t>
      </w:r>
      <m:oMath>
        <m:sSub>
          <m:e>
            <m:r>
              <m:t>L</m:t>
            </m:r>
          </m:e>
          <m:sub>
            <m:r>
              <m:rPr>
                <m:sty m:val="p"/>
              </m:rPr>
              <m:t>t</m:t>
            </m:r>
            <m:r>
              <m:rPr>
                <m:sty m:val="p"/>
              </m:rPr>
              <m:t>o</m:t>
            </m:r>
            <m:r>
              <m:rPr>
                <m:sty m:val="p"/>
              </m:rPr>
              <m:t>t</m:t>
            </m:r>
          </m:sub>
        </m:sSub>
        <m:r>
          <m:rPr>
            <m:sty m:val="p"/>
          </m:rPr>
          <m:t>=</m:t>
        </m:r>
        <m:r>
          <m:t>200</m:t>
        </m:r>
      </m:oMath>
      <w:r>
        <w:t xml:space="preserve"> </w:t>
      </w:r>
      <w:r>
        <w:t xml:space="preserve">m and the mean weighed truck of 25.06 t, over offsets from 0.02 mm to 0.5 mm. The lower values are of LVDT class. Absolute deflection on a 90 m span over water would usually come from a non-contact technique, whose residual offset after re-zeroing has to be established on site, since environmental effects act over the same window [54,55]; the authors’ own deflection records from simply supported spans showed post-minus-pre level differences of up to 0.23 mm (Supplementary Material).</w:t>
      </w:r>
    </w:p>
    <w:p>
      <w:pPr>
        <w:pStyle w:val="BodyText"/>
      </w:pPr>
      <w:r>
        <w:rPr>
          <w:bCs/>
          <w:b/>
        </w:rPr>
        <w:t xml:space="preserve">Table 6.</w:t>
      </w:r>
      <w:r>
        <w:t xml:space="preserve"> </w:t>
      </w:r>
      <w:r>
        <w:t xml:space="preserve">Bias of a single-channel estimate caused by a residual offset</w:t>
      </w:r>
      <w:r>
        <w:t xml:space="preserve"> </w:t>
      </w:r>
      <m:oMath>
        <m:sSub>
          <m:e>
            <m:r>
              <m:t>ε</m:t>
            </m:r>
          </m:e>
          <m:sub>
            <m:r>
              <m:t>0</m:t>
            </m:r>
          </m:sub>
        </m:sSub>
      </m:oMath>
      <w:r>
        <w:t xml:space="preserve">, Eq. (12), for a 25.06 t truck;</w:t>
      </w:r>
      <w:r>
        <w:t xml:space="preserve"> </w:t>
      </w:r>
      <m:oMath>
        <m:sSub>
          <m:e>
            <m:r>
              <m:t>L</m:t>
            </m:r>
          </m:e>
          <m:sub>
            <m:r>
              <m:rPr>
                <m:sty m:val="p"/>
              </m:rPr>
              <m:t>t</m:t>
            </m:r>
            <m:r>
              <m:rPr>
                <m:sty m:val="p"/>
              </m:rPr>
              <m:t>o</m:t>
            </m:r>
            <m:r>
              <m:rPr>
                <m:sty m:val="p"/>
              </m:rPr>
              <m:t>t</m:t>
            </m:r>
          </m:sub>
        </m:sSub>
      </m:oMath>
      <w:r>
        <w:t xml:space="preserve"> </w:t>
      </w:r>
      <w:r>
        <w:t xml:space="preserve">= 200 m. Ranges are over the joint admissible set of Section 5.3.</w:t>
      </w:r>
    </w:p>
    <w:tbl>
      <w:tblPr>
        <w:tblStyle w:val="Table"/>
        <w:tblW w:type="pct" w:w="5000"/>
        <w:tblLook w:firstRow="1" w:lastRow="0" w:firstColumn="0" w:lastColumn="0" w:noHBand="0" w:noVBand="0" w:val="0020"/>
        <w:jc w:val="start"/>
        <w:tblBorders>
          <w:top w:val="single" w:sz="8" w:space="0" w:color="000000"/>
          <w:left w:val="nil"/>
          <w:bottom w:val="single" w:sz="8" w:space="0" w:color="000000"/>
          <w:right w:val="nil"/>
          <w:insideH w:val="nil"/>
          <w:insideV w:val="nil"/>
        </w:tblBorders>
      </w:tblPr>
      <w:tblGrid>
        <w:gridCol w:w="1340"/>
        <w:gridCol w:w="854"/>
        <w:gridCol w:w="1419"/>
        <w:gridCol w:w="1117"/>
        <w:gridCol w:w="985"/>
        <w:gridCol w:w="985"/>
        <w:gridCol w:w="1117"/>
        <w:gridCol w:w="1248"/>
      </w:tblGrid>
      <w:tr>
        <w:trPr>
          <w:tblHeader w:val="true"/>
        </w:trPr>
        <w:tc>
          <w:tcPr>
            <w:tcW w:type="dxa" w:w="1340"/>
            <w:tcBorders>
              <w:top w:val="nil"/>
              <w:left w:val="nil"/>
              <w:bottom w:val="single" w:sz="6" w:space="0" w:color="000000"/>
              <w:right w:val="nil"/>
            </w:tcBorders>
          </w:tcPr>
          <w:p>
            <w:pPr>
              <w:pStyle w:val="Compact"/>
              <w:jc w:val="left"/>
            </w:pPr>
            <w:r>
              <w:t xml:space="preserve">Gauge</w:t>
            </w:r>
          </w:p>
        </w:tc>
        <w:tc>
          <w:tcPr>
            <w:tcW w:type="dxa" w:w="854"/>
            <w:tcBorders>
              <w:top w:val="nil"/>
              <w:left w:val="nil"/>
              <w:bottom w:val="single" w:sz="6" w:space="0" w:color="000000"/>
              <w:right w:val="nil"/>
            </w:tcBorders>
          </w:tcPr>
          <w:p>
            <w:pPr>
              <w:pStyle w:val="Compact"/>
              <w:jc w:val="left"/>
            </w:pPr>
            <w:r>
              <w:t xml:space="preserve">Model</w:t>
            </w:r>
          </w:p>
        </w:tc>
        <w:tc>
          <w:tcPr>
            <w:tcW w:type="dxa" w:w="1419"/>
            <w:tcBorders>
              <w:top w:val="nil"/>
              <w:left w:val="nil"/>
              <w:bottom w:val="single" w:sz="6" w:space="0" w:color="000000"/>
              <w:right w:val="nil"/>
            </w:tcBorders>
          </w:tcPr>
          <w:p>
            <w:pPr>
              <w:pStyle w:val="Compact"/>
              <w:jc w:val="left"/>
            </w:pPr>
            <m:oMath>
              <m:r>
                <m:t>C</m:t>
              </m:r>
            </m:oMath>
            <w:r>
              <w:t xml:space="preserve"> </w:t>
            </w:r>
            <w:r>
              <w:t xml:space="preserve">(m²/kN)</w:t>
            </w:r>
          </w:p>
        </w:tc>
        <w:tc>
          <w:tcPr>
            <w:tcW w:type="dxa" w:w="1117"/>
            <w:tcBorders>
              <w:top w:val="nil"/>
              <w:left w:val="nil"/>
              <w:bottom w:val="single" w:sz="6" w:space="0" w:color="000000"/>
              <w:right w:val="nil"/>
            </w:tcBorders>
          </w:tcPr>
          <w:p>
            <w:pPr>
              <w:pStyle w:val="Compact"/>
              <w:jc w:val="left"/>
            </w:pPr>
            <w:r>
              <w:t xml:space="preserve">0.02 mm</w:t>
            </w:r>
          </w:p>
        </w:tc>
        <w:tc>
          <w:tcPr>
            <w:tcW w:type="dxa" w:w="985"/>
            <w:tcBorders>
              <w:top w:val="nil"/>
              <w:left w:val="nil"/>
              <w:bottom w:val="single" w:sz="6" w:space="0" w:color="000000"/>
              <w:right w:val="nil"/>
            </w:tcBorders>
          </w:tcPr>
          <w:p>
            <w:pPr>
              <w:pStyle w:val="Compact"/>
              <w:jc w:val="left"/>
            </w:pPr>
            <w:r>
              <w:t xml:space="preserve">0.05 mm</w:t>
            </w:r>
          </w:p>
        </w:tc>
        <w:tc>
          <w:tcPr>
            <w:tcW w:type="dxa" w:w="985"/>
            <w:tcBorders>
              <w:top w:val="nil"/>
              <w:left w:val="nil"/>
              <w:bottom w:val="single" w:sz="6" w:space="0" w:color="000000"/>
              <w:right w:val="nil"/>
            </w:tcBorders>
          </w:tcPr>
          <w:p>
            <w:pPr>
              <w:pStyle w:val="Compact"/>
              <w:jc w:val="left"/>
            </w:pPr>
            <w:r>
              <w:t xml:space="preserve">0.1 mm</w:t>
            </w:r>
          </w:p>
        </w:tc>
        <w:tc>
          <w:tcPr>
            <w:tcW w:type="dxa" w:w="1117"/>
            <w:tcBorders>
              <w:top w:val="nil"/>
              <w:left w:val="nil"/>
              <w:bottom w:val="single" w:sz="6" w:space="0" w:color="000000"/>
              <w:right w:val="nil"/>
            </w:tcBorders>
          </w:tcPr>
          <w:p>
            <w:pPr>
              <w:pStyle w:val="Compact"/>
              <w:jc w:val="left"/>
            </w:pPr>
            <w:r>
              <w:t xml:space="preserve">0.2 mm</w:t>
            </w:r>
          </w:p>
        </w:tc>
        <w:tc>
          <w:tcPr>
            <w:tcW w:type="dxa" w:w="1248"/>
            <w:tcBorders>
              <w:top w:val="nil"/>
              <w:left w:val="nil"/>
              <w:bottom w:val="single" w:sz="6" w:space="0" w:color="000000"/>
              <w:right w:val="nil"/>
            </w:tcBorders>
          </w:tcPr>
          <w:p>
            <w:pPr>
              <w:pStyle w:val="Compact"/>
              <w:jc w:val="left"/>
            </w:pPr>
            <w:r>
              <w:t xml:space="preserve">0.5 mm</w:t>
            </w:r>
          </w:p>
        </w:tc>
      </w:tr>
      <w:tr>
        <w:tc>
          <w:tcPr>
            <w:tcW w:type="dxa" w:w="1340"/>
          </w:tcPr>
          <w:p>
            <w:pPr>
              <w:pStyle w:val="Compact"/>
              <w:jc w:val="left"/>
            </w:pPr>
            <w:r>
              <w:t xml:space="preserve">N7, mid main span</w:t>
            </w:r>
          </w:p>
        </w:tc>
        <w:tc>
          <w:tcPr>
            <w:tcW w:type="dxa" w:w="854"/>
          </w:tcPr>
          <w:p>
            <w:pPr>
              <w:pStyle w:val="Compact"/>
              <w:jc w:val="left"/>
            </w:pPr>
            <w:r>
              <w:t xml:space="preserve">joint set</w:t>
            </w:r>
          </w:p>
        </w:tc>
        <w:tc>
          <w:tcPr>
            <w:tcW w:type="dxa" w:w="1419"/>
          </w:tcPr>
          <w:p>
            <w:pPr>
              <w:pStyle w:val="Compact"/>
              <w:jc w:val="left"/>
            </w:pPr>
            <w:r>
              <w:t xml:space="preserve">3.28–3.84 × 10⁻⁴</w:t>
            </w:r>
          </w:p>
        </w:tc>
        <w:tc>
          <w:tcPr>
            <w:tcW w:type="dxa" w:w="1117"/>
          </w:tcPr>
          <w:p>
            <w:pPr>
              <w:pStyle w:val="Compact"/>
              <w:jc w:val="left"/>
            </w:pPr>
            <w:r>
              <w:t xml:space="preserve">4.2–5.0 %</w:t>
            </w:r>
          </w:p>
        </w:tc>
        <w:tc>
          <w:tcPr>
            <w:tcW w:type="dxa" w:w="985"/>
          </w:tcPr>
          <w:p>
            <w:pPr>
              <w:pStyle w:val="Compact"/>
              <w:jc w:val="left"/>
            </w:pPr>
            <w:r>
              <w:t xml:space="preserve">11–12 %</w:t>
            </w:r>
          </w:p>
        </w:tc>
        <w:tc>
          <w:tcPr>
            <w:tcW w:type="dxa" w:w="985"/>
          </w:tcPr>
          <w:p>
            <w:pPr>
              <w:pStyle w:val="Compact"/>
              <w:jc w:val="left"/>
            </w:pPr>
            <w:r>
              <w:t xml:space="preserve">21–25 %</w:t>
            </w:r>
          </w:p>
        </w:tc>
        <w:tc>
          <w:tcPr>
            <w:tcW w:type="dxa" w:w="1117"/>
          </w:tcPr>
          <w:p>
            <w:pPr>
              <w:pStyle w:val="Compact"/>
              <w:jc w:val="left"/>
            </w:pPr>
            <w:r>
              <w:t xml:space="preserve">42–50 %</w:t>
            </w:r>
          </w:p>
        </w:tc>
        <w:tc>
          <w:tcPr>
            <w:tcW w:type="dxa" w:w="1248"/>
          </w:tcPr>
          <w:p>
            <w:pPr>
              <w:pStyle w:val="Compact"/>
              <w:jc w:val="left"/>
            </w:pPr>
            <w:r>
              <w:t xml:space="preserve">106–124 %</w:t>
            </w:r>
          </w:p>
        </w:tc>
      </w:tr>
      <w:tr>
        <w:tc>
          <w:tcPr>
            <w:tcW w:type="dxa" w:w="1340"/>
          </w:tcPr>
          <w:p>
            <w:pPr>
              <w:pStyle w:val="Compact"/>
              <w:jc w:val="left"/>
            </w:pPr>
            <w:r>
              <w:t xml:space="preserve">N7, mid main span</w:t>
            </w:r>
          </w:p>
        </w:tc>
        <w:tc>
          <w:tcPr>
            <w:tcW w:type="dxa" w:w="854"/>
          </w:tcPr>
          <w:p>
            <w:pPr>
              <w:pStyle w:val="Compact"/>
              <w:jc w:val="left"/>
            </w:pPr>
            <w:r>
              <w:t xml:space="preserve">A / B</w:t>
            </w:r>
          </w:p>
        </w:tc>
        <w:tc>
          <w:tcPr>
            <w:tcW w:type="dxa" w:w="1419"/>
          </w:tcPr>
          <w:p>
            <w:pPr>
              <w:pStyle w:val="Compact"/>
              <w:jc w:val="left"/>
            </w:pPr>
            <w:r>
              <w:t xml:space="preserve">3.61 / 4.05 × 10⁻⁴</w:t>
            </w:r>
          </w:p>
        </w:tc>
        <w:tc>
          <w:tcPr>
            <w:tcW w:type="dxa" w:w="1117"/>
          </w:tcPr>
          <w:p>
            <w:pPr>
              <w:pStyle w:val="Compact"/>
              <w:jc w:val="left"/>
            </w:pPr>
            <w:r>
              <w:t xml:space="preserve">4.5 / 4.0 %</w:t>
            </w:r>
          </w:p>
        </w:tc>
        <w:tc>
          <w:tcPr>
            <w:tcW w:type="dxa" w:w="985"/>
          </w:tcPr>
          <w:p>
            <w:pPr>
              <w:pStyle w:val="Compact"/>
              <w:jc w:val="left"/>
            </w:pPr>
            <w:r>
              <w:t xml:space="preserve">11 / 10 %</w:t>
            </w:r>
          </w:p>
        </w:tc>
        <w:tc>
          <w:tcPr>
            <w:tcW w:type="dxa" w:w="985"/>
          </w:tcPr>
          <w:p>
            <w:pPr>
              <w:pStyle w:val="Compact"/>
              <w:jc w:val="left"/>
            </w:pPr>
            <w:r>
              <w:t xml:space="preserve">23 / 20 %</w:t>
            </w:r>
          </w:p>
        </w:tc>
        <w:tc>
          <w:tcPr>
            <w:tcW w:type="dxa" w:w="1117"/>
          </w:tcPr>
          <w:p>
            <w:pPr>
              <w:pStyle w:val="Compact"/>
              <w:jc w:val="left"/>
            </w:pPr>
            <w:r>
              <w:t xml:space="preserve">45 / 40 %</w:t>
            </w:r>
          </w:p>
        </w:tc>
        <w:tc>
          <w:tcPr>
            <w:tcW w:type="dxa" w:w="1248"/>
          </w:tcPr>
          <w:p>
            <w:pPr>
              <w:pStyle w:val="Compact"/>
              <w:jc w:val="left"/>
            </w:pPr>
            <w:r>
              <w:t xml:space="preserve">113 / 101 %</w:t>
            </w:r>
          </w:p>
        </w:tc>
      </w:tr>
      <w:tr>
        <w:tc>
          <w:tcPr>
            <w:tcW w:type="dxa" w:w="1340"/>
          </w:tcPr>
          <w:p>
            <w:pPr>
              <w:pStyle w:val="Compact"/>
              <w:jc w:val="left"/>
            </w:pPr>
            <w:r>
              <w:t xml:space="preserve">N8, 0.4L</w:t>
            </w:r>
          </w:p>
        </w:tc>
        <w:tc>
          <w:tcPr>
            <w:tcW w:type="dxa" w:w="854"/>
          </w:tcPr>
          <w:p>
            <w:pPr>
              <w:pStyle w:val="Compact"/>
              <w:jc w:val="left"/>
            </w:pPr>
            <w:r>
              <w:t xml:space="preserve">joint set</w:t>
            </w:r>
          </w:p>
        </w:tc>
        <w:tc>
          <w:tcPr>
            <w:tcW w:type="dxa" w:w="1419"/>
          </w:tcPr>
          <w:p>
            <w:pPr>
              <w:pStyle w:val="Compact"/>
              <w:jc w:val="left"/>
            </w:pPr>
            <w:r>
              <w:t xml:space="preserve">3.00–9.39 × 10⁻⁵</w:t>
            </w:r>
          </w:p>
        </w:tc>
        <w:tc>
          <w:tcPr>
            <w:tcW w:type="dxa" w:w="1117"/>
          </w:tcPr>
          <w:p>
            <w:pPr>
              <w:pStyle w:val="Compact"/>
              <w:jc w:val="left"/>
            </w:pPr>
            <w:r>
              <w:t xml:space="preserve">17–54 %</w:t>
            </w:r>
          </w:p>
        </w:tc>
        <w:tc>
          <w:tcPr>
            <w:tcW w:type="dxa" w:w="985"/>
          </w:tcPr>
          <w:p>
            <w:pPr>
              <w:pStyle w:val="Compact"/>
              <w:jc w:val="left"/>
            </w:pPr>
            <w:r>
              <w:t xml:space="preserve">43–136 %</w:t>
            </w:r>
          </w:p>
        </w:tc>
        <w:tc>
          <w:tcPr>
            <w:tcW w:type="dxa" w:w="985"/>
          </w:tcPr>
          <w:p>
            <w:pPr>
              <w:pStyle w:val="Compact"/>
              <w:jc w:val="left"/>
            </w:pPr>
            <w:r>
              <w:t xml:space="preserve">87–271 %</w:t>
            </w:r>
          </w:p>
        </w:tc>
        <w:tc>
          <w:tcPr>
            <w:tcW w:type="dxa" w:w="1117"/>
          </w:tcPr>
          <w:p>
            <w:pPr>
              <w:pStyle w:val="Compact"/>
              <w:jc w:val="left"/>
            </w:pPr>
            <w:r>
              <w:t xml:space="preserve">173–543 %</w:t>
            </w:r>
          </w:p>
        </w:tc>
        <w:tc>
          <w:tcPr>
            <w:tcW w:type="dxa" w:w="1248"/>
          </w:tcPr>
          <w:p>
            <w:pPr>
              <w:pStyle w:val="Compact"/>
              <w:jc w:val="left"/>
            </w:pPr>
            <w:r>
              <w:t xml:space="preserve">433–1356 %</w:t>
            </w:r>
          </w:p>
        </w:tc>
      </w:tr>
      <w:tr>
        <w:tc>
          <w:tcPr>
            <w:tcW w:type="dxa" w:w="1340"/>
          </w:tcPr>
          <w:p>
            <w:pPr>
              <w:pStyle w:val="Compact"/>
              <w:jc w:val="left"/>
            </w:pPr>
            <w:r>
              <w:t xml:space="preserve">N8, 0.4L</w:t>
            </w:r>
          </w:p>
        </w:tc>
        <w:tc>
          <w:tcPr>
            <w:tcW w:type="dxa" w:w="854"/>
          </w:tcPr>
          <w:p>
            <w:pPr>
              <w:pStyle w:val="Compact"/>
              <w:jc w:val="left"/>
            </w:pPr>
            <w:r>
              <w:t xml:space="preserve">A / B</w:t>
            </w:r>
          </w:p>
        </w:tc>
        <w:tc>
          <w:tcPr>
            <w:tcW w:type="dxa" w:w="1419"/>
          </w:tcPr>
          <w:p>
            <w:pPr>
              <w:pStyle w:val="Compact"/>
              <w:jc w:val="left"/>
            </w:pPr>
            <w:r>
              <w:t xml:space="preserve">4.38 / 11.5 × 10⁻⁵</w:t>
            </w:r>
          </w:p>
        </w:tc>
        <w:tc>
          <w:tcPr>
            <w:tcW w:type="dxa" w:w="1117"/>
          </w:tcPr>
          <w:p>
            <w:pPr>
              <w:pStyle w:val="Compact"/>
              <w:jc w:val="left"/>
            </w:pPr>
            <w:r>
              <w:t xml:space="preserve">37 / 14 %</w:t>
            </w:r>
          </w:p>
        </w:tc>
        <w:tc>
          <w:tcPr>
            <w:tcW w:type="dxa" w:w="985"/>
          </w:tcPr>
          <w:p>
            <w:pPr>
              <w:pStyle w:val="Compact"/>
              <w:jc w:val="left"/>
            </w:pPr>
            <w:r>
              <w:t xml:space="preserve">93 / 35 %</w:t>
            </w:r>
          </w:p>
        </w:tc>
        <w:tc>
          <w:tcPr>
            <w:tcW w:type="dxa" w:w="985"/>
          </w:tcPr>
          <w:p>
            <w:pPr>
              <w:pStyle w:val="Compact"/>
              <w:jc w:val="left"/>
            </w:pPr>
            <w:r>
              <w:t xml:space="preserve">186 / 71 %</w:t>
            </w:r>
          </w:p>
        </w:tc>
        <w:tc>
          <w:tcPr>
            <w:tcW w:type="dxa" w:w="1117"/>
          </w:tcPr>
          <w:p>
            <w:pPr>
              <w:pStyle w:val="Compact"/>
              <w:jc w:val="left"/>
            </w:pPr>
            <w:r>
              <w:t xml:space="preserve">372 / 142 %</w:t>
            </w:r>
          </w:p>
        </w:tc>
        <w:tc>
          <w:tcPr>
            <w:tcW w:type="dxa" w:w="1248"/>
          </w:tcPr>
          <w:p>
            <w:pPr>
              <w:pStyle w:val="Compact"/>
              <w:jc w:val="left"/>
            </w:pPr>
            <w:r>
              <w:t xml:space="preserve">930 / 355 %</w:t>
            </w:r>
          </w:p>
        </w:tc>
      </w:tr>
    </w:tbl>
    <w:p>
      <w:pPr>
        <w:pStyle w:val="BodyText"/>
      </w:pPr>
      <w:r>
        <w:t xml:space="preserve">At</w:t>
      </w:r>
      <w:r>
        <w:t xml:space="preserve"> </w:t>
      </w:r>
      <m:oMath>
        <m:sSub>
          <m:e>
            <m:r>
              <m:t>ε</m:t>
            </m:r>
          </m:e>
          <m:sub>
            <m:r>
              <m:t>0</m:t>
            </m:r>
          </m:sub>
        </m:sSub>
        <m:r>
          <m:rPr>
            <m:sty m:val="p"/>
          </m:rPr>
          <m:t>=</m:t>
        </m:r>
        <m:r>
          <m:t>0.1</m:t>
        </m:r>
      </m:oMath>
      <w:r>
        <w:t xml:space="preserve"> </w:t>
      </w:r>
      <w:r>
        <w:t xml:space="preserve">mm a single centre-span gauge biases a 25 t truck by 21–25 %, and a single side-span gauge by 87–271 %. With present absolute-deflection technology, single-point integral weighing on a long-span girder is therefore marginal even at the best location. The offset-immune pair of Section 2.4 addresses exactly this term: it cancels the common-mode part of the offset and leaves only the independent part.</w:t>
      </w:r>
    </w:p>
    <w:bookmarkEnd w:id="44"/>
    <w:bookmarkStart w:id="45" w:name="Xb90c67dbe4d42613394e5369dc50bd2aaeb3ef8"/>
    <w:p>
      <w:pPr>
        <w:pStyle w:val="Heading3"/>
      </w:pPr>
      <w:r>
        <w:t xml:space="preserve">6.3. Transverse position and multiple presence</w:t>
      </w:r>
    </w:p>
    <w:p>
      <w:pPr>
        <w:pStyle w:val="FirstParagraph"/>
      </w:pPr>
      <w:r>
        <w:t xml:space="preserve">The constant belongs to the load path. On the five-span girder the far-lane constant was 0.81 of the near-lane value for the gauge average and 0.66–1.02 for individual gauges, and at Cầu Mây the readings across one section spread by up to 2.05 mm in the eccentric N7 case, about 13 % of the mean reading. A single channel therefore carries the transverse position of the vehicle as an error term unless the lane is identified and lane-specific constants are used. Several vehicles on the structure return their combined weight: superposition held within 7–8 % on the five-span girder. A crossing of the 200 m Cầu Mây unit takes 12.4 s at 60 km/h, and every crossing that overlaps another vehicle in that window must be discarded or treated as a group. The fraction of usable isolated crossings depends on the traffic and was not quantified.</w:t>
      </w:r>
    </w:p>
    <w:p>
      <w:pPr>
        <w:pStyle w:val="BodyText"/>
      </w:pPr>
      <w:r>
        <w:rPr>
          <w:bCs/>
          <w:b/>
        </w:rPr>
        <w:t xml:space="preserve">Table 7.</w:t>
      </w:r>
      <w:r>
        <w:t xml:space="preserve"> </w:t>
      </w:r>
      <w:r>
        <w:t xml:space="preserve">Indicative sensitivity budget of the integral estimator. Values are those measured or assumed in this paper; they are not combined.</w:t>
      </w:r>
    </w:p>
    <w:tbl>
      <w:tblPr>
        <w:tblStyle w:val="Table"/>
        <w:tblW w:type="pct" w:w="5000"/>
        <w:tblLook w:firstRow="1" w:lastRow="0" w:firstColumn="0" w:lastColumn="0" w:noHBand="0" w:noVBand="0" w:val="0020"/>
        <w:jc w:val="start"/>
        <w:tblBorders>
          <w:top w:val="single" w:sz="8" w:space="0" w:color="000000"/>
          <w:left w:val="nil"/>
          <w:bottom w:val="single" w:sz="8" w:space="0" w:color="000000"/>
          <w:right w:val="nil"/>
          <w:insideH w:val="nil"/>
          <w:insideV w:val="nil"/>
        </w:tblBorders>
      </w:tblPr>
      <w:tblGrid>
        <w:gridCol w:w="1782"/>
        <w:gridCol w:w="2193"/>
        <w:gridCol w:w="2546"/>
        <w:gridCol w:w="2546"/>
      </w:tblGrid>
      <w:tr>
        <w:trPr>
          <w:tblHeader w:val="true"/>
        </w:trPr>
        <w:tc>
          <w:tcPr>
            <w:tcW w:type="dxa" w:w="1782"/>
            <w:tcBorders>
              <w:top w:val="nil"/>
              <w:left w:val="nil"/>
              <w:bottom w:val="single" w:sz="6" w:space="0" w:color="000000"/>
              <w:right w:val="nil"/>
            </w:tcBorders>
          </w:tcPr>
          <w:p>
            <w:pPr>
              <w:pStyle w:val="Compact"/>
              <w:jc w:val="left"/>
            </w:pPr>
            <w:r>
              <w:t xml:space="preserve">Term</w:t>
            </w:r>
          </w:p>
        </w:tc>
        <w:tc>
          <w:tcPr>
            <w:tcW w:type="dxa" w:w="2193"/>
            <w:tcBorders>
              <w:top w:val="nil"/>
              <w:left w:val="nil"/>
              <w:bottom w:val="single" w:sz="6" w:space="0" w:color="000000"/>
              <w:right w:val="nil"/>
            </w:tcBorders>
          </w:tcPr>
          <w:p>
            <w:pPr>
              <w:pStyle w:val="Compact"/>
              <w:jc w:val="left"/>
            </w:pPr>
            <w:r>
              <w:t xml:space="preserve">Sensitivity</w:t>
            </w:r>
          </w:p>
        </w:tc>
        <w:tc>
          <w:tcPr>
            <w:tcW w:type="dxa" w:w="2546"/>
            <w:tcBorders>
              <w:top w:val="nil"/>
              <w:left w:val="nil"/>
              <w:bottom w:val="single" w:sz="6" w:space="0" w:color="000000"/>
              <w:right w:val="nil"/>
            </w:tcBorders>
          </w:tcPr>
          <w:p>
            <w:pPr>
              <w:pStyle w:val="Compact"/>
              <w:jc w:val="left"/>
            </w:pPr>
            <w:r>
              <w:t xml:space="preserve">Cancels in SLM?</w:t>
            </w:r>
          </w:p>
        </w:tc>
        <w:tc>
          <w:tcPr>
            <w:tcW w:type="dxa" w:w="2546"/>
            <w:tcBorders>
              <w:top w:val="nil"/>
              <w:left w:val="nil"/>
              <w:bottom w:val="single" w:sz="6" w:space="0" w:color="000000"/>
              <w:right w:val="nil"/>
            </w:tcBorders>
          </w:tcPr>
          <w:p>
            <w:pPr>
              <w:pStyle w:val="Compact"/>
              <w:jc w:val="left"/>
            </w:pPr>
            <w:r>
              <w:t xml:space="preserve">Value in this paper</w:t>
            </w:r>
          </w:p>
        </w:tc>
      </w:tr>
      <w:tr>
        <w:tc>
          <w:tcPr>
            <w:tcW w:type="dxa" w:w="1782"/>
          </w:tcPr>
          <w:p>
            <w:pPr>
              <w:pStyle w:val="Compact"/>
              <w:jc w:val="left"/>
            </w:pPr>
            <w:r>
              <w:t xml:space="preserve">Flexural rigidity</w:t>
            </w:r>
            <w:r>
              <w:t xml:space="preserve"> </w:t>
            </w:r>
            <m:oMath>
              <m:r>
                <m:t>E</m:t>
              </m:r>
              <m:r>
                <m:t>I</m:t>
              </m:r>
            </m:oMath>
          </w:p>
        </w:tc>
        <w:tc>
          <w:tcPr>
            <w:tcW w:type="dxa" w:w="2193"/>
          </w:tcPr>
          <w:p>
            <w:pPr>
              <w:pStyle w:val="Compact"/>
              <w:jc w:val="left"/>
            </w:pPr>
            <w:r>
              <w:t xml:space="preserve">1</w:t>
            </w:r>
          </w:p>
        </w:tc>
        <w:tc>
          <w:tcPr>
            <w:tcW w:type="dxa" w:w="2546"/>
          </w:tcPr>
          <w:p>
            <w:pPr>
              <w:pStyle w:val="Compact"/>
              <w:jc w:val="left"/>
            </w:pPr>
            <w:r>
              <w:t xml:space="preserve">yes</w:t>
            </w:r>
          </w:p>
        </w:tc>
        <w:tc>
          <w:tcPr>
            <w:tcW w:type="dxa" w:w="2546"/>
          </w:tcPr>
          <w:p>
            <w:pPr>
              <w:pStyle w:val="Compact"/>
              <w:jc w:val="left"/>
            </w:pPr>
            <w:r>
              <w:t xml:space="preserve">BPM only; Cầu Mây N8 shape factor varies 6.5-fold over the static set</w:t>
            </w:r>
          </w:p>
        </w:tc>
      </w:tr>
      <w:tr>
        <w:tc>
          <w:tcPr>
            <w:tcW w:type="dxa" w:w="1782"/>
          </w:tcPr>
          <w:p>
            <w:pPr>
              <w:pStyle w:val="Compact"/>
              <w:jc w:val="left"/>
            </w:pPr>
            <w:r>
              <w:t xml:space="preserve">Span length</w:t>
            </w:r>
          </w:p>
        </w:tc>
        <w:tc>
          <w:tcPr>
            <w:tcW w:type="dxa" w:w="2193"/>
          </w:tcPr>
          <w:p>
            <w:pPr>
              <w:pStyle w:val="Compact"/>
              <w:jc w:val="left"/>
            </w:pPr>
            <w:r>
              <w:t xml:space="preserve">4</w:t>
            </w:r>
          </w:p>
        </w:tc>
        <w:tc>
          <w:tcPr>
            <w:tcW w:type="dxa" w:w="2546"/>
          </w:tcPr>
          <w:p>
            <w:pPr>
              <w:pStyle w:val="Compact"/>
              <w:jc w:val="left"/>
            </w:pPr>
            <w:r>
              <w:t xml:space="preserve">yes</w:t>
            </w:r>
          </w:p>
        </w:tc>
        <w:tc>
          <w:tcPr>
            <w:tcW w:type="dxa" w:w="2546"/>
          </w:tcPr>
          <w:p>
            <w:pPr>
              <w:pStyle w:val="Compact"/>
              <w:jc w:val="left"/>
            </w:pPr>
            <w:r>
              <w:t xml:space="preserve">BPM only</w:t>
            </w:r>
          </w:p>
        </w:tc>
      </w:tr>
      <w:tr>
        <w:tc>
          <w:tcPr>
            <w:tcW w:type="dxa" w:w="1782"/>
          </w:tcPr>
          <w:p>
            <w:pPr>
              <w:pStyle w:val="Compact"/>
              <w:jc w:val="left"/>
            </w:pPr>
            <w:r>
              <w:t xml:space="preserve">Gain</w:t>
            </w:r>
          </w:p>
        </w:tc>
        <w:tc>
          <w:tcPr>
            <w:tcW w:type="dxa" w:w="2193"/>
          </w:tcPr>
          <w:p>
            <w:pPr>
              <w:pStyle w:val="Compact"/>
              <w:jc w:val="left"/>
            </w:pPr>
            <w:r>
              <w:t xml:space="preserve">1</w:t>
            </w:r>
          </w:p>
        </w:tc>
        <w:tc>
          <w:tcPr>
            <w:tcW w:type="dxa" w:w="2546"/>
          </w:tcPr>
          <w:p>
            <w:pPr>
              <w:pStyle w:val="Compact"/>
              <w:jc w:val="left"/>
            </w:pPr>
            <w:r>
              <w:t xml:space="preserve">if not recalibrated between crossings</w:t>
            </w:r>
          </w:p>
        </w:tc>
        <w:tc>
          <w:tcPr>
            <w:tcW w:type="dxa" w:w="2546"/>
          </w:tcPr>
          <w:p>
            <w:pPr>
              <w:pStyle w:val="Compact"/>
              <w:jc w:val="left"/>
            </w:pPr>
            <w:r>
              <w:t xml:space="preserve">not evaluated</w:t>
            </w:r>
          </w:p>
        </w:tc>
      </w:tr>
      <w:tr>
        <w:tc>
          <w:tcPr>
            <w:tcW w:type="dxa" w:w="1782"/>
          </w:tcPr>
          <w:p>
            <w:pPr>
              <w:pStyle w:val="Compact"/>
              <w:jc w:val="left"/>
            </w:pPr>
            <w:r>
              <w:t xml:space="preserve">Reference weighing</w:t>
            </w:r>
            <w:r>
              <w:t xml:space="preserve"> </w:t>
            </w:r>
            <m:oMath>
              <m:sSub>
                <m:e>
                  <m:r>
                    <m:t>P</m:t>
                  </m:r>
                </m:e>
                <m:sub>
                  <m:r>
                    <m:t>0</m:t>
                  </m:r>
                </m:sub>
              </m:sSub>
            </m:oMath>
          </w:p>
        </w:tc>
        <w:tc>
          <w:tcPr>
            <w:tcW w:type="dxa" w:w="2193"/>
          </w:tcPr>
          <w:p>
            <w:pPr>
              <w:pStyle w:val="Compact"/>
              <w:jc w:val="left"/>
            </w:pPr>
            <w:r>
              <w:t xml:space="preserve">1</w:t>
            </w:r>
          </w:p>
        </w:tc>
        <w:tc>
          <w:tcPr>
            <w:tcW w:type="dxa" w:w="2546"/>
          </w:tcPr>
          <w:p>
            <w:pPr>
              <w:pStyle w:val="Compact"/>
              <w:jc w:val="left"/>
            </w:pPr>
            <w:r>
              <w:t xml:space="preserve">no</w:t>
            </w:r>
          </w:p>
        </w:tc>
        <w:tc>
          <w:tcPr>
            <w:tcW w:type="dxa" w:w="2546"/>
          </w:tcPr>
          <w:p>
            <w:pPr>
              <w:pStyle w:val="Compact"/>
              <w:jc w:val="left"/>
            </w:pPr>
            <w:r>
              <w:t xml:space="preserve">laboratory: accuracy class [NEED VALUE]; field: day-1 weights driver-reported</w:t>
            </w:r>
          </w:p>
        </w:tc>
      </w:tr>
      <w:tr>
        <w:tc>
          <w:tcPr>
            <w:tcW w:type="dxa" w:w="1782"/>
          </w:tcPr>
          <w:p>
            <w:pPr>
              <w:pStyle w:val="Compact"/>
              <w:jc w:val="left"/>
            </w:pPr>
            <w:r>
              <w:t xml:space="preserve">Residual offset</w:t>
            </w:r>
            <w:r>
              <w:t xml:space="preserve"> </w:t>
            </w:r>
            <m:oMath>
              <m:sSub>
                <m:e>
                  <m:r>
                    <m:t>ε</m:t>
                  </m:r>
                </m:e>
                <m:sub>
                  <m:r>
                    <m:t>0</m:t>
                  </m:r>
                </m:sub>
              </m:sSub>
            </m:oMath>
          </w:p>
        </w:tc>
        <w:tc>
          <w:tcPr>
            <w:tcW w:type="dxa" w:w="2193"/>
          </w:tcPr>
          <w:p>
            <w:pPr>
              <w:pStyle w:val="Compact"/>
              <w:jc w:val="left"/>
            </w:pPr>
            <m:oMath>
              <m:sSub>
                <m:e>
                  <m:r>
                    <m:t>L</m:t>
                  </m:r>
                </m:e>
                <m:sub>
                  <m:r>
                    <m:rPr>
                      <m:sty m:val="p"/>
                    </m:rPr>
                    <m:t>t</m:t>
                  </m:r>
                  <m:r>
                    <m:rPr>
                      <m:sty m:val="p"/>
                    </m:rPr>
                    <m:t>o</m:t>
                  </m:r>
                  <m:r>
                    <m:rPr>
                      <m:sty m:val="p"/>
                    </m:rPr>
                    <m:t>t</m:t>
                  </m:r>
                </m:sub>
              </m:sSub>
              <m:r>
                <m:rPr>
                  <m:sty m:val="p"/>
                </m:rPr>
                <m:t>/</m:t>
              </m:r>
              <m:r>
                <m:t>I</m:t>
              </m:r>
            </m:oMath>
          </w:p>
        </w:tc>
        <w:tc>
          <w:tcPr>
            <w:tcW w:type="dxa" w:w="2546"/>
          </w:tcPr>
          <w:p>
            <w:pPr>
              <w:pStyle w:val="Compact"/>
              <w:jc w:val="left"/>
            </w:pPr>
            <w:r>
              <w:t xml:space="preserve">only with zero-sum weights, Eq. (14)</w:t>
            </w:r>
          </w:p>
        </w:tc>
        <w:tc>
          <w:tcPr>
            <w:tcW w:type="dxa" w:w="2546"/>
          </w:tcPr>
          <w:p>
            <w:pPr>
              <w:pStyle w:val="Compact"/>
              <w:jc w:val="left"/>
            </w:pPr>
            <w:r>
              <w:t xml:space="preserve">Table 6; NOR-BWIM integral noise 10 % (day 1) and 35 % (day 2) per crossing at the reference gauge</w:t>
            </w:r>
          </w:p>
        </w:tc>
      </w:tr>
      <w:tr>
        <w:tc>
          <w:tcPr>
            <w:tcW w:type="dxa" w:w="1782"/>
          </w:tcPr>
          <w:p>
            <w:pPr>
              <w:pStyle w:val="Compact"/>
              <w:jc w:val="left"/>
            </w:pPr>
            <w:r>
              <w:t xml:space="preserve">Speed</w:t>
            </w:r>
          </w:p>
        </w:tc>
        <w:tc>
          <w:tcPr>
            <w:tcW w:type="dxa" w:w="2193"/>
          </w:tcPr>
          <w:p>
            <w:pPr>
              <w:pStyle w:val="Compact"/>
              <w:jc w:val="left"/>
            </w:pPr>
            <w:r>
              <w:t xml:space="preserve">1</w:t>
            </w:r>
          </w:p>
        </w:tc>
        <w:tc>
          <w:tcPr>
            <w:tcW w:type="dxa" w:w="2546"/>
          </w:tcPr>
          <w:p>
            <w:pPr>
              <w:pStyle w:val="Compact"/>
              <w:jc w:val="left"/>
            </w:pPr>
            <w:r>
              <w:t xml:space="preserve">no</w:t>
            </w:r>
          </w:p>
        </w:tc>
        <w:tc>
          <w:tcPr>
            <w:tcW w:type="dxa" w:w="2546"/>
          </w:tcPr>
          <w:p>
            <w:pPr>
              <w:pStyle w:val="Compact"/>
              <w:jc w:val="left"/>
            </w:pPr>
            <w:r>
              <w:t xml:space="preserve">NOR-BWIM: slope −3.6 ± 5.8 % per 10 m/s, not resolved</w:t>
            </w:r>
          </w:p>
        </w:tc>
      </w:tr>
      <w:tr>
        <w:tc>
          <w:tcPr>
            <w:tcW w:type="dxa" w:w="1782"/>
          </w:tcPr>
          <w:p>
            <w:pPr>
              <w:pStyle w:val="Compact"/>
              <w:jc w:val="left"/>
            </w:pPr>
            <w:r>
              <w:t xml:space="preserve">Dynamics</w:t>
            </w:r>
          </w:p>
        </w:tc>
        <w:tc>
          <w:tcPr>
            <w:tcW w:type="dxa" w:w="2193"/>
          </w:tcPr>
          <w:p>
            <w:pPr>
              <w:pStyle w:val="Compact"/>
              <w:jc w:val="left"/>
            </w:pPr>
            <w:r>
              <w:t xml:space="preserve">1</w:t>
            </w:r>
          </w:p>
        </w:tc>
        <w:tc>
          <w:tcPr>
            <w:tcW w:type="dxa" w:w="2546"/>
          </w:tcPr>
          <w:p>
            <w:pPr>
              <w:pStyle w:val="Compact"/>
              <w:jc w:val="left"/>
            </w:pPr>
            <w:r>
              <w:t xml:space="preserve">partly</w:t>
            </w:r>
          </w:p>
        </w:tc>
        <w:tc>
          <w:tcPr>
            <w:tcW w:type="dxa" w:w="2546"/>
          </w:tcPr>
          <w:p>
            <w:pPr>
              <w:pStyle w:val="Compact"/>
              <w:jc w:val="left"/>
            </w:pPr>
            <w:r>
              <w:t xml:space="preserve">≤ 1 % for</w:t>
            </w:r>
            <w:r>
              <w:t xml:space="preserve"> </w:t>
            </w:r>
            <m:oMath>
              <m:sSub>
                <m:e>
                  <m:r>
                    <m:t>T</m:t>
                  </m:r>
                </m:e>
                <m:sub>
                  <m:r>
                    <m:rPr>
                      <m:sty m:val="p"/>
                    </m:rPr>
                    <m:t>c</m:t>
                  </m:r>
                  <m:r>
                    <m:rPr>
                      <m:sty m:val="p"/>
                    </m:rPr>
                    <m:t>r</m:t>
                  </m:r>
                </m:sub>
              </m:sSub>
              <m:r>
                <m:rPr>
                  <m:sty m:val="p"/>
                </m:rPr>
                <m:t>/</m:t>
              </m:r>
              <m:sSub>
                <m:e>
                  <m:r>
                    <m:t>T</m:t>
                  </m:r>
                </m:e>
                <m:sub>
                  <m:r>
                    <m:t>1</m:t>
                  </m:r>
                </m:sub>
              </m:sSub>
              <m:r>
                <m:rPr>
                  <m:sty m:val="p"/>
                </m:rPr>
                <m:t>≥</m:t>
              </m:r>
              <m:r>
                <m:t>8</m:t>
              </m:r>
            </m:oMath>
            <w:r>
              <w:t xml:space="preserve"> </w:t>
            </w:r>
            <w:r>
              <w:t xml:space="preserve">(constant force)</w:t>
            </w:r>
          </w:p>
        </w:tc>
      </w:tr>
      <w:tr>
        <w:tc>
          <w:tcPr>
            <w:tcW w:type="dxa" w:w="1782"/>
          </w:tcPr>
          <w:p>
            <w:pPr>
              <w:pStyle w:val="Compact"/>
              <w:jc w:val="left"/>
            </w:pPr>
            <w:r>
              <w:t xml:space="preserve">Transverse position</w:t>
            </w:r>
          </w:p>
        </w:tc>
        <w:tc>
          <w:tcPr>
            <w:tcW w:type="dxa" w:w="2193"/>
          </w:tcPr>
          <w:p>
            <w:pPr>
              <w:pStyle w:val="Compact"/>
              <w:jc w:val="left"/>
            </w:pPr>
            <w:r>
              <w:t xml:space="preserve">lane-dependent</w:t>
            </w:r>
            <w:r>
              <w:t xml:space="preserve"> </w:t>
            </w:r>
            <m:oMath>
              <m:r>
                <m:t>C</m:t>
              </m:r>
            </m:oMath>
          </w:p>
        </w:tc>
        <w:tc>
          <w:tcPr>
            <w:tcW w:type="dxa" w:w="2546"/>
          </w:tcPr>
          <w:p>
            <w:pPr>
              <w:pStyle w:val="Compact"/>
              <w:jc w:val="left"/>
            </w:pPr>
            <w:r>
              <w:t xml:space="preserve">no, unless lane-specific</w:t>
            </w:r>
          </w:p>
        </w:tc>
        <w:tc>
          <w:tcPr>
            <w:tcW w:type="dxa" w:w="2546"/>
          </w:tcPr>
          <w:p>
            <w:pPr>
              <w:pStyle w:val="Compact"/>
              <w:jc w:val="left"/>
            </w:pPr>
            <w:r>
              <w:t xml:space="preserve">NOR-BWIM</w:t>
            </w:r>
            <w:r>
              <w:t xml:space="preserve"> </w:t>
            </w:r>
            <m:oMath>
              <m:sSub>
                <m:e>
                  <m:r>
                    <m:t>C</m:t>
                  </m:r>
                </m:e>
                <m:sub>
                  <m:r>
                    <m:t>B</m:t>
                  </m:r>
                </m:sub>
              </m:sSub>
              <m:r>
                <m:rPr>
                  <m:sty m:val="p"/>
                </m:rPr>
                <m:t>/</m:t>
              </m:r>
              <m:sSub>
                <m:e>
                  <m:r>
                    <m:t>C</m:t>
                  </m:r>
                </m:e>
                <m:sub>
                  <m:r>
                    <m:t>A</m:t>
                  </m:r>
                </m:sub>
              </m:sSub>
            </m:oMath>
            <w:r>
              <w:t xml:space="preserve"> </w:t>
            </w:r>
            <w:r>
              <w:t xml:space="preserve">= 0.81; Cầu Mây spread 2.05 mm</w:t>
            </w:r>
          </w:p>
        </w:tc>
      </w:tr>
      <w:tr>
        <w:tc>
          <w:tcPr>
            <w:tcW w:type="dxa" w:w="1782"/>
          </w:tcPr>
          <w:p>
            <w:pPr>
              <w:pStyle w:val="Compact"/>
              <w:jc w:val="left"/>
            </w:pPr>
            <w:r>
              <w:t xml:space="preserve">Multiple presence</w:t>
            </w:r>
          </w:p>
        </w:tc>
        <w:tc>
          <w:tcPr>
            <w:tcW w:type="dxa" w:w="2193"/>
          </w:tcPr>
          <w:p>
            <w:pPr>
              <w:pStyle w:val="Compact"/>
              <w:jc w:val="left"/>
            </w:pPr>
            <w:r>
              <w:t xml:space="preserve">group weight</w:t>
            </w:r>
          </w:p>
        </w:tc>
        <w:tc>
          <w:tcPr>
            <w:tcW w:type="dxa" w:w="2546"/>
          </w:tcPr>
          <w:p>
            <w:pPr>
              <w:pStyle w:val="Compact"/>
              <w:jc w:val="left"/>
            </w:pPr>
            <w:r>
              <w:t xml:space="preserve">–</w:t>
            </w:r>
          </w:p>
        </w:tc>
        <w:tc>
          <w:tcPr>
            <w:tcW w:type="dxa" w:w="2546"/>
          </w:tcPr>
          <w:p>
            <w:pPr>
              <w:pStyle w:val="Compact"/>
              <w:jc w:val="left"/>
            </w:pPr>
            <w:r>
              <w:t xml:space="preserve">superposition 0.92–0.93</w:t>
            </w:r>
          </w:p>
        </w:tc>
      </w:tr>
      <w:tr>
        <w:tc>
          <w:tcPr>
            <w:tcW w:type="dxa" w:w="1782"/>
          </w:tcPr>
          <w:p>
            <w:pPr>
              <w:pStyle w:val="Compact"/>
              <w:jc w:val="left"/>
            </w:pPr>
            <w:r>
              <w:t xml:space="preserve">Linearity, seating</w:t>
            </w:r>
          </w:p>
        </w:tc>
        <w:tc>
          <w:tcPr>
            <w:tcW w:type="dxa" w:w="2193"/>
          </w:tcPr>
          <w:p>
            <w:pPr>
              <w:pStyle w:val="Compact"/>
              <w:jc w:val="left"/>
            </w:pPr>
            <w:r>
              <w:t xml:space="preserve">1</w:t>
            </w:r>
          </w:p>
        </w:tc>
        <w:tc>
          <w:tcPr>
            <w:tcW w:type="dxa" w:w="2546"/>
          </w:tcPr>
          <w:p>
            <w:pPr>
              <w:pStyle w:val="Compact"/>
              <w:jc w:val="left"/>
            </w:pPr>
            <w:r>
              <w:t xml:space="preserve">no</w:t>
            </w:r>
          </w:p>
        </w:tc>
        <w:tc>
          <w:tcPr>
            <w:tcW w:type="dxa" w:w="2546"/>
          </w:tcPr>
          <w:p>
            <w:pPr>
              <w:pStyle w:val="Compact"/>
              <w:jc w:val="left"/>
            </w:pPr>
            <w:r>
              <w:t xml:space="preserve">laboratory step 1.010 → 1.017</w:t>
            </w:r>
          </w:p>
        </w:tc>
      </w:tr>
      <w:tr>
        <w:tc>
          <w:tcPr>
            <w:tcW w:type="dxa" w:w="1782"/>
          </w:tcPr>
          <w:p>
            <w:pPr>
              <w:pStyle w:val="Compact"/>
              <w:jc w:val="left"/>
            </w:pPr>
            <w:r>
              <w:t xml:space="preserve">Random noise</w:t>
            </w:r>
          </w:p>
        </w:tc>
        <w:tc>
          <w:tcPr>
            <w:tcW w:type="dxa" w:w="2193"/>
          </w:tcPr>
          <w:p>
            <w:pPr>
              <w:pStyle w:val="Compact"/>
              <w:jc w:val="left"/>
            </w:pPr>
            <w:r>
              <w:t xml:space="preserve">&lt; 0.1</w:t>
            </w:r>
          </w:p>
        </w:tc>
        <w:tc>
          <w:tcPr>
            <w:tcW w:type="dxa" w:w="2546"/>
          </w:tcPr>
          <w:p>
            <w:pPr>
              <w:pStyle w:val="Compact"/>
              <w:jc w:val="left"/>
            </w:pPr>
            <w:r>
              <w:t xml:space="preserve">no</w:t>
            </w:r>
          </w:p>
        </w:tc>
        <w:tc>
          <w:tcPr>
            <w:tcW w:type="dxa" w:w="2546"/>
          </w:tcPr>
          <w:p>
            <w:pPr>
              <w:pStyle w:val="Compact"/>
              <w:jc w:val="left"/>
            </w:pPr>
            <w:r>
              <w:t xml:space="preserve">0.07 % (laboratory)</w:t>
            </w:r>
          </w:p>
        </w:tc>
      </w:tr>
    </w:tbl>
    <w:p>
      <w:pPr>
        <w:pStyle w:val="BodyText"/>
      </w:pPr>
      <w:r>
        <w:t xml:space="preserve">In the laboratory the reference record and the load-dependent step limit SLM to 0.6–0.7 %. In the field, slow drift, lane and speed dominate. The method is therefore proposed for preliminary overload screening, with the decision threshold set apart from the legal limit and the design live loads [56,57]; setting that threshold needs field calibration beyond this study.</w:t>
      </w:r>
    </w:p>
    <w:bookmarkEnd w:id="45"/>
    <w:bookmarkEnd w:id="46"/>
    <w:bookmarkStart w:id="47" w:name="design-workflow-and-recommendations"/>
    <w:p>
      <w:pPr>
        <w:pStyle w:val="Heading2"/>
      </w:pPr>
      <w:r>
        <w:t xml:space="preserve">7. Design workflow and recommendations</w:t>
      </w:r>
    </w:p>
    <w:p>
      <w:pPr>
        <w:pStyle w:val="FirstParagraph"/>
      </w:pPr>
      <w:r>
        <w:t xml:space="preserve">The results combine into a procedure for designing load-monitoring channels on a continuous girder before installation.</w:t>
      </w:r>
    </w:p>
    <w:p>
      <w:pPr>
        <w:numPr>
          <w:ilvl w:val="0"/>
          <w:numId w:val="1002"/>
        </w:numPr>
        <w:pStyle w:val="BodyText"/>
      </w:pPr>
      <w:r>
        <w:rPr>
          <w:bCs/>
          <w:b/>
        </w:rPr>
        <w:t xml:space="preserve">Constants.</w:t>
      </w:r>
      <w:r>
        <w:t xml:space="preserve"> </w:t>
      </w:r>
      <w:r>
        <w:t xml:space="preserve">For each candidate channel and position, compute</w:t>
      </w:r>
      <w:r>
        <w:t xml:space="preserve"> </w:t>
      </w:r>
      <m:oMath>
        <m:r>
          <m:t>C</m:t>
        </m:r>
      </m:oMath>
      <w:r>
        <w:t xml:space="preserve"> </w:t>
      </w:r>
      <w:r>
        <w:t xml:space="preserve">from one static analysis under a uniform unit load on each lane, Eq. (2). Use Eqs. (4)–(9) for prismatic two- and three-span beams.</w:t>
      </w:r>
    </w:p>
    <w:p>
      <w:pPr>
        <w:numPr>
          <w:ilvl w:val="0"/>
          <w:numId w:val="1002"/>
        </w:numPr>
        <w:pStyle w:val="BodyText"/>
      </w:pPr>
      <w:r>
        <w:rPr>
          <w:bCs/>
          <w:b/>
        </w:rPr>
        <w:t xml:space="preserve">Blindness.</w:t>
      </w:r>
      <w:r>
        <w:t xml:space="preserve"> </w:t>
      </w:r>
      <w:r>
        <w:t xml:space="preserve">Locate the blind loci of Table 1. Keep strain gauges out of the ring</w:t>
      </w:r>
      <w:r>
        <w:t xml:space="preserve"> </w:t>
      </w:r>
      <m:oMath>
        <m:d>
          <m:dPr>
            <m:begChr m:val="|"/>
            <m:endChr m:val="|"/>
            <m:sepChr m:val=""/>
            <m:grow/>
          </m:dPr>
          <m:e>
            <m:sSub>
              <m:e>
                <m:r>
                  <m:t>N</m:t>
                </m:r>
              </m:e>
              <m:sub>
                <m:r>
                  <m:t>M</m:t>
                </m:r>
              </m:sub>
            </m:sSub>
          </m:e>
        </m:d>
        <m:r>
          <m:rPr>
            <m:sty m:val="p"/>
          </m:rPr>
          <m:t>&lt;</m:t>
        </m:r>
        <m:r>
          <m:t>0.2</m:t>
        </m:r>
      </m:oMath>
      <w:r>
        <w:t xml:space="preserve"> </w:t>
      </w:r>
      <w:r>
        <w:t xml:space="preserve">around every zero-moment point, including gauges set back from a pier to clear the diaphragm. Keep deflection gauges out of the near-blind bands, for example</w:t>
      </w:r>
      <w:r>
        <w:t xml:space="preserve"> </w:t>
      </w:r>
      <m:oMath>
        <m:r>
          <m:t>1.385</m:t>
        </m:r>
        <m:r>
          <m:rPr>
            <m:sty m:val="p"/>
          </m:rPr>
          <m:t>&lt;</m:t>
        </m:r>
        <m:sSub>
          <m:e>
            <m:r>
              <m:t>ρ</m:t>
            </m:r>
          </m:e>
          <m:sub>
            <m:r>
              <m:t>L</m:t>
            </m:r>
          </m:sub>
        </m:sSub>
        <m:r>
          <m:rPr>
            <m:sty m:val="p"/>
          </m:rPr>
          <m:t>&lt;</m:t>
        </m:r>
        <m:r>
          <m:t>1.525</m:t>
        </m:r>
      </m:oMath>
      <w:r>
        <w:t xml:space="preserve"> </w:t>
      </w:r>
      <w:r>
        <w:t xml:space="preserve">for a mid-span gauge on two spans and</w:t>
      </w:r>
      <w:r>
        <w:t xml:space="preserve"> </w:t>
      </w:r>
      <m:oMath>
        <m:r>
          <m:t>1.621</m:t>
        </m:r>
        <m:r>
          <m:rPr>
            <m:sty m:val="p"/>
          </m:rPr>
          <m:t>&lt;</m:t>
        </m:r>
        <m:r>
          <m:t>β</m:t>
        </m:r>
        <m:r>
          <m:rPr>
            <m:sty m:val="p"/>
          </m:rPr>
          <m:t>&lt;</m:t>
        </m:r>
        <m:r>
          <m:t>1.775</m:t>
        </m:r>
      </m:oMath>
      <w:r>
        <w:t xml:space="preserve"> </w:t>
      </w:r>
      <w:r>
        <w:t xml:space="preserve">for a mid side-span gauge on three spans.</w:t>
      </w:r>
    </w:p>
    <w:p>
      <w:pPr>
        <w:numPr>
          <w:ilvl w:val="0"/>
          <w:numId w:val="1002"/>
        </w:numPr>
        <w:pStyle w:val="BodyText"/>
      </w:pPr>
      <w:r>
        <w:rPr>
          <w:bCs/>
          <w:b/>
        </w:rPr>
        <w:t xml:space="preserve">Conditioning.</w:t>
      </w:r>
      <w:r>
        <w:t xml:space="preserve"> </w:t>
      </w:r>
      <w:r>
        <w:t xml:space="preserve">Report</w:t>
      </w:r>
      <w:r>
        <w:t xml:space="preserve"> </w:t>
      </w:r>
      <m:oMath>
        <m:sSub>
          <m:e>
            <m:r>
              <m:t>N</m:t>
            </m:r>
          </m:e>
          <m:sub>
            <m:r>
              <m:t>M</m:t>
            </m:r>
          </m:sub>
        </m:sSub>
      </m:oMath>
      <w:r>
        <w:t xml:space="preserve"> </w:t>
      </w:r>
      <w:r>
        <w:t xml:space="preserve">for strain (no reference stiffness needed),</w:t>
      </w:r>
      <w:r>
        <w:t xml:space="preserve"> </w:t>
      </w:r>
      <m:oMath>
        <m:sSub>
          <m:e>
            <m:r>
              <m:t>N</m:t>
            </m:r>
          </m:e>
          <m:sub>
            <m:r>
              <m:t>w</m:t>
            </m:r>
          </m:sub>
        </m:sSub>
      </m:oMath>
      <w:r>
        <w:t xml:space="preserve"> </w:t>
      </w:r>
      <w:r>
        <w:t xml:space="preserve">with its</w:t>
      </w:r>
      <w:r>
        <w:t xml:space="preserve"> </w:t>
      </w:r>
      <m:oMath>
        <m:r>
          <m:t>E</m:t>
        </m:r>
        <m:sSub>
          <m:e>
            <m:r>
              <m:t>I</m:t>
            </m:r>
          </m:e>
          <m:sub>
            <m:r>
              <m:rPr>
                <m:sty m:val="p"/>
              </m:rPr>
              <m:t>r</m:t>
            </m:r>
            <m:r>
              <m:rPr>
                <m:sty m:val="p"/>
              </m:rPr>
              <m:t>e</m:t>
            </m:r>
            <m:r>
              <m:rPr>
                <m:sty m:val="p"/>
              </m:rPr>
              <m:t>f</m:t>
            </m:r>
          </m:sub>
        </m:sSub>
      </m:oMath>
      <w:r>
        <w:t xml:space="preserve"> </w:t>
      </w:r>
      <w:r>
        <w:t xml:space="preserve">for deflection, and</w:t>
      </w:r>
      <w:r>
        <w:t xml:space="preserve"> </w:t>
      </w:r>
      <m:oMath>
        <m:r>
          <m:t>R</m:t>
        </m:r>
      </m:oMath>
      <w:r>
        <w:t xml:space="preserve"> </w:t>
      </w:r>
      <w:r>
        <w:t xml:space="preserve">for both. Rank locations by</w:t>
      </w:r>
      <w:r>
        <w:t xml:space="preserve"> </w:t>
      </w:r>
      <m:oMath>
        <m:d>
          <m:dPr>
            <m:begChr m:val="|"/>
            <m:endChr m:val="|"/>
            <m:sepChr m:val=""/>
            <m:grow/>
          </m:dPr>
          <m:e>
            <m:r>
              <m:t>R</m:t>
            </m:r>
          </m:e>
        </m:d>
      </m:oMath>
      <w:r>
        <w:t xml:space="preserve"> </w:t>
      </w:r>
      <w:r>
        <w:t xml:space="preserve">and</w:t>
      </w:r>
      <w:r>
        <w:t xml:space="preserve"> </w:t>
      </w:r>
      <m:oMath>
        <m:d>
          <m:dPr>
            <m:begChr m:val="|"/>
            <m:endChr m:val="|"/>
            <m:sepChr m:val=""/>
            <m:grow/>
          </m:dPr>
          <m:e>
            <m:r>
              <m:t>N</m:t>
            </m:r>
          </m:e>
        </m:d>
      </m:oMath>
      <w:r>
        <w:t xml:space="preserve"> </w:t>
      </w:r>
      <w:r>
        <w:t xml:space="preserve">together; a small</w:t>
      </w:r>
      <w:r>
        <w:t xml:space="preserve"> </w:t>
      </w:r>
      <m:oMath>
        <m:r>
          <m:t>N</m:t>
        </m:r>
      </m:oMath>
      <w:r>
        <w:t xml:space="preserve"> </w:t>
      </w:r>
      <w:r>
        <w:t xml:space="preserve">with</w:t>
      </w:r>
      <w:r>
        <w:t xml:space="preserve"> </w:t>
      </w:r>
      <m:oMath>
        <m:r>
          <m:t>R</m:t>
        </m:r>
      </m:oMath>
      <w:r>
        <w:t xml:space="preserve"> </w:t>
      </w:r>
      <w:r>
        <w:t xml:space="preserve">near 1 is restraint, not cancellation.</w:t>
      </w:r>
    </w:p>
    <w:p>
      <w:pPr>
        <w:numPr>
          <w:ilvl w:val="0"/>
          <w:numId w:val="1002"/>
        </w:numPr>
        <w:pStyle w:val="BodyText"/>
      </w:pPr>
      <w:r>
        <w:rPr>
          <w:bCs/>
          <w:b/>
        </w:rPr>
        <w:t xml:space="preserve">Boundary robustness.</w:t>
      </w:r>
      <w:r>
        <w:t xml:space="preserve"> </w:t>
      </w:r>
      <w:r>
        <w:t xml:space="preserve">Evaluate</w:t>
      </w:r>
      <w:r>
        <w:t xml:space="preserve"> </w:t>
      </w:r>
      <m:oMath>
        <m:r>
          <m:t>C</m:t>
        </m:r>
      </m:oMath>
      <w:r>
        <w:t xml:space="preserve"> </w:t>
      </w:r>
      <w:r>
        <w:t xml:space="preserve">over the plausible range of pier stiffness. For a symmetric girder, Eq. (15) gives the whole curve from the pinned and fixed constants. Avoid locations with large</w:t>
      </w:r>
      <w:r>
        <w:t xml:space="preserve"> </w:t>
      </w:r>
      <m:oMath>
        <m:sSub>
          <m:e>
            <m:r>
              <m:t>C</m:t>
            </m:r>
          </m:e>
          <m:sub>
            <m:r>
              <m:rPr>
                <m:sty m:val="p"/>
              </m:rPr>
              <m:t>∞</m:t>
            </m:r>
          </m:sub>
        </m:sSub>
        <m:r>
          <m:rPr>
            <m:sty m:val="p"/>
          </m:rPr>
          <m:t>/</m:t>
        </m:r>
        <m:sSub>
          <m:e>
            <m:r>
              <m:t>C</m:t>
            </m:r>
          </m:e>
          <m:sub>
            <m:r>
              <m:t>0</m:t>
            </m:r>
          </m:sub>
        </m:sSub>
      </m:oMath>
      <w:r>
        <w:t xml:space="preserve"> </w:t>
      </w:r>
      <w:r>
        <w:t xml:space="preserve">or</w:t>
      </w:r>
      <w:r>
        <w:t xml:space="preserve"> </w:t>
      </w:r>
      <m:oMath>
        <m:sSub>
          <m:e>
            <m:r>
              <m:t>B</m:t>
            </m:r>
          </m:e>
          <m:sub>
            <m:r>
              <m:t>m</m:t>
            </m:r>
          </m:sub>
        </m:sSub>
      </m:oMath>
      <w:r>
        <w:t xml:space="preserve">, or plan the measurement that identifies</w:t>
      </w:r>
      <w:r>
        <w:t xml:space="preserve"> </w:t>
      </w:r>
      <m:oMath>
        <m:r>
          <m:t>κ</m:t>
        </m:r>
      </m:oMath>
      <w:r>
        <w:t xml:space="preserve">: a tiltmeter on a monolithic pier, an identified first frequency, or an integral ratio between two gauges.</w:t>
      </w:r>
    </w:p>
    <w:p>
      <w:pPr>
        <w:numPr>
          <w:ilvl w:val="0"/>
          <w:numId w:val="1002"/>
        </w:numPr>
        <w:pStyle w:val="BodyText"/>
      </w:pPr>
      <w:r>
        <w:rPr>
          <w:bCs/>
          <w:b/>
        </w:rPr>
        <w:t xml:space="preserve">Placement.</w:t>
      </w:r>
      <w:r>
        <w:t xml:space="preserve"> </w:t>
      </w:r>
      <w:r>
        <w:t xml:space="preserve">Place sensors at the extremes of the uniform-load response of each channel type: the maximum for the main signal, and the minimum (a support or the most negative point) for a second sensor when offsets are correlated.</w:t>
      </w:r>
    </w:p>
    <w:p>
      <w:pPr>
        <w:numPr>
          <w:ilvl w:val="0"/>
          <w:numId w:val="1002"/>
        </w:numPr>
        <w:pStyle w:val="BodyText"/>
      </w:pPr>
      <w:r>
        <w:rPr>
          <w:bCs/>
          <w:b/>
        </w:rPr>
        <w:t xml:space="preserve">Estimator.</w:t>
      </w:r>
      <w:r>
        <w:t xml:space="preserve"> </w:t>
      </w:r>
      <w:r>
        <w:t xml:space="preserve">Use SLM with a weighed vehicle comparable to the screened traffic, averaging at least five reference crossings, and lane-specific constants. With two or more channels of one type, use zero-sum weights, Eq. (14), and estimate the common-mode fraction</w:t>
      </w:r>
      <w:r>
        <w:t xml:space="preserve"> </w:t>
      </w:r>
      <m:oMath>
        <m:r>
          <m:t>ρ</m:t>
        </m:r>
      </m:oMath>
      <w:r>
        <w:t xml:space="preserve"> </w:t>
      </w:r>
      <w:r>
        <w:t xml:space="preserve">from the quiet segments of simultaneous channels. Use BPM only where the location is well conditioned and the structure is known; on box girders with deck-mounted gauges, a beam model does not give the constant.</w:t>
      </w:r>
    </w:p>
    <w:p>
      <w:pPr>
        <w:numPr>
          <w:ilvl w:val="0"/>
          <w:numId w:val="1002"/>
        </w:numPr>
        <w:pStyle w:val="BodyText"/>
      </w:pPr>
      <w:r>
        <w:rPr>
          <w:bCs/>
          <w:b/>
        </w:rPr>
        <w:t xml:space="preserve">Offset and dynamics.</w:t>
      </w:r>
      <w:r>
        <w:t xml:space="preserve"> </w:t>
      </w:r>
      <w:r>
        <w:t xml:space="preserve">Evaluate</w:t>
      </w:r>
      <w:r>
        <w:t xml:space="preserve"> </w:t>
      </w:r>
      <m:oMath>
        <m:sSub>
          <m:e>
            <m:r>
              <m:t>P</m:t>
            </m:r>
          </m:e>
          <m:sub>
            <m:r>
              <m:t>ε</m:t>
            </m:r>
          </m:sub>
        </m:sSub>
      </m:oMath>
      <w:r>
        <w:t xml:space="preserve">, Eq. (12), for the residual offset that the instrumentation actually achieves after re-zeroing, and compare it with the lightest vehicle to be screened. Check</w:t>
      </w:r>
      <w:r>
        <w:t xml:space="preserve"> </w:t>
      </w:r>
      <m:oMath>
        <m:sSub>
          <m:e>
            <m:r>
              <m:t>T</m:t>
            </m:r>
          </m:e>
          <m:sub>
            <m:r>
              <m:rPr>
                <m:sty m:val="p"/>
              </m:rPr>
              <m:t>c</m:t>
            </m:r>
            <m:r>
              <m:rPr>
                <m:sty m:val="p"/>
              </m:rPr>
              <m:t>r</m:t>
            </m:r>
          </m:sub>
        </m:sSub>
        <m:r>
          <m:rPr>
            <m:sty m:val="p"/>
          </m:rPr>
          <m:t>/</m:t>
        </m:r>
        <m:sSub>
          <m:e>
            <m:r>
              <m:t>T</m:t>
            </m:r>
          </m:e>
          <m:sub>
            <m:r>
              <m:t>1</m:t>
            </m:r>
          </m:sub>
        </m:sSub>
        <m:r>
          <m:rPr>
            <m:sty m:val="p"/>
          </m:rPr>
          <m:t>≥</m:t>
        </m:r>
        <m:r>
          <m:t>8</m:t>
        </m:r>
      </m:oMath>
      <w:r>
        <w:t xml:space="preserve"> </w:t>
      </w:r>
      <w:r>
        <w:t xml:space="preserve">with the measured fundamental frequency.</w:t>
      </w:r>
    </w:p>
    <w:p>
      <w:pPr>
        <w:numPr>
          <w:ilvl w:val="0"/>
          <w:numId w:val="1002"/>
        </w:numPr>
        <w:pStyle w:val="BodyText"/>
      </w:pPr>
      <w:r>
        <w:rPr>
          <w:bCs/>
          <w:b/>
        </w:rPr>
        <w:t xml:space="preserve">Processing.</w:t>
      </w:r>
      <w:r>
        <w:t xml:space="preserve"> </w:t>
      </w:r>
      <w:r>
        <w:t xml:space="preserve">Integrate in space over the complete crossing, re-zero before and after each crossing, reject records whose end levels differ beyond a tolerance, remove dynamics with a low-pass filter well below</w:t>
      </w:r>
      <w:r>
        <w:t xml:space="preserve"> </w:t>
      </w:r>
      <m:oMath>
        <m:sSub>
          <m:e>
            <m:r>
              <m:t>f</m:t>
            </m:r>
          </m:e>
          <m:sub>
            <m:r>
              <m:t>1</m:t>
            </m:r>
          </m:sub>
        </m:sSub>
      </m:oMath>
      <w:r>
        <w:t xml:space="preserve"> </w:t>
      </w:r>
      <w:r>
        <w:t xml:space="preserve">and never with a high-pass filter, and discard overlapping crossings.</w:t>
      </w:r>
    </w:p>
    <w:p>
      <w:pPr>
        <w:pStyle w:val="FirstParagraph"/>
      </w:pPr>
      <w:r>
        <w:t xml:space="preserve">The procedure positions the integral as a reduced alternative to influence-line BWIM, not a competitor. It returns the gross weight of a vehicle or group, needs only the scalar constant of each channel instead of an influence line, and involves one weighted sum instead of a regularised inversion. Its natural role is low-cost screening across many continuous structures, with instrumented BWIM or enforcement weighing reserved for the vehicles it flags. Influence-line BWIM does not suffer the blindness of a single integral at the loci of Table 1, because it fits the whole record shape.</w:t>
      </w:r>
    </w:p>
    <w:p>
      <w:pPr>
        <w:pStyle w:val="BodyText"/>
      </w:pPr>
      <w:r>
        <w:t xml:space="preserve">Several limitations remain. The laboratory beam had equal spans and statically positioned loads, the invariance was tested there only indirectly, and the predicted blind configuration has not been tested. The field verification rests on one public dataset with two axle counts and four trucks, with no gauge at a zero-moment point. The in-service application uses static data, a two-dimensional model with assumed depth law and equal pier springs, and a frequency interpretation that the available report cannot confirm. The treatment is one-dimensional along each lane.</w:t>
      </w:r>
    </w:p>
    <w:bookmarkEnd w:id="47"/>
    <w:bookmarkStart w:id="48" w:name="conclusions"/>
    <w:p>
      <w:pPr>
        <w:pStyle w:val="Heading2"/>
      </w:pPr>
      <w:r>
        <w:t xml:space="preserve">8. Conclusions</w:t>
      </w:r>
    </w:p>
    <w:p>
      <w:pPr>
        <w:pStyle w:val="FirstParagraph"/>
      </w:pPr>
      <w:r>
        <w:t xml:space="preserve">This paper set out criteria for designing channels that monitor the total load on continuous girder bridges. The main findings are as follows.</w:t>
      </w:r>
    </w:p>
    <w:p>
      <w:pPr>
        <w:numPr>
          <w:ilvl w:val="0"/>
          <w:numId w:val="1003"/>
        </w:numPr>
        <w:pStyle w:val="BodyText"/>
      </w:pPr>
      <w:r>
        <w:t xml:space="preserve">For any linear response channel, the integral over a complete quasi-static crossing equals the total load times the channel’s response to a uniform unit load. One static analysis therefore gives the constant, the blind loci and the optimal placement of every candidate channel.</w:t>
      </w:r>
    </w:p>
    <w:p>
      <w:pPr>
        <w:numPr>
          <w:ilvl w:val="0"/>
          <w:numId w:val="1003"/>
        </w:numPr>
        <w:pStyle w:val="BodyText"/>
      </w:pPr>
      <w:r>
        <w:t xml:space="preserve">Strain channels are blind at every zero of the uniform-load moment diagram, which every continuous girder has: at</w:t>
      </w:r>
      <w:r>
        <w:t xml:space="preserve"> </w:t>
      </w:r>
      <m:oMath>
        <m:r>
          <m:t>0.75</m:t>
        </m:r>
        <m:r>
          <m:t>L</m:t>
        </m:r>
      </m:oMath>
      <w:r>
        <w:t xml:space="preserve"> </w:t>
      </w:r>
      <w:r>
        <w:t xml:space="preserve">for two equal spans, and generally at</w:t>
      </w:r>
      <w:r>
        <w:t xml:space="preserve"> </w:t>
      </w:r>
      <m:oMath>
        <m:sSub>
          <m:e>
            <m:r>
              <m:t>ξ</m:t>
            </m:r>
          </m:e>
          <m:sub>
            <m:r>
              <m:t>0</m:t>
            </m:r>
          </m:sub>
        </m:sSub>
        <m:r>
          <m:rPr>
            <m:sty m:val="p"/>
          </m:rPr>
          <m:t>=</m:t>
        </m:r>
        <m:r>
          <m:t>1</m:t>
        </m:r>
        <m:r>
          <m:rPr>
            <m:sty m:val="p"/>
          </m:rPr>
          <m:t>−</m:t>
        </m:r>
        <m:r>
          <m:t>μ</m:t>
        </m:r>
        <m:r>
          <m:rPr>
            <m:sty m:val="p"/>
          </m:rPr>
          <m:t>/</m:t>
        </m:r>
        <m:r>
          <m:t>4</m:t>
        </m:r>
      </m:oMath>
      <w:r>
        <w:t xml:space="preserve">. Deflection channels are blind only near particular span ratios, such as</w:t>
      </w:r>
      <w:r>
        <w:t xml:space="preserve"> </w:t>
      </w:r>
      <m:oMath>
        <m:d>
          <m:dPr>
            <m:begChr m:val="("/>
            <m:endChr m:val=")"/>
            <m:sepChr m:val=""/>
            <m:grow/>
          </m:dPr>
          <m:e>
            <m:r>
              <m:t>3</m:t>
            </m:r>
            <m:r>
              <m:rPr>
                <m:sty m:val="p"/>
              </m:rPr>
              <m:t>+</m:t>
            </m:r>
            <m:rad>
              <m:radPr>
                <m:degHide m:val="on"/>
              </m:radPr>
              <m:deg/>
              <m:e>
                <m:r>
                  <m:t>33</m:t>
                </m:r>
              </m:e>
            </m:rad>
          </m:e>
        </m:d>
        <m:r>
          <m:rPr>
            <m:sty m:val="p"/>
          </m:rPr>
          <m:t>/</m:t>
        </m:r>
        <m:r>
          <m:t>6</m:t>
        </m:r>
      </m:oMath>
      <w:r>
        <w:t xml:space="preserve"> </w:t>
      </w:r>
      <w:r>
        <w:t xml:space="preserve">for two spans and 1.7006 for a mid side-span gauge on three symmetric spans. The strain indicator needs no reference stiffness, and the cancellation ratio separates cancellation from restraint on haunched girders.</w:t>
      </w:r>
    </w:p>
    <w:p>
      <w:pPr>
        <w:numPr>
          <w:ilvl w:val="0"/>
          <w:numId w:val="1003"/>
        </w:numPr>
        <w:pStyle w:val="BodyText"/>
      </w:pPr>
      <w:r>
        <w:t xml:space="preserve">Among invariant linear estimators, generalised least squares across channels is optimal, and the uniform weight within a channel is the only one invariant for every structure. Zero-sum weights remove any common-mode offset or drift exactly, and optimal sensors lie at the extremes of the uniform-load response.</w:t>
      </w:r>
    </w:p>
    <w:p>
      <w:pPr>
        <w:numPr>
          <w:ilvl w:val="0"/>
          <w:numId w:val="1003"/>
        </w:numPr>
        <w:pStyle w:val="BodyText"/>
      </w:pPr>
      <w:r>
        <w:t xml:space="preserve">On public moving-truck records from a five-span continuous box girder, a 5-axle and a 3-axle truck gave the same constant (ratio 0.999 ± 0.140), the integral was speed-independent over 10–28 m/s, superposition held within uncertainty, and one weighed reference predicted the other trucks within 6.5–7.0 % mean absolute error on the quieter day. Gauges at one section had constants differing by up to 2.7 times, so the constant should come from a weighed vehicle, not from a beam model.</w:t>
      </w:r>
    </w:p>
    <w:p>
      <w:pPr>
        <w:numPr>
          <w:ilvl w:val="0"/>
          <w:numId w:val="1003"/>
        </w:numPr>
        <w:pStyle w:val="BodyText"/>
      </w:pPr>
      <w:r>
        <w:t xml:space="preserve">On a 55 + 90 + 55 m box girder, two static readings bound the pier-to-girder stiffness ratio only from below. The side-span deflection index lies anywhere between 0.12 and 0.82 (0.12–0.39 if the measured frequencies are the third mode), whereas the centre-span index stays at 0.19–0.29. A residual offset of 0.1 mm would bias a 25 t truck by 21–25 % at mid main span, so baseline stability, not the estimator, limits single-point deflection weighing on long spans.</w:t>
      </w:r>
    </w:p>
    <w:p>
      <w:pPr>
        <w:pStyle w:val="FirstParagraph"/>
      </w:pPr>
      <w:r>
        <w:t xml:space="preserve">The next steps are the moving-load test designed for the in-service girder, laboratory tests of the blind configuration and of fixed total load at several spacings, and a field test of the offset-immune pair.</w:t>
      </w:r>
    </w:p>
    <w:bookmarkEnd w:id="48"/>
    <w:bookmarkStart w:id="49" w:name="X456e826d03272217d785932542538504df7f2c0"/>
    <w:p>
      <w:pPr>
        <w:pStyle w:val="Heading2"/>
      </w:pPr>
      <w:r>
        <w:t xml:space="preserve">Appendix A. Closed forms for two- and three-span beams</w:t>
      </w:r>
    </w:p>
    <w:p>
      <w:pPr>
        <w:pStyle w:val="FirstParagraph"/>
      </w:pPr>
      <w:r>
        <w:t xml:space="preserve">For unequal spans the uniform-load support moment of a two-span beam is</w:t>
      </w:r>
      <w:r>
        <w:t xml:space="preserve"> </w:t>
      </w:r>
      <m:oMath>
        <m:sSub>
          <m:e>
            <m:r>
              <m:t>M</m:t>
            </m:r>
          </m:e>
          <m:sub>
            <m:r>
              <m:t>B</m:t>
            </m:r>
          </m:sub>
        </m:sSub>
        <m:r>
          <m:rPr>
            <m:sty m:val="p"/>
          </m:rPr>
          <m:t>=</m:t>
        </m:r>
        <m:r>
          <m:rPr>
            <m:sty m:val="p"/>
          </m:rPr>
          <m:t>−</m:t>
        </m:r>
        <m:sSub>
          <m:e>
            <m:r>
              <m:t>q</m:t>
            </m:r>
          </m:e>
          <m:sub>
            <m:r>
              <m:t>0</m:t>
            </m:r>
          </m:sub>
        </m:sSub>
        <m:d>
          <m:dPr>
            <m:begChr m:val="("/>
            <m:endChr m:val=")"/>
            <m:sepChr m:val=""/>
            <m:grow/>
          </m:dPr>
          <m:e>
            <m:sSubSup>
              <m:e>
                <m:r>
                  <m:t>L</m:t>
                </m:r>
              </m:e>
              <m:sub>
                <m:r>
                  <m:t>1</m:t>
                </m:r>
              </m:sub>
              <m:sup>
                <m:r>
                  <m:t>3</m:t>
                </m:r>
              </m:sup>
            </m:sSubSup>
            <m:r>
              <m:rPr>
                <m:sty m:val="p"/>
              </m:rPr>
              <m:t>/</m:t>
            </m:r>
            <m:r>
              <m:t>E</m:t>
            </m:r>
            <m:sSub>
              <m:e>
                <m:r>
                  <m:t>I</m:t>
                </m:r>
              </m:e>
              <m:sub>
                <m:r>
                  <m:t>1</m:t>
                </m:r>
              </m:sub>
            </m:sSub>
            <m:r>
              <m:rPr>
                <m:sty m:val="p"/>
              </m:rPr>
              <m:t>+</m:t>
            </m:r>
            <m:sSubSup>
              <m:e>
                <m:r>
                  <m:t>L</m:t>
                </m:r>
              </m:e>
              <m:sub>
                <m:r>
                  <m:t>2</m:t>
                </m:r>
              </m:sub>
              <m:sup>
                <m:r>
                  <m:t>3</m:t>
                </m:r>
              </m:sup>
            </m:sSubSup>
            <m:r>
              <m:rPr>
                <m:sty m:val="p"/>
              </m:rPr>
              <m:t>/</m:t>
            </m:r>
            <m:r>
              <m:t>E</m:t>
            </m:r>
            <m:sSub>
              <m:e>
                <m:r>
                  <m:t>I</m:t>
                </m:r>
              </m:e>
              <m:sub>
                <m:r>
                  <m:t>2</m:t>
                </m:r>
              </m:sub>
            </m:sSub>
          </m:e>
        </m:d>
        <m:r>
          <m:rPr>
            <m:sty m:val="p"/>
          </m:rPr>
          <m:t>/</m:t>
        </m:r>
        <m:d>
          <m:dPr>
            <m:begChr m:val="["/>
            <m:endChr m:val="]"/>
            <m:sepChr m:val=""/>
            <m:grow/>
          </m:dPr>
          <m:e>
            <m:r>
              <m:t>8</m:t>
            </m:r>
            <m:d>
              <m:dPr>
                <m:begChr m:val="("/>
                <m:endChr m:val=")"/>
                <m:sepChr m:val=""/>
                <m:grow/>
              </m:dPr>
              <m:e>
                <m:sSub>
                  <m:e>
                    <m:r>
                      <m:t>L</m:t>
                    </m:r>
                  </m:e>
                  <m:sub>
                    <m:r>
                      <m:t>1</m:t>
                    </m:r>
                  </m:sub>
                </m:sSub>
                <m:r>
                  <m:rPr>
                    <m:sty m:val="p"/>
                  </m:rPr>
                  <m:t>/</m:t>
                </m:r>
                <m:r>
                  <m:t>E</m:t>
                </m:r>
                <m:sSub>
                  <m:e>
                    <m:r>
                      <m:t>I</m:t>
                    </m:r>
                  </m:e>
                  <m:sub>
                    <m:r>
                      <m:t>1</m:t>
                    </m:r>
                  </m:sub>
                </m:sSub>
                <m:r>
                  <m:rPr>
                    <m:sty m:val="p"/>
                  </m:rPr>
                  <m:t>+</m:t>
                </m:r>
                <m:sSub>
                  <m:e>
                    <m:r>
                      <m:t>L</m:t>
                    </m:r>
                  </m:e>
                  <m:sub>
                    <m:r>
                      <m:t>2</m:t>
                    </m:r>
                  </m:sub>
                </m:sSub>
                <m:r>
                  <m:rPr>
                    <m:sty m:val="p"/>
                  </m:rPr>
                  <m:t>/</m:t>
                </m:r>
                <m:r>
                  <m:t>E</m:t>
                </m:r>
                <m:sSub>
                  <m:e>
                    <m:r>
                      <m:t>I</m:t>
                    </m:r>
                  </m:e>
                  <m:sub>
                    <m:r>
                      <m:t>2</m:t>
                    </m:r>
                  </m:sub>
                </m:sSub>
              </m:e>
            </m:d>
          </m:e>
        </m:d>
      </m:oMath>
      <w:r>
        <w:t xml:space="preserve">. Superposing the simply supported uniform-load deflection of span 1 and the deflection due to</w:t>
      </w:r>
      <w:r>
        <w:t xml:space="preserve"> </w:t>
      </w:r>
      <m:oMath>
        <m:sSub>
          <m:e>
            <m:r>
              <m:t>M</m:t>
            </m:r>
          </m:e>
          <m:sub>
            <m:r>
              <m:t>B</m:t>
            </m:r>
          </m:sub>
        </m:sSub>
      </m:oMath>
      <w:r>
        <w:t xml:space="preserve">, evaluating at</w:t>
      </w:r>
      <w:r>
        <w:t xml:space="preserve"> </w:t>
      </w:r>
      <m:oMath>
        <m:sSub>
          <m:e>
            <m:r>
              <m:t>x</m:t>
            </m:r>
          </m:e>
          <m:sub>
            <m:r>
              <m:t>m</m:t>
            </m:r>
          </m:sub>
        </m:sSub>
      </m:oMath>
      <w:r>
        <w:t xml:space="preserve"> </w:t>
      </w:r>
      <w:r>
        <w:t xml:space="preserve">and dividing by</w:t>
      </w:r>
      <w:r>
        <w:t xml:space="preserve"> </w:t>
      </w:r>
      <m:oMath>
        <m:sSub>
          <m:e>
            <m:r>
              <m:t>q</m:t>
            </m:r>
          </m:e>
          <m:sub>
            <m:r>
              <m:t>0</m:t>
            </m:r>
          </m:sub>
        </m:sSub>
      </m:oMath>
      <w:r>
        <w:t xml:space="preserve"> </w:t>
      </w:r>
      <w:r>
        <w:t xml:space="preserve">gives Eq. (5) with</w:t>
      </w:r>
      <w:r>
        <w:t xml:space="preserve"> </w:t>
      </w:r>
      <m:oMath>
        <m:r>
          <m:t>μ</m:t>
        </m:r>
        <m:r>
          <m:rPr>
            <m:sty m:val="p"/>
          </m:rPr>
          <m:t>=</m:t>
        </m:r>
        <m:r>
          <m:rPr>
            <m:sty m:val="p"/>
          </m:rPr>
          <m:t>−</m:t>
        </m:r>
        <m:r>
          <m:t>8</m:t>
        </m:r>
        <m:sSub>
          <m:e>
            <m:r>
              <m:t>M</m:t>
            </m:r>
          </m:e>
          <m:sub>
            <m:r>
              <m:t>B</m:t>
            </m:r>
          </m:sub>
        </m:sSub>
        <m:r>
          <m:rPr>
            <m:sty m:val="p"/>
          </m:rPr>
          <m:t>/</m:t>
        </m:r>
        <m:d>
          <m:dPr>
            <m:begChr m:val="("/>
            <m:endChr m:val=")"/>
            <m:sepChr m:val=""/>
            <m:grow/>
          </m:dPr>
          <m:e>
            <m:sSub>
              <m:e>
                <m:r>
                  <m:t>q</m:t>
                </m:r>
              </m:e>
              <m:sub>
                <m:r>
                  <m:t>0</m:t>
                </m:r>
              </m:sub>
            </m:sSub>
            <m:sSubSup>
              <m:e>
                <m:r>
                  <m:t>L</m:t>
                </m:r>
              </m:e>
              <m:sub>
                <m:r>
                  <m:t>1</m:t>
                </m:r>
              </m:sub>
              <m:sup>
                <m:r>
                  <m:t>2</m:t>
                </m:r>
              </m:sup>
            </m:sSubSup>
          </m:e>
        </m:d>
      </m:oMath>
      <w:r>
        <w:t xml:space="preserve">, which is</w:t>
      </w:r>
      <w:r>
        <w:t xml:space="preserve"> </w:t>
      </w:r>
      <m:oMath>
        <m:sSub>
          <m:e>
            <m:r>
              <m:t>μ</m:t>
            </m:r>
          </m:e>
          <m:sub>
            <m:r>
              <m:rPr>
                <m:sty m:val="p"/>
              </m:rPr>
              <m:t>2</m:t>
            </m:r>
            <m:r>
              <m:rPr>
                <m:sty m:val="p"/>
              </m:rPr>
              <m:t>s</m:t>
            </m:r>
            <m:r>
              <m:rPr>
                <m:sty m:val="p"/>
              </m:rPr>
              <m:t>p</m:t>
            </m:r>
            <m:r>
              <m:rPr>
                <m:sty m:val="p"/>
              </m:rPr>
              <m:t>a</m:t>
            </m:r>
            <m:r>
              <m:rPr>
                <m:sty m:val="p"/>
              </m:rPr>
              <m:t>n</m:t>
            </m:r>
          </m:sub>
        </m:sSub>
      </m:oMath>
      <w:r>
        <w:t xml:space="preserve"> </w:t>
      </w:r>
      <w:r>
        <w:t xml:space="preserve">of Eq. (4). Setting</w:t>
      </w:r>
      <w:r>
        <w:t xml:space="preserve"> </w:t>
      </w:r>
      <m:oMath>
        <m:r>
          <m:t>F</m:t>
        </m:r>
        <m:r>
          <m:rPr>
            <m:sty m:val="p"/>
          </m:rPr>
          <m:t>=</m:t>
        </m:r>
        <m:r>
          <m:t>0</m:t>
        </m:r>
      </m:oMath>
      <w:r>
        <w:t xml:space="preserve"> </w:t>
      </w:r>
      <w:r>
        <w:t xml:space="preserve">factors as</w:t>
      </w:r>
      <w:r>
        <w:t xml:space="preserve"> </w:t>
      </w:r>
      <m:oMath>
        <m:d>
          <m:dPr>
            <m:begChr m:val="("/>
            <m:endChr m:val=")"/>
            <m:sepChr m:val=""/>
            <m:grow/>
          </m:dPr>
          <m:e>
            <m:r>
              <m:t>1</m:t>
            </m:r>
            <m:r>
              <m:rPr>
                <m:sty m:val="p"/>
              </m:rPr>
              <m:t>−</m:t>
            </m:r>
            <m:r>
              <m:t>ξ</m:t>
            </m:r>
          </m:e>
        </m:d>
        <m:d>
          <m:dPr>
            <m:begChr m:val="("/>
            <m:endChr m:val=")"/>
            <m:sepChr m:val=""/>
            <m:grow/>
          </m:dPr>
          <m:e>
            <m:r>
              <m:t>1</m:t>
            </m:r>
            <m:r>
              <m:rPr>
                <m:sty m:val="p"/>
              </m:rPr>
              <m:t>+</m:t>
            </m:r>
            <m:r>
              <m:t>ξ</m:t>
            </m:r>
            <m:r>
              <m:rPr>
                <m:sty m:val="p"/>
              </m:rPr>
              <m:t>−</m:t>
            </m:r>
            <m:sSup>
              <m:e>
                <m:r>
                  <m:t>ξ</m:t>
                </m:r>
              </m:e>
              <m:sup>
                <m:r>
                  <m:t>2</m:t>
                </m:r>
              </m:sup>
            </m:sSup>
          </m:e>
        </m:d>
      </m:oMath>
      <w:r>
        <w:t xml:space="preserve"> </w:t>
      </w:r>
      <w:r>
        <w:t xml:space="preserve">and gives Eq. (6). With uniform stiffness, the blind condition for a mid-span sensor is</w:t>
      </w:r>
      <w:r>
        <w:t xml:space="preserve"> </w:t>
      </w:r>
      <m:oMath>
        <m:r>
          <m:t>3</m:t>
        </m:r>
        <m:sSubSup>
          <m:e>
            <m:r>
              <m:t>ρ</m:t>
            </m:r>
          </m:e>
          <m:sub>
            <m:r>
              <m:t>L</m:t>
            </m:r>
          </m:sub>
          <m:sup>
            <m:r>
              <m:t>2</m:t>
            </m:r>
          </m:sup>
        </m:sSubSup>
        <m:r>
          <m:rPr>
            <m:sty m:val="p"/>
          </m:rPr>
          <m:t>−</m:t>
        </m:r>
        <m:r>
          <m:t>3</m:t>
        </m:r>
        <m:sSub>
          <m:e>
            <m:r>
              <m:t>ρ</m:t>
            </m:r>
          </m:e>
          <m:sub>
            <m:r>
              <m:t>L</m:t>
            </m:r>
          </m:sub>
        </m:sSub>
        <m:r>
          <m:rPr>
            <m:sty m:val="p"/>
          </m:rPr>
          <m:t>−</m:t>
        </m:r>
        <m:r>
          <m:t>2</m:t>
        </m:r>
        <m:r>
          <m:rPr>
            <m:sty m:val="p"/>
          </m:rPr>
          <m:t>=</m:t>
        </m:r>
        <m:r>
          <m:t>0</m:t>
        </m:r>
      </m:oMath>
      <w:r>
        <w:t xml:space="preserve">, and maximising</w:t>
      </w:r>
      <w:r>
        <w:t xml:space="preserve"> </w:t>
      </w:r>
      <m:oMath>
        <m:r>
          <m:t>F</m:t>
        </m:r>
      </m:oMath>
      <w:r>
        <w:t xml:space="preserve"> </w:t>
      </w:r>
      <w:r>
        <w:t xml:space="preserve">over</w:t>
      </w:r>
      <w:r>
        <w:t xml:space="preserve"> </w:t>
      </w:r>
      <m:oMath>
        <m:r>
          <m:t>ξ</m:t>
        </m:r>
      </m:oMath>
      <w:r>
        <w:t xml:space="preserve"> </w:t>
      </w:r>
      <w:r>
        <w:t xml:space="preserve">at</w:t>
      </w:r>
      <w:r>
        <w:t xml:space="preserve"> </w:t>
      </w:r>
      <m:oMath>
        <m:r>
          <m:t>μ</m:t>
        </m:r>
        <m:r>
          <m:rPr>
            <m:sty m:val="p"/>
          </m:rPr>
          <m:t>=</m:t>
        </m:r>
        <m:r>
          <m:t>1</m:t>
        </m:r>
      </m:oMath>
      <w:r>
        <w:t xml:space="preserve"> </w:t>
      </w:r>
      <w:r>
        <w:t xml:space="preserve">gives</w:t>
      </w:r>
      <w:r>
        <w:t xml:space="preserve"> </w:t>
      </w:r>
      <m:oMath>
        <m:r>
          <m:t>8</m:t>
        </m:r>
        <m:sSup>
          <m:e>
            <m:r>
              <m:t>ξ</m:t>
            </m:r>
          </m:e>
          <m:sup>
            <m:r>
              <m:t>2</m:t>
            </m:r>
          </m:sup>
        </m:sSup>
        <m:r>
          <m:rPr>
            <m:sty m:val="p"/>
          </m:rPr>
          <m:t>−</m:t>
        </m:r>
        <m:r>
          <m:t>ξ</m:t>
        </m:r>
        <m:r>
          <m:rPr>
            <m:sty m:val="p"/>
          </m:rPr>
          <m:t>−</m:t>
        </m:r>
        <m:r>
          <m:t>1</m:t>
        </m:r>
        <m:r>
          <m:rPr>
            <m:sty m:val="p"/>
          </m:rPr>
          <m:t>=</m:t>
        </m:r>
        <m:r>
          <m:t>0</m:t>
        </m:r>
      </m:oMath>
      <w:r>
        <w:t xml:space="preserve">, hence Eq. (7). In units of</w:t>
      </w:r>
      <w:r>
        <w:t xml:space="preserve"> </w:t>
      </w:r>
      <m:oMath>
        <m:sSubSup>
          <m:e>
            <m:r>
              <m:t>L</m:t>
            </m:r>
          </m:e>
          <m:sub>
            <m:r>
              <m:t>1</m:t>
            </m:r>
          </m:sub>
          <m:sup>
            <m:r>
              <m:t>4</m:t>
            </m:r>
          </m:sup>
        </m:sSubSup>
        <m:r>
          <m:rPr>
            <m:sty m:val="p"/>
          </m:rPr>
          <m:t>/</m:t>
        </m:r>
        <m:d>
          <m:dPr>
            <m:begChr m:val="("/>
            <m:endChr m:val=")"/>
            <m:sepChr m:val=""/>
            <m:grow/>
          </m:dPr>
          <m:e>
            <m:r>
              <m:t>192</m:t>
            </m:r>
            <m:r>
              <m:t>E</m:t>
            </m:r>
            <m:sSub>
              <m:e>
                <m:r>
                  <m:t>I</m:t>
                </m:r>
              </m:e>
              <m:sub>
                <m:r>
                  <m:t>1</m:t>
                </m:r>
              </m:sub>
            </m:sSub>
          </m:e>
        </m:d>
      </m:oMath>
      <w:r>
        <w:t xml:space="preserve">, the positive contribution of the instrumented span varies only between 1.50 and 2.00 for</w:t>
      </w:r>
      <w:r>
        <w:t xml:space="preserve"> </w:t>
      </w:r>
      <m:oMath>
        <m:sSub>
          <m:e>
            <m:r>
              <m:t>ρ</m:t>
            </m:r>
          </m:e>
          <m:sub>
            <m:r>
              <m:t>L</m:t>
            </m:r>
          </m:sub>
        </m:sSub>
      </m:oMath>
      <w:r>
        <w:t xml:space="preserve"> </w:t>
      </w:r>
      <w:r>
        <w:t xml:space="preserve">from 0.5 to 2.0, whereas the negative contribution of the adjacent span sweeps from −0.125 to −4.00; the degeneracy is driven almost entirely by the adjacent span.</w:t>
      </w:r>
    </w:p>
    <w:p>
      <w:pPr>
        <w:pStyle w:val="BodyText"/>
      </w:pPr>
      <w:r>
        <w:t xml:space="preserve">For the symmetric three-span beam the three-moment equation gives</w:t>
      </w:r>
      <w:r>
        <w:t xml:space="preserve"> </w:t>
      </w:r>
      <m:oMath>
        <m:sSub>
          <m:e>
            <m:r>
              <m:t>M</m:t>
            </m:r>
          </m:e>
          <m:sub>
            <m:r>
              <m:t>B</m:t>
            </m:r>
          </m:sub>
        </m:sSub>
        <m:r>
          <m:rPr>
            <m:sty m:val="p"/>
          </m:rPr>
          <m:t>=</m:t>
        </m:r>
        <m:sSub>
          <m:e>
            <m:r>
              <m:t>M</m:t>
            </m:r>
          </m:e>
          <m:sub>
            <m:r>
              <m:t>C</m:t>
            </m:r>
          </m:sub>
        </m:sSub>
        <m:r>
          <m:rPr>
            <m:sty m:val="p"/>
          </m:rPr>
          <m:t>=</m:t>
        </m:r>
        <m:r>
          <m:rPr>
            <m:sty m:val="p"/>
          </m:rPr>
          <m:t>−</m:t>
        </m:r>
        <m:sSub>
          <m:e>
            <m:r>
              <m:t>q</m:t>
            </m:r>
          </m:e>
          <m:sub>
            <m:r>
              <m:t>0</m:t>
            </m:r>
          </m:sub>
        </m:sSub>
        <m:sSubSup>
          <m:e>
            <m:r>
              <m:t>L</m:t>
            </m:r>
          </m:e>
          <m:sub>
            <m:r>
              <m:t>s</m:t>
            </m:r>
          </m:sub>
          <m:sup>
            <m:r>
              <m:t>2</m:t>
            </m:r>
          </m:sup>
        </m:sSubSup>
        <m:r>
          <m:t>μ</m:t>
        </m:r>
        <m:r>
          <m:rPr>
            <m:sty m:val="p"/>
          </m:rPr>
          <m:t>/</m:t>
        </m:r>
        <m:r>
          <m:t>8</m:t>
        </m:r>
      </m:oMath>
      <w:r>
        <w:t xml:space="preserve"> </w:t>
      </w:r>
      <w:r>
        <w:t xml:space="preserve">with</w:t>
      </w:r>
      <w:r>
        <w:t xml:space="preserve"> </w:t>
      </w:r>
      <m:oMath>
        <m:sSub>
          <m:e>
            <m:r>
              <m:t>μ</m:t>
            </m:r>
          </m:e>
          <m:sub>
            <m:r>
              <m:rPr>
                <m:sty m:val="p"/>
              </m:rPr>
              <m:t>3</m:t>
            </m:r>
            <m:r>
              <m:rPr>
                <m:sty m:val="p"/>
              </m:rPr>
              <m:t>s</m:t>
            </m:r>
            <m:r>
              <m:rPr>
                <m:sty m:val="p"/>
              </m:rPr>
              <m:t>p</m:t>
            </m:r>
            <m:r>
              <m:rPr>
                <m:sty m:val="p"/>
              </m:rPr>
              <m:t>a</m:t>
            </m:r>
            <m:r>
              <m:rPr>
                <m:sty m:val="p"/>
              </m:rPr>
              <m:t>n</m:t>
            </m:r>
          </m:sub>
        </m:sSub>
      </m:oMath>
      <w:r>
        <w:t xml:space="preserve"> </w:t>
      </w:r>
      <w:r>
        <w:t xml:space="preserve">of Eq. (4). Three equal spans give</w:t>
      </w:r>
      <w:r>
        <w:t xml:space="preserve"> </w:t>
      </w:r>
      <m:oMath>
        <m:r>
          <m:t>μ</m:t>
        </m:r>
        <m:r>
          <m:rPr>
            <m:sty m:val="p"/>
          </m:rPr>
          <m:t>=</m:t>
        </m:r>
        <m:r>
          <m:t>4</m:t>
        </m:r>
        <m:r>
          <m:rPr>
            <m:sty m:val="p"/>
          </m:rPr>
          <m:t>/</m:t>
        </m:r>
        <m:r>
          <m:t>5</m:t>
        </m:r>
      </m:oMath>
      <w:r>
        <w:t xml:space="preserve"> </w:t>
      </w:r>
      <w:r>
        <w:t xml:space="preserve">and a mid side-span constant 1.3 times the two-span value. The optimal side-span position solves</w:t>
      </w:r>
      <w:r>
        <w:t xml:space="preserve"> </w:t>
      </w:r>
      <m:oMath>
        <m:r>
          <m:t>8</m:t>
        </m:r>
        <m:sSup>
          <m:e>
            <m:r>
              <m:t>ξ</m:t>
            </m:r>
          </m:e>
          <m:sup>
            <m:r>
              <m:t>3</m:t>
            </m:r>
          </m:sup>
        </m:sSup>
        <m:r>
          <m:rPr>
            <m:sty m:val="p"/>
          </m:rPr>
          <m:t>−</m:t>
        </m:r>
        <m:d>
          <m:dPr>
            <m:begChr m:val="("/>
            <m:endChr m:val=")"/>
            <m:sepChr m:val=""/>
            <m:grow/>
          </m:dPr>
          <m:e>
            <m:r>
              <m:t>12</m:t>
            </m:r>
            <m:r>
              <m:rPr>
                <m:sty m:val="p"/>
              </m:rPr>
              <m:t>−</m:t>
            </m:r>
            <m:r>
              <m:t>3</m:t>
            </m:r>
            <m:r>
              <m:t>μ</m:t>
            </m:r>
          </m:e>
        </m:d>
        <m:sSup>
          <m:e>
            <m:r>
              <m:t>ξ</m:t>
            </m:r>
          </m:e>
          <m:sup>
            <m:r>
              <m:t>2</m:t>
            </m:r>
          </m:sup>
        </m:sSup>
        <m:r>
          <m:rPr>
            <m:sty m:val="p"/>
          </m:rPr>
          <m:t>+</m:t>
        </m:r>
        <m:d>
          <m:dPr>
            <m:begChr m:val="("/>
            <m:endChr m:val=")"/>
            <m:sepChr m:val=""/>
            <m:grow/>
          </m:dPr>
          <m:e>
            <m:r>
              <m:t>2</m:t>
            </m:r>
            <m:r>
              <m:rPr>
                <m:sty m:val="p"/>
              </m:rPr>
              <m:t>−</m:t>
            </m:r>
            <m:r>
              <m:t>μ</m:t>
            </m:r>
          </m:e>
        </m:d>
        <m:r>
          <m:rPr>
            <m:sty m:val="p"/>
          </m:rPr>
          <m:t>=</m:t>
        </m:r>
        <m:r>
          <m:t>0</m:t>
        </m:r>
      </m:oMath>
      <w:r>
        <w:t xml:space="preserve">. The near-blind band at mid side span runs from the root of</w:t>
      </w:r>
      <w:r>
        <w:t xml:space="preserve"> </w:t>
      </w:r>
      <m:oMath>
        <m:r>
          <m:t>30</m:t>
        </m:r>
        <m:sSup>
          <m:e>
            <m:r>
              <m:t>β</m:t>
            </m:r>
          </m:e>
          <m:sup>
            <m:r>
              <m:t>3</m:t>
            </m:r>
          </m:sup>
        </m:sSup>
        <m:r>
          <m:rPr>
            <m:sty m:val="p"/>
          </m:rPr>
          <m:t>−</m:t>
        </m:r>
        <m:r>
          <m:t>69</m:t>
        </m:r>
        <m:r>
          <m:t>β</m:t>
        </m:r>
        <m:r>
          <m:rPr>
            <m:sty m:val="p"/>
          </m:rPr>
          <m:t>−</m:t>
        </m:r>
        <m:r>
          <m:t>16</m:t>
        </m:r>
        <m:r>
          <m:rPr>
            <m:sty m:val="p"/>
          </m:rPr>
          <m:t>=</m:t>
        </m:r>
        <m:r>
          <m:t>0</m:t>
        </m:r>
      </m:oMath>
      <w:r>
        <w:t xml:space="preserve"> </w:t>
      </w:r>
      <w:r>
        <w:t xml:space="preserve">(1.621) to that of</w:t>
      </w:r>
      <w:r>
        <w:t xml:space="preserve"> </w:t>
      </w:r>
      <m:oMath>
        <m:r>
          <m:t>10</m:t>
        </m:r>
        <m:sSup>
          <m:e>
            <m:r>
              <m:t>β</m:t>
            </m:r>
          </m:e>
          <m:sup>
            <m:r>
              <m:t>3</m:t>
            </m:r>
          </m:sup>
        </m:sSup>
        <m:r>
          <m:rPr>
            <m:sty m:val="p"/>
          </m:rPr>
          <m:t>−</m:t>
        </m:r>
        <m:r>
          <m:t>27</m:t>
        </m:r>
        <m:r>
          <m:t>β</m:t>
        </m:r>
        <m:r>
          <m:rPr>
            <m:sty m:val="p"/>
          </m:rPr>
          <m:t>−</m:t>
        </m:r>
        <m:r>
          <m:t>8</m:t>
        </m:r>
        <m:r>
          <m:rPr>
            <m:sty m:val="p"/>
          </m:rPr>
          <m:t>=</m:t>
        </m:r>
        <m:r>
          <m:t>0</m:t>
        </m:r>
      </m:oMath>
      <w:r>
        <w:t xml:space="preserve"> </w:t>
      </w:r>
      <w:r>
        <w:t xml:space="preserve">(1.775). A mid main-span deflection sensor is blind at</w:t>
      </w:r>
      <w:r>
        <w:t xml:space="preserve"> </w:t>
      </w:r>
      <m:oMath>
        <m:r>
          <m:t>β</m:t>
        </m:r>
        <m:r>
          <m:rPr>
            <m:sty m:val="p"/>
          </m:rPr>
          <m:t>=</m:t>
        </m:r>
        <m:r>
          <m:t>0.9647</m:t>
        </m:r>
      </m:oMath>
      <w:r>
        <w:t xml:space="preserve">. For a sensor at</w:t>
      </w:r>
      <w:r>
        <w:t xml:space="preserve"> </w:t>
      </w:r>
      <m:oMath>
        <m:r>
          <m:t>η</m:t>
        </m:r>
        <m:r>
          <m:rPr>
            <m:sty m:val="p"/>
          </m:rPr>
          <m:t>=</m:t>
        </m:r>
        <m:r>
          <m:t>x</m:t>
        </m:r>
        <m:r>
          <m:rPr>
            <m:sty m:val="p"/>
          </m:rPr>
          <m:t>/</m:t>
        </m:r>
        <m:sSub>
          <m:e>
            <m:r>
              <m:t>L</m:t>
            </m:r>
          </m:e>
          <m:sub>
            <m:r>
              <m:t>m</m:t>
            </m:r>
          </m:sub>
        </m:sSub>
      </m:oMath>
      <w:r>
        <w:t xml:space="preserve"> </w:t>
      </w:r>
      <w:r>
        <w:t xml:space="preserve">in the main span,</w:t>
      </w:r>
      <w:r>
        <w:t xml:space="preserve"> </w:t>
      </w:r>
      <m:oMath>
        <m:r>
          <m:t>192</m:t>
        </m:r>
        <m:r>
          <m:t>E</m:t>
        </m:r>
        <m:sSub>
          <m:e>
            <m:r>
              <m:t>I</m:t>
            </m:r>
          </m:e>
          <m:sub>
            <m:r>
              <m:t>m</m:t>
            </m:r>
          </m:sub>
        </m:sSub>
        <m:sSub>
          <m:e>
            <m:r>
              <m:t>C</m:t>
            </m:r>
          </m:e>
          <m:sub>
            <m:r>
              <m:t>m</m:t>
            </m:r>
          </m:sub>
        </m:sSub>
        <m:r>
          <m:rPr>
            <m:sty m:val="p"/>
          </m:rPr>
          <m:t>/</m:t>
        </m:r>
        <m:sSubSup>
          <m:e>
            <m:r>
              <m:t>L</m:t>
            </m:r>
          </m:e>
          <m:sub>
            <m:r>
              <m:t>m</m:t>
            </m:r>
          </m:sub>
          <m:sup>
            <m:r>
              <m:t>4</m:t>
            </m:r>
          </m:sup>
        </m:sSubSup>
        <m:r>
          <m:rPr>
            <m:sty m:val="p"/>
          </m:rPr>
          <m:t>=</m:t>
        </m:r>
        <m:r>
          <m:t>8</m:t>
        </m:r>
        <m:d>
          <m:dPr>
            <m:begChr m:val="["/>
            <m:endChr m:val="]"/>
            <m:sepChr m:val=""/>
            <m:grow/>
          </m:dPr>
          <m:e>
            <m:r>
              <m:t>η</m:t>
            </m:r>
            <m:d>
              <m:dPr>
                <m:begChr m:val="("/>
                <m:endChr m:val=")"/>
                <m:sepChr m:val=""/>
                <m:grow/>
              </m:dPr>
              <m:e>
                <m:r>
                  <m:t>1</m:t>
                </m:r>
                <m:r>
                  <m:rPr>
                    <m:sty m:val="p"/>
                  </m:rPr>
                  <m:t>−</m:t>
                </m:r>
                <m:r>
                  <m:t>2</m:t>
                </m:r>
                <m:sSup>
                  <m:e>
                    <m:r>
                      <m:t>η</m:t>
                    </m:r>
                  </m:e>
                  <m:sup>
                    <m:r>
                      <m:t>2</m:t>
                    </m:r>
                  </m:sup>
                </m:sSup>
                <m:r>
                  <m:rPr>
                    <m:sty m:val="p"/>
                  </m:rPr>
                  <m:t>+</m:t>
                </m:r>
                <m:sSup>
                  <m:e>
                    <m:r>
                      <m:t>η</m:t>
                    </m:r>
                  </m:e>
                  <m:sup>
                    <m:r>
                      <m:t>3</m:t>
                    </m:r>
                  </m:sup>
                </m:sSup>
              </m:e>
            </m:d>
            <m:r>
              <m:rPr>
                <m:sty m:val="p"/>
              </m:rPr>
              <m:t>−</m:t>
            </m:r>
            <m:r>
              <m:t>ν</m:t>
            </m:r>
            <m:r>
              <m:t>η</m:t>
            </m:r>
            <m:d>
              <m:dPr>
                <m:begChr m:val="("/>
                <m:endChr m:val=")"/>
                <m:sepChr m:val=""/>
                <m:grow/>
              </m:dPr>
              <m:e>
                <m:r>
                  <m:t>1</m:t>
                </m:r>
                <m:r>
                  <m:rPr>
                    <m:sty m:val="p"/>
                  </m:rPr>
                  <m:t>−</m:t>
                </m:r>
                <m:r>
                  <m:t>η</m:t>
                </m:r>
              </m:e>
            </m:d>
          </m:e>
        </m:d>
      </m:oMath>
      <w:r>
        <w:t xml:space="preserve"> </w:t>
      </w:r>
      <w:r>
        <w:t xml:space="preserve">with</w:t>
      </w:r>
      <w:r>
        <w:t xml:space="preserve"> </w:t>
      </w:r>
      <m:oMath>
        <m:r>
          <m:t>ν</m:t>
        </m:r>
        <m:r>
          <m:rPr>
            <m:sty m:val="p"/>
          </m:rPr>
          <m:t>=</m:t>
        </m:r>
        <m:r>
          <m:t>3</m:t>
        </m:r>
        <m:d>
          <m:dPr>
            <m:begChr m:val="("/>
            <m:endChr m:val=")"/>
            <m:sepChr m:val=""/>
            <m:grow/>
          </m:dPr>
          <m:e>
            <m:sSub>
              <m:e>
                <m:r>
                  <m:t>ρ</m:t>
                </m:r>
              </m:e>
              <m:sub>
                <m:r>
                  <m:t>E</m:t>
                </m:r>
                <m:r>
                  <m:t>I</m:t>
                </m:r>
              </m:sub>
            </m:sSub>
            <m:r>
              <m:rPr>
                <m:sty m:val="p"/>
              </m:rPr>
              <m:t>+</m:t>
            </m:r>
            <m:sSup>
              <m:e>
                <m:r>
                  <m:t>β</m:t>
                </m:r>
              </m:e>
              <m:sup>
                <m:r>
                  <m:t>3</m:t>
                </m:r>
              </m:sup>
            </m:sSup>
          </m:e>
        </m:d>
        <m:r>
          <m:rPr>
            <m:sty m:val="p"/>
          </m:rPr>
          <m:t>/</m:t>
        </m:r>
        <m:d>
          <m:dPr>
            <m:begChr m:val="["/>
            <m:endChr m:val="]"/>
            <m:sepChr m:val=""/>
            <m:grow/>
          </m:dPr>
          <m:e>
            <m:sSup>
              <m:e>
                <m:r>
                  <m:t>β</m:t>
                </m:r>
              </m:e>
              <m:sup>
                <m:r>
                  <m:t>2</m:t>
                </m:r>
              </m:sup>
            </m:sSup>
            <m:d>
              <m:dPr>
                <m:begChr m:val="("/>
                <m:endChr m:val=")"/>
                <m:sepChr m:val=""/>
                <m:grow/>
              </m:dPr>
              <m:e>
                <m:r>
                  <m:t>2</m:t>
                </m:r>
                <m:sSub>
                  <m:e>
                    <m:r>
                      <m:t>ρ</m:t>
                    </m:r>
                  </m:e>
                  <m:sub>
                    <m:r>
                      <m:t>E</m:t>
                    </m:r>
                    <m:r>
                      <m:t>I</m:t>
                    </m:r>
                  </m:sub>
                </m:sSub>
                <m:r>
                  <m:rPr>
                    <m:sty m:val="p"/>
                  </m:rPr>
                  <m:t>+</m:t>
                </m:r>
                <m:r>
                  <m:t>3</m:t>
                </m:r>
                <m:r>
                  <m:t>β</m:t>
                </m:r>
              </m:e>
            </m:d>
          </m:e>
        </m:d>
      </m:oMath>
      <w:r>
        <w:t xml:space="preserve">. Asymmetric layouts follow from the three-moment equations solved symbolically (Supplementary Material); with the sensor at mid span 1 and</w:t>
      </w:r>
      <w:r>
        <w:t xml:space="preserve"> </w:t>
      </w:r>
      <m:oMath>
        <m:sSub>
          <m:e>
            <m:r>
              <m:t>L</m:t>
            </m:r>
          </m:e>
          <m:sub>
            <m:r>
              <m:t>3</m:t>
            </m:r>
          </m:sub>
        </m:sSub>
        <m:r>
          <m:rPr>
            <m:sty m:val="p"/>
          </m:rPr>
          <m:t>/</m:t>
        </m:r>
        <m:sSub>
          <m:e>
            <m:r>
              <m:t>L</m:t>
            </m:r>
          </m:e>
          <m:sub>
            <m:r>
              <m:t>2</m:t>
            </m:r>
          </m:sub>
        </m:sSub>
      </m:oMath>
      <w:r>
        <w:t xml:space="preserve"> </w:t>
      </w:r>
      <w:r>
        <w:t xml:space="preserve">between 0.3 and 0.6, the blind ratio</w:t>
      </w:r>
      <w:r>
        <w:t xml:space="preserve"> </w:t>
      </w:r>
      <m:oMath>
        <m:sSub>
          <m:e>
            <m:r>
              <m:t>L</m:t>
            </m:r>
          </m:e>
          <m:sub>
            <m:r>
              <m:t>1</m:t>
            </m:r>
          </m:sub>
        </m:sSub>
        <m:r>
          <m:rPr>
            <m:sty m:val="p"/>
          </m:rPr>
          <m:t>/</m:t>
        </m:r>
        <m:sSub>
          <m:e>
            <m:r>
              <m:t>L</m:t>
            </m:r>
          </m:e>
          <m:sub>
            <m:r>
              <m:t>2</m:t>
            </m:r>
          </m:sub>
        </m:sSub>
      </m:oMath>
      <w:r>
        <w:t xml:space="preserve"> </w:t>
      </w:r>
      <w:r>
        <w:t xml:space="preserve">stays between 0.587 and 0.592.</w:t>
      </w:r>
    </w:p>
    <w:p>
      <w:pPr>
        <w:pStyle w:val="BodyText"/>
      </w:pPr>
      <w:r>
        <w:rPr>
          <w:bCs/>
          <w:b/>
        </w:rPr>
        <w:t xml:space="preserve">Table A.1.</w:t>
      </w:r>
      <w:r>
        <w:t xml:space="preserve"> </w:t>
      </w:r>
      <w:r>
        <w:t xml:space="preserve">Symmetric three-span beam, uniform rigidity: optimal side-span position</w:t>
      </w:r>
      <w:r>
        <w:t xml:space="preserve"> </w:t>
      </w:r>
      <m:oMath>
        <m:sSup>
          <m:e>
            <m:r>
              <m:t>ξ</m:t>
            </m:r>
          </m:e>
          <m:sup>
            <m:r>
              <m:rPr>
                <m:sty m:val="p"/>
              </m:rPr>
              <m:t>*</m:t>
            </m:r>
          </m:sup>
        </m:sSup>
      </m:oMath>
      <w:r>
        <w:t xml:space="preserve"> </w:t>
      </w:r>
      <w:r>
        <w:t xml:space="preserve">and deflection indicator</w:t>
      </w:r>
      <w:r>
        <w:t xml:space="preserve"> </w:t>
      </w:r>
      <m:oMath>
        <m:sSub>
          <m:e>
            <m:r>
              <m:t>N</m:t>
            </m:r>
          </m:e>
          <m:sub>
            <m:r>
              <m:t>w</m:t>
            </m:r>
          </m:sub>
        </m:sSub>
      </m:oMath>
      <w:r>
        <w:t xml:space="preserve">.</w:t>
      </w:r>
    </w:p>
    <w:tbl>
      <w:tblPr>
        <w:tblStyle w:val="Table"/>
        <w:tblW w:type="auto" w:w="0"/>
        <w:tblLook w:firstRow="1" w:lastRow="0" w:firstColumn="0" w:lastColumn="0" w:noHBand="0" w:noVBand="0" w:val="0020"/>
        <w:jc w:val="start"/>
        <w:tblBorders>
          <w:top w:val="single" w:sz="8" w:space="0" w:color="000000"/>
          <w:left w:val="nil"/>
          <w:bottom w:val="single" w:sz="8" w:space="0" w:color="000000"/>
          <w:right w:val="nil"/>
          <w:insideH w:val="nil"/>
          <w:insideV w:val="nil"/>
        </w:tblBorders>
      </w:tblPr>
      <w:tblGrid>
        <w:gridCol w:w="1615"/>
        <w:gridCol w:w="1863"/>
        <w:gridCol w:w="1863"/>
        <w:gridCol w:w="1863"/>
        <w:gridCol w:w="1863"/>
      </w:tblGrid>
      <w:tr>
        <w:trPr>
          <w:tblHeader w:val="true"/>
        </w:trPr>
        <w:tc>
          <w:tcPr>
            <w:tcW w:type="dxa" w:w="1615"/>
            <w:tcBorders>
              <w:top w:val="nil"/>
              <w:left w:val="nil"/>
              <w:bottom w:val="single" w:sz="6" w:space="0" w:color="000000"/>
              <w:right w:val="nil"/>
            </w:tcBorders>
          </w:tcPr>
          <w:p>
            <w:pPr>
              <w:pStyle w:val="Compact"/>
              <w:jc w:val="left"/>
            </w:pPr>
            <m:oMath>
              <m:r>
                <m:t>β</m:t>
              </m:r>
            </m:oMath>
          </w:p>
        </w:tc>
        <w:tc>
          <w:tcPr>
            <w:tcW w:type="dxa" w:w="1863"/>
            <w:tcBorders>
              <w:top w:val="nil"/>
              <w:left w:val="nil"/>
              <w:bottom w:val="single" w:sz="6" w:space="0" w:color="000000"/>
              <w:right w:val="nil"/>
            </w:tcBorders>
          </w:tcPr>
          <w:p>
            <w:pPr>
              <w:pStyle w:val="Compact"/>
              <w:jc w:val="left"/>
            </w:pPr>
            <m:oMath>
              <m:r>
                <m:t>μ</m:t>
              </m:r>
            </m:oMath>
          </w:p>
        </w:tc>
        <w:tc>
          <w:tcPr>
            <w:tcW w:type="dxa" w:w="1863"/>
            <w:tcBorders>
              <w:top w:val="nil"/>
              <w:left w:val="nil"/>
              <w:bottom w:val="single" w:sz="6" w:space="0" w:color="000000"/>
              <w:right w:val="nil"/>
            </w:tcBorders>
          </w:tcPr>
          <w:p>
            <w:pPr>
              <w:pStyle w:val="Compact"/>
              <w:jc w:val="left"/>
            </w:pPr>
            <m:oMath>
              <m:sSup>
                <m:e>
                  <m:r>
                    <m:t>ξ</m:t>
                  </m:r>
                </m:e>
                <m:sup>
                  <m:r>
                    <m:rPr>
                      <m:sty m:val="p"/>
                    </m:rPr>
                    <m:t>*</m:t>
                  </m:r>
                </m:sup>
              </m:sSup>
            </m:oMath>
          </w:p>
        </w:tc>
        <w:tc>
          <w:tcPr>
            <w:tcW w:type="dxa" w:w="1863"/>
            <w:tcBorders>
              <w:top w:val="nil"/>
              <w:left w:val="nil"/>
              <w:bottom w:val="single" w:sz="6" w:space="0" w:color="000000"/>
              <w:right w:val="nil"/>
            </w:tcBorders>
          </w:tcPr>
          <w:p>
            <w:pPr>
              <w:pStyle w:val="Compact"/>
              <w:jc w:val="left"/>
            </w:pPr>
            <m:oMath>
              <m:sSub>
                <m:e>
                  <m:r>
                    <m:t>N</m:t>
                  </m:r>
                </m:e>
                <m:sub>
                  <m:r>
                    <m:t>w</m:t>
                  </m:r>
                </m:sub>
              </m:sSub>
            </m:oMath>
            <w:r>
              <w:t xml:space="preserve"> </w:t>
            </w:r>
            <w:r>
              <w:t xml:space="preserve">at</w:t>
            </w:r>
            <w:r>
              <w:t xml:space="preserve"> </w:t>
            </w:r>
            <m:oMath>
              <m:sSup>
                <m:e>
                  <m:r>
                    <m:t>ξ</m:t>
                  </m:r>
                </m:e>
                <m:sup>
                  <m:r>
                    <m:rPr>
                      <m:sty m:val="p"/>
                    </m:rPr>
                    <m:t>*</m:t>
                  </m:r>
                </m:sup>
              </m:sSup>
            </m:oMath>
          </w:p>
        </w:tc>
        <w:tc>
          <w:tcPr>
            <w:tcW w:type="dxa" w:w="1863"/>
            <w:tcBorders>
              <w:top w:val="nil"/>
              <w:left w:val="nil"/>
              <w:bottom w:val="single" w:sz="6" w:space="0" w:color="000000"/>
              <w:right w:val="nil"/>
            </w:tcBorders>
          </w:tcPr>
          <w:p>
            <w:pPr>
              <w:pStyle w:val="Compact"/>
              <w:jc w:val="left"/>
            </w:pPr>
            <m:oMath>
              <m:sSub>
                <m:e>
                  <m:r>
                    <m:t>N</m:t>
                  </m:r>
                </m:e>
                <m:sub>
                  <m:r>
                    <m:t>w</m:t>
                  </m:r>
                </m:sub>
              </m:sSub>
            </m:oMath>
            <w:r>
              <w:t xml:space="preserve"> </w:t>
            </w:r>
            <w:r>
              <w:t xml:space="preserve">at</w:t>
            </w:r>
            <w:r>
              <w:t xml:space="preserve"> </w:t>
            </w:r>
            <m:oMath>
              <m:r>
                <m:t>ξ</m:t>
              </m:r>
              <m:r>
                <m:rPr>
                  <m:sty m:val="p"/>
                </m:rPr>
                <m:t>=</m:t>
              </m:r>
              <m:r>
                <m:t>1</m:t>
              </m:r>
              <m:r>
                <m:rPr>
                  <m:sty m:val="p"/>
                </m:rPr>
                <m:t>/</m:t>
              </m:r>
              <m:r>
                <m:t>2</m:t>
              </m:r>
            </m:oMath>
          </w:p>
        </w:tc>
      </w:tr>
      <w:tr>
        <w:tc>
          <w:tcPr>
            <w:tcW w:type="dxa" w:w="1615"/>
          </w:tcPr>
          <w:p>
            <w:pPr>
              <w:pStyle w:val="Compact"/>
              <w:jc w:val="left"/>
            </w:pPr>
            <w:r>
              <w:t xml:space="preserve">1.0</w:t>
            </w:r>
          </w:p>
        </w:tc>
        <w:tc>
          <w:tcPr>
            <w:tcW w:type="dxa" w:w="1863"/>
          </w:tcPr>
          <w:p>
            <w:pPr>
              <w:pStyle w:val="Compact"/>
              <w:jc w:val="left"/>
            </w:pPr>
            <w:r>
              <w:t xml:space="preserve">0.800</w:t>
            </w:r>
          </w:p>
        </w:tc>
        <w:tc>
          <w:tcPr>
            <w:tcW w:type="dxa" w:w="1863"/>
          </w:tcPr>
          <w:p>
            <w:pPr>
              <w:pStyle w:val="Compact"/>
              <w:jc w:val="left"/>
            </w:pPr>
            <w:r>
              <w:t xml:space="preserve">0.4460</w:t>
            </w:r>
          </w:p>
        </w:tc>
        <w:tc>
          <w:tcPr>
            <w:tcW w:type="dxa" w:w="1863"/>
          </w:tcPr>
          <w:p>
            <w:pPr>
              <w:pStyle w:val="Compact"/>
              <w:jc w:val="left"/>
            </w:pPr>
            <w:r>
              <w:t xml:space="preserve">1.322</w:t>
            </w:r>
          </w:p>
        </w:tc>
        <w:tc>
          <w:tcPr>
            <w:tcW w:type="dxa" w:w="1863"/>
          </w:tcPr>
          <w:p>
            <w:pPr>
              <w:pStyle w:val="Compact"/>
              <w:jc w:val="left"/>
            </w:pPr>
            <w:r>
              <w:t xml:space="preserve">1.300</w:t>
            </w:r>
          </w:p>
        </w:tc>
      </w:tr>
      <w:tr>
        <w:tc>
          <w:tcPr>
            <w:tcW w:type="dxa" w:w="1615"/>
          </w:tcPr>
          <w:p>
            <w:pPr>
              <w:pStyle w:val="Compact"/>
              <w:jc w:val="left"/>
            </w:pPr>
            <w:r>
              <w:t xml:space="preserve">1.2</w:t>
            </w:r>
          </w:p>
        </w:tc>
        <w:tc>
          <w:tcPr>
            <w:tcW w:type="dxa" w:w="1863"/>
          </w:tcPr>
          <w:p>
            <w:pPr>
              <w:pStyle w:val="Compact"/>
              <w:jc w:val="left"/>
            </w:pPr>
            <w:r>
              <w:t xml:space="preserve">0.9743</w:t>
            </w:r>
          </w:p>
        </w:tc>
        <w:tc>
          <w:tcPr>
            <w:tcW w:type="dxa" w:w="1863"/>
          </w:tcPr>
          <w:p>
            <w:pPr>
              <w:pStyle w:val="Compact"/>
              <w:jc w:val="left"/>
            </w:pPr>
            <w:r>
              <w:t xml:space="preserve">0.4251</w:t>
            </w:r>
          </w:p>
        </w:tc>
        <w:tc>
          <w:tcPr>
            <w:tcW w:type="dxa" w:w="1863"/>
          </w:tcPr>
          <w:p>
            <w:pPr>
              <w:pStyle w:val="Compact"/>
              <w:jc w:val="left"/>
            </w:pPr>
            <w:r>
              <w:t xml:space="preserve">1.076</w:t>
            </w:r>
          </w:p>
        </w:tc>
        <w:tc>
          <w:tcPr>
            <w:tcW w:type="dxa" w:w="1863"/>
          </w:tcPr>
          <w:p>
            <w:pPr>
              <w:pStyle w:val="Compact"/>
              <w:jc w:val="left"/>
            </w:pPr>
            <w:r>
              <w:t xml:space="preserve">1.039</w:t>
            </w:r>
          </w:p>
        </w:tc>
      </w:tr>
      <w:tr>
        <w:tc>
          <w:tcPr>
            <w:tcW w:type="dxa" w:w="1615"/>
          </w:tcPr>
          <w:p>
            <w:pPr>
              <w:pStyle w:val="Compact"/>
              <w:jc w:val="left"/>
            </w:pPr>
            <w:r>
              <w:t xml:space="preserve">1.4</w:t>
            </w:r>
          </w:p>
        </w:tc>
        <w:tc>
          <w:tcPr>
            <w:tcW w:type="dxa" w:w="1863"/>
          </w:tcPr>
          <w:p>
            <w:pPr>
              <w:pStyle w:val="Compact"/>
              <w:jc w:val="left"/>
            </w:pPr>
            <w:r>
              <w:t xml:space="preserve">1.208</w:t>
            </w:r>
          </w:p>
        </w:tc>
        <w:tc>
          <w:tcPr>
            <w:tcW w:type="dxa" w:w="1863"/>
          </w:tcPr>
          <w:p>
            <w:pPr>
              <w:pStyle w:val="Compact"/>
              <w:jc w:val="left"/>
            </w:pPr>
            <w:r>
              <w:t xml:space="preserve">0.3875</w:t>
            </w:r>
          </w:p>
        </w:tc>
        <w:tc>
          <w:tcPr>
            <w:tcW w:type="dxa" w:w="1863"/>
          </w:tcPr>
          <w:p>
            <w:pPr>
              <w:pStyle w:val="Compact"/>
              <w:jc w:val="left"/>
            </w:pPr>
            <w:r>
              <w:t xml:space="preserve">0.7585</w:t>
            </w:r>
          </w:p>
        </w:tc>
        <w:tc>
          <w:tcPr>
            <w:tcW w:type="dxa" w:w="1863"/>
          </w:tcPr>
          <w:p>
            <w:pPr>
              <w:pStyle w:val="Compact"/>
              <w:jc w:val="left"/>
            </w:pPr>
            <w:r>
              <w:t xml:space="preserve">0.6884</w:t>
            </w:r>
          </w:p>
        </w:tc>
      </w:tr>
      <w:tr>
        <w:tc>
          <w:tcPr>
            <w:tcW w:type="dxa" w:w="1615"/>
          </w:tcPr>
          <w:p>
            <w:pPr>
              <w:pStyle w:val="Compact"/>
              <w:jc w:val="left"/>
            </w:pPr>
            <w:r>
              <w:t xml:space="preserve">1.5</w:t>
            </w:r>
          </w:p>
        </w:tc>
        <w:tc>
          <w:tcPr>
            <w:tcW w:type="dxa" w:w="1863"/>
          </w:tcPr>
          <w:p>
            <w:pPr>
              <w:pStyle w:val="Compact"/>
              <w:jc w:val="left"/>
            </w:pPr>
            <w:r>
              <w:t xml:space="preserve">1.346</w:t>
            </w:r>
          </w:p>
        </w:tc>
        <w:tc>
          <w:tcPr>
            <w:tcW w:type="dxa" w:w="1863"/>
          </w:tcPr>
          <w:p>
            <w:pPr>
              <w:pStyle w:val="Compact"/>
              <w:jc w:val="left"/>
            </w:pPr>
            <w:r>
              <w:t xml:space="preserve">0.3582</w:t>
            </w:r>
          </w:p>
        </w:tc>
        <w:tc>
          <w:tcPr>
            <w:tcW w:type="dxa" w:w="1863"/>
          </w:tcPr>
          <w:p>
            <w:pPr>
              <w:pStyle w:val="Compact"/>
              <w:jc w:val="left"/>
            </w:pPr>
            <w:r>
              <w:t xml:space="preserve">0.5807</w:t>
            </w:r>
          </w:p>
        </w:tc>
        <w:tc>
          <w:tcPr>
            <w:tcW w:type="dxa" w:w="1863"/>
          </w:tcPr>
          <w:p>
            <w:pPr>
              <w:pStyle w:val="Compact"/>
              <w:jc w:val="left"/>
            </w:pPr>
            <w:r>
              <w:t xml:space="preserve">0.4808</w:t>
            </w:r>
          </w:p>
        </w:tc>
      </w:tr>
      <w:tr>
        <w:tc>
          <w:tcPr>
            <w:tcW w:type="dxa" w:w="1615"/>
          </w:tcPr>
          <w:p>
            <w:pPr>
              <w:pStyle w:val="Compact"/>
              <w:jc w:val="left"/>
            </w:pPr>
            <w:r>
              <w:t xml:space="preserve">1.636</w:t>
            </w:r>
          </w:p>
        </w:tc>
        <w:tc>
          <w:tcPr>
            <w:tcW w:type="dxa" w:w="1863"/>
          </w:tcPr>
          <w:p>
            <w:pPr>
              <w:pStyle w:val="Compact"/>
              <w:jc w:val="left"/>
            </w:pPr>
            <w:r>
              <w:t xml:space="preserve">1.558</w:t>
            </w:r>
          </w:p>
        </w:tc>
        <w:tc>
          <w:tcPr>
            <w:tcW w:type="dxa" w:w="1863"/>
          </w:tcPr>
          <w:p>
            <w:pPr>
              <w:pStyle w:val="Compact"/>
              <w:jc w:val="left"/>
            </w:pPr>
            <w:r>
              <w:t xml:space="preserve">0.2994</w:t>
            </w:r>
          </w:p>
        </w:tc>
        <w:tc>
          <w:tcPr>
            <w:tcW w:type="dxa" w:w="1863"/>
          </w:tcPr>
          <w:p>
            <w:pPr>
              <w:pStyle w:val="Compact"/>
              <w:jc w:val="left"/>
            </w:pPr>
            <w:r>
              <w:t xml:space="preserve">0.3316</w:t>
            </w:r>
          </w:p>
        </w:tc>
        <w:tc>
          <w:tcPr>
            <w:tcW w:type="dxa" w:w="1863"/>
          </w:tcPr>
          <w:p>
            <w:pPr>
              <w:pStyle w:val="Compact"/>
              <w:jc w:val="left"/>
            </w:pPr>
            <w:r>
              <w:t xml:space="preserve">0.1632</w:t>
            </w:r>
          </w:p>
        </w:tc>
      </w:tr>
      <w:tr>
        <w:tc>
          <w:tcPr>
            <w:tcW w:type="dxa" w:w="1615"/>
          </w:tcPr>
          <w:p>
            <w:pPr>
              <w:pStyle w:val="Compact"/>
              <w:jc w:val="left"/>
            </w:pPr>
            <w:r>
              <w:t xml:space="preserve">1.7</w:t>
            </w:r>
          </w:p>
        </w:tc>
        <w:tc>
          <w:tcPr>
            <w:tcW w:type="dxa" w:w="1863"/>
          </w:tcPr>
          <w:p>
            <w:pPr>
              <w:pStyle w:val="Compact"/>
              <w:jc w:val="left"/>
            </w:pPr>
            <w:r>
              <w:t xml:space="preserve">1.666</w:t>
            </w:r>
          </w:p>
        </w:tc>
        <w:tc>
          <w:tcPr>
            <w:tcW w:type="dxa" w:w="1863"/>
          </w:tcPr>
          <w:p>
            <w:pPr>
              <w:pStyle w:val="Compact"/>
              <w:jc w:val="left"/>
            </w:pPr>
            <w:r>
              <w:t xml:space="preserve">0.2608</w:t>
            </w:r>
          </w:p>
        </w:tc>
        <w:tc>
          <w:tcPr>
            <w:tcW w:type="dxa" w:w="1863"/>
          </w:tcPr>
          <w:p>
            <w:pPr>
              <w:pStyle w:val="Compact"/>
              <w:jc w:val="left"/>
            </w:pPr>
            <w:r>
              <w:t xml:space="preserve">0.2202</w:t>
            </w:r>
          </w:p>
        </w:tc>
        <w:tc>
          <w:tcPr>
            <w:tcW w:type="dxa" w:w="1863"/>
          </w:tcPr>
          <w:p>
            <w:pPr>
              <w:pStyle w:val="Compact"/>
              <w:jc w:val="left"/>
            </w:pPr>
            <w:r>
              <w:t xml:space="preserve">0.0015</w:t>
            </w:r>
          </w:p>
        </w:tc>
      </w:tr>
    </w:tbl>
    <w:bookmarkEnd w:id="49"/>
    <w:bookmarkStart w:id="50" w:name="X937ea58250419344f7e1055a6fa897c02cbfbfd"/>
    <w:p>
      <w:pPr>
        <w:pStyle w:val="Heading2"/>
      </w:pPr>
      <w:r>
        <w:t xml:space="preserve">Appendix B. General channels and invariant weights</w:t>
      </w:r>
    </w:p>
    <w:p>
      <w:pPr>
        <w:pStyle w:val="FirstParagraph"/>
      </w:pPr>
      <w:r>
        <w:t xml:space="preserve">For a prismatic span with hogging end parameters</w:t>
      </w:r>
      <w:r>
        <w:t xml:space="preserve"> </w:t>
      </w:r>
      <m:oMath>
        <m:sSub>
          <m:e>
            <m:r>
              <m:t>m</m:t>
            </m:r>
          </m:e>
          <m:sub>
            <m:r>
              <m:t>l</m:t>
            </m:r>
          </m:sub>
        </m:sSub>
      </m:oMath>
      <w:r>
        <w:t xml:space="preserve">,</w:t>
      </w:r>
      <w:r>
        <w:t xml:space="preserve"> </w:t>
      </w:r>
      <m:oMath>
        <m:sSub>
          <m:e>
            <m:r>
              <m:t>m</m:t>
            </m:r>
          </m:e>
          <m:sub>
            <m:r>
              <m:t>r</m:t>
            </m:r>
          </m:sub>
        </m:sSub>
      </m:oMath>
      <w:r>
        <w:t xml:space="preserve"> </w:t>
      </w:r>
      <w:r>
        <w:t xml:space="preserve">and</w:t>
      </w:r>
      <w:r>
        <w:t xml:space="preserve"> </w:t>
      </w:r>
      <m:oMath>
        <m:r>
          <m:t>ξ</m:t>
        </m:r>
        <m:r>
          <m:rPr>
            <m:sty m:val="p"/>
          </m:rPr>
          <m:t>=</m:t>
        </m:r>
        <m:r>
          <m:t>s</m:t>
        </m:r>
        <m:r>
          <m:rPr>
            <m:sty m:val="p"/>
          </m:rPr>
          <m:t>/</m:t>
        </m:r>
        <m:r>
          <m:t>L</m:t>
        </m:r>
      </m:oMath>
      <w:r>
        <w:t xml:space="preserve">, the indicators normalised to the simply supported reference are</w:t>
      </w:r>
      <w:r>
        <w:t xml:space="preserve"> </w:t>
      </w:r>
      <m:oMath>
        <m:sSub>
          <m:e>
            <m:r>
              <m:t>N</m:t>
            </m:r>
          </m:e>
          <m:sub>
            <m:r>
              <m:t>w</m:t>
            </m:r>
          </m:sub>
        </m:sSub>
        <m:r>
          <m:rPr>
            <m:sty m:val="p"/>
          </m:rPr>
          <m:t>=</m:t>
        </m:r>
        <m:r>
          <m:t>8</m:t>
        </m:r>
        <m:r>
          <m:t>Φ</m:t>
        </m:r>
      </m:oMath>
      <w:r>
        <w:t xml:space="preserve"> </w:t>
      </w:r>
      <w:r>
        <w:t xml:space="preserve">with</w:t>
      </w:r>
      <w:r>
        <w:t xml:space="preserve"> </w:t>
      </w:r>
      <m:oMath>
        <m:r>
          <m:t>Φ</m:t>
        </m:r>
        <m:r>
          <m:rPr>
            <m:sty m:val="p"/>
          </m:rPr>
          <m:t>=</m:t>
        </m:r>
        <m:r>
          <m:t>ξ</m:t>
        </m:r>
        <m:d>
          <m:dPr>
            <m:begChr m:val="("/>
            <m:endChr m:val=")"/>
            <m:sepChr m:val=""/>
            <m:grow/>
          </m:dPr>
          <m:e>
            <m:r>
              <m:t>1</m:t>
            </m:r>
            <m:r>
              <m:rPr>
                <m:sty m:val="p"/>
              </m:rPr>
              <m:t>−</m:t>
            </m:r>
            <m:r>
              <m:t>2</m:t>
            </m:r>
            <m:sSup>
              <m:e>
                <m:r>
                  <m:t>ξ</m:t>
                </m:r>
              </m:e>
              <m:sup>
                <m:r>
                  <m:t>2</m:t>
                </m:r>
              </m:sup>
            </m:sSup>
            <m:r>
              <m:rPr>
                <m:sty m:val="p"/>
              </m:rPr>
              <m:t>+</m:t>
            </m:r>
            <m:sSup>
              <m:e>
                <m:r>
                  <m:t>ξ</m:t>
                </m:r>
              </m:e>
              <m:sup>
                <m:r>
                  <m:t>3</m:t>
                </m:r>
              </m:sup>
            </m:sSup>
          </m:e>
        </m:d>
        <m:r>
          <m:rPr>
            <m:sty m:val="p"/>
          </m:rPr>
          <m:t>−</m:t>
        </m:r>
        <m:f>
          <m:fPr>
            <m:type m:val="lin"/>
          </m:fPr>
          <m:num>
            <m:sSub>
              <m:e>
                <m:r>
                  <m:t>m</m:t>
                </m:r>
              </m:e>
              <m:sub>
                <m:r>
                  <m:t>l</m:t>
                </m:r>
              </m:sub>
            </m:sSub>
          </m:num>
          <m:den>
            <m:r>
              <m:t>2</m:t>
            </m:r>
          </m:den>
        </m:f>
        <m:d>
          <m:dPr>
            <m:begChr m:val="("/>
            <m:endChr m:val=")"/>
            <m:sepChr m:val=""/>
            <m:grow/>
          </m:dPr>
          <m:e>
            <m:r>
              <m:t>2</m:t>
            </m:r>
            <m:r>
              <m:t>ξ</m:t>
            </m:r>
            <m:r>
              <m:rPr>
                <m:sty m:val="p"/>
              </m:rPr>
              <m:t>−</m:t>
            </m:r>
            <m:r>
              <m:t>3</m:t>
            </m:r>
            <m:sSup>
              <m:e>
                <m:r>
                  <m:t>ξ</m:t>
                </m:r>
              </m:e>
              <m:sup>
                <m:r>
                  <m:t>2</m:t>
                </m:r>
              </m:sup>
            </m:sSup>
            <m:r>
              <m:rPr>
                <m:sty m:val="p"/>
              </m:rPr>
              <m:t>+</m:t>
            </m:r>
            <m:sSup>
              <m:e>
                <m:r>
                  <m:t>ξ</m:t>
                </m:r>
              </m:e>
              <m:sup>
                <m:r>
                  <m:t>3</m:t>
                </m:r>
              </m:sup>
            </m:sSup>
          </m:e>
        </m:d>
        <m:r>
          <m:rPr>
            <m:sty m:val="p"/>
          </m:rPr>
          <m:t>−</m:t>
        </m:r>
        <m:f>
          <m:fPr>
            <m:type m:val="lin"/>
          </m:fPr>
          <m:num>
            <m:sSub>
              <m:e>
                <m:r>
                  <m:t>m</m:t>
                </m:r>
              </m:e>
              <m:sub>
                <m:r>
                  <m:t>r</m:t>
                </m:r>
              </m:sub>
            </m:sSub>
          </m:num>
          <m:den>
            <m:r>
              <m:t>2</m:t>
            </m:r>
          </m:den>
        </m:f>
        <m:d>
          <m:dPr>
            <m:begChr m:val="("/>
            <m:endChr m:val=")"/>
            <m:sepChr m:val=""/>
            <m:grow/>
          </m:dPr>
          <m:e>
            <m:r>
              <m:t>ξ</m:t>
            </m:r>
            <m:r>
              <m:rPr>
                <m:sty m:val="p"/>
              </m:rPr>
              <m:t>−</m:t>
            </m:r>
            <m:sSup>
              <m:e>
                <m:r>
                  <m:t>ξ</m:t>
                </m:r>
              </m:e>
              <m:sup>
                <m:r>
                  <m:t>3</m:t>
                </m:r>
              </m:sup>
            </m:sSup>
          </m:e>
        </m:d>
      </m:oMath>
      <w:r>
        <w:t xml:space="preserve">,</w:t>
      </w:r>
      <w:r>
        <w:t xml:space="preserve"> </w:t>
      </w:r>
      <m:oMath>
        <m:sSub>
          <m:e>
            <m:r>
              <m:t>N</m:t>
            </m:r>
          </m:e>
          <m:sub>
            <m:r>
              <m:t>θ</m:t>
            </m:r>
          </m:sub>
        </m:sSub>
        <m:r>
          <m:rPr>
            <m:sty m:val="p"/>
          </m:rPr>
          <m:t>=</m:t>
        </m:r>
        <m:r>
          <m:t>24</m:t>
        </m:r>
        <m:r>
          <m:t>E</m:t>
        </m:r>
        <m:r>
          <m:t>I</m:t>
        </m:r>
        <m:r>
          <m:t> </m:t>
        </m:r>
        <m:sSub>
          <m:e>
            <m:r>
              <m:t>C</m:t>
            </m:r>
          </m:e>
          <m:sub>
            <m:r>
              <m:t>θ</m:t>
            </m:r>
          </m:sub>
        </m:sSub>
        <m:r>
          <m:rPr>
            <m:sty m:val="p"/>
          </m:rPr>
          <m:t>/</m:t>
        </m:r>
        <m:sSup>
          <m:e>
            <m:r>
              <m:t>L</m:t>
            </m:r>
          </m:e>
          <m:sup>
            <m:r>
              <m:t>3</m:t>
            </m:r>
          </m:sup>
        </m:sSup>
        <m:r>
          <m:rPr>
            <m:sty m:val="p"/>
          </m:rPr>
          <m:t>=</m:t>
        </m:r>
        <m:r>
          <m:t>Φ</m:t>
        </m:r>
        <m:r>
          <m:rPr>
            <m:sty m:val="p"/>
          </m:rPr>
          <m:t>′</m:t>
        </m:r>
        <m:d>
          <m:dPr>
            <m:begChr m:val="("/>
            <m:endChr m:val=")"/>
            <m:sepChr m:val=""/>
            <m:grow/>
          </m:dPr>
          <m:e>
            <m:r>
              <m:t>ξ</m:t>
            </m:r>
          </m:e>
        </m:d>
      </m:oMath>
      <w:r>
        <w:t xml:space="preserve">,</w:t>
      </w:r>
      <w:r>
        <w:t xml:space="preserve"> </w:t>
      </w:r>
      <m:oMath>
        <m:sSub>
          <m:e>
            <m:r>
              <m:t>N</m:t>
            </m:r>
          </m:e>
          <m:sub>
            <m:r>
              <m:t>M</m:t>
            </m:r>
          </m:sub>
        </m:sSub>
      </m:oMath>
      <w:r>
        <w:t xml:space="preserve"> </w:t>
      </w:r>
      <w:r>
        <w:t xml:space="preserve">of Eq. (9) and</w:t>
      </w:r>
      <w:r>
        <w:t xml:space="preserve"> </w:t>
      </w:r>
      <m:oMath>
        <m:sSub>
          <m:e>
            <m:r>
              <m:t>N</m:t>
            </m:r>
          </m:e>
          <m:sub>
            <m:r>
              <m:t>V</m:t>
            </m:r>
          </m:sub>
        </m:sSub>
        <m:r>
          <m:rPr>
            <m:sty m:val="p"/>
          </m:rPr>
          <m:t>=</m:t>
        </m:r>
        <m:r>
          <m:t>2</m:t>
        </m:r>
        <m:sSub>
          <m:e>
            <m:r>
              <m:t>C</m:t>
            </m:r>
          </m:e>
          <m:sub>
            <m:r>
              <m:t>V</m:t>
            </m:r>
          </m:sub>
        </m:sSub>
        <m:r>
          <m:rPr>
            <m:sty m:val="p"/>
          </m:rPr>
          <m:t>/</m:t>
        </m:r>
        <m:r>
          <m:t>L</m:t>
        </m:r>
        <m:r>
          <m:rPr>
            <m:sty m:val="p"/>
          </m:rPr>
          <m:t>=</m:t>
        </m:r>
        <m:r>
          <m:t>1</m:t>
        </m:r>
        <m:r>
          <m:rPr>
            <m:sty m:val="p"/>
          </m:rPr>
          <m:t>−</m:t>
        </m:r>
        <m:r>
          <m:t>2</m:t>
        </m:r>
        <m:r>
          <m:t>ξ</m:t>
        </m:r>
        <m:r>
          <m:rPr>
            <m:sty m:val="p"/>
          </m:rPr>
          <m:t>+</m:t>
        </m:r>
        <m:d>
          <m:dPr>
            <m:begChr m:val="("/>
            <m:endChr m:val=")"/>
            <m:sepChr m:val=""/>
            <m:grow/>
          </m:dPr>
          <m:e>
            <m:sSub>
              <m:e>
                <m:r>
                  <m:t>m</m:t>
                </m:r>
              </m:e>
              <m:sub>
                <m:r>
                  <m:t>l</m:t>
                </m:r>
              </m:sub>
            </m:sSub>
            <m:r>
              <m:rPr>
                <m:sty m:val="p"/>
              </m:rPr>
              <m:t>−</m:t>
            </m:r>
            <m:sSub>
              <m:e>
                <m:r>
                  <m:t>m</m:t>
                </m:r>
              </m:e>
              <m:sub>
                <m:r>
                  <m:t>r</m:t>
                </m:r>
              </m:sub>
            </m:sSub>
          </m:e>
        </m:d>
        <m:r>
          <m:rPr>
            <m:sty m:val="p"/>
          </m:rPr>
          <m:t>/</m:t>
        </m:r>
        <m:r>
          <m:t>4</m:t>
        </m:r>
      </m:oMath>
      <w:r>
        <w:t xml:space="preserve">. For the two-span beam,</w:t>
      </w:r>
      <w:r>
        <w:t xml:space="preserve"> </w:t>
      </w:r>
      <m:oMath>
        <m:d>
          <m:dPr>
            <m:begChr m:val="("/>
            <m:endChr m:val=")"/>
            <m:sepChr m:val=""/>
            <m:grow/>
          </m:dPr>
          <m:e>
            <m:sSub>
              <m:e>
                <m:r>
                  <m:t>m</m:t>
                </m:r>
              </m:e>
              <m:sub>
                <m:r>
                  <m:t>l</m:t>
                </m:r>
              </m:sub>
            </m:sSub>
            <m:r>
              <m:rPr>
                <m:sty m:val="p"/>
              </m:rPr>
              <m:t>,</m:t>
            </m:r>
            <m:sSub>
              <m:e>
                <m:r>
                  <m:t>m</m:t>
                </m:r>
              </m:e>
              <m:sub>
                <m:r>
                  <m:t>r</m:t>
                </m:r>
              </m:sub>
            </m:sSub>
          </m:e>
        </m:d>
        <m:r>
          <m:rPr>
            <m:sty m:val="p"/>
          </m:rPr>
          <m:t>=</m:t>
        </m:r>
        <m:d>
          <m:dPr>
            <m:begChr m:val="("/>
            <m:endChr m:val=")"/>
            <m:sepChr m:val=""/>
            <m:grow/>
          </m:dPr>
          <m:e>
            <m:r>
              <m:t>0</m:t>
            </m:r>
            <m:r>
              <m:rPr>
                <m:sty m:val="p"/>
              </m:rPr>
              <m:t>,</m:t>
            </m:r>
            <m:r>
              <m:t>μ</m:t>
            </m:r>
          </m:e>
        </m:d>
      </m:oMath>
      <w:r>
        <w:t xml:space="preserve"> </w:t>
      </w:r>
      <w:r>
        <w:t xml:space="preserve">in span 1 and</w:t>
      </w:r>
      <w:r>
        <w:t xml:space="preserve"> </w:t>
      </w:r>
      <m:oMath>
        <m:d>
          <m:dPr>
            <m:begChr m:val="("/>
            <m:endChr m:val=")"/>
            <m:sepChr m:val=""/>
            <m:grow/>
          </m:dPr>
          <m:e>
            <m:r>
              <m:t>μ</m:t>
            </m:r>
            <m:r>
              <m:rPr>
                <m:sty m:val="p"/>
              </m:rPr>
              <m:t>/</m:t>
            </m:r>
            <m:sSubSup>
              <m:e>
                <m:r>
                  <m:t>ρ</m:t>
                </m:r>
              </m:e>
              <m:sub>
                <m:r>
                  <m:t>L</m:t>
                </m:r>
              </m:sub>
              <m:sup>
                <m:r>
                  <m:t>2</m:t>
                </m:r>
              </m:sup>
            </m:sSubSup>
            <m:r>
              <m:rPr>
                <m:sty m:val="p"/>
              </m:rPr>
              <m:t>,</m:t>
            </m:r>
            <m:r>
              <m:t>0</m:t>
            </m:r>
          </m:e>
        </m:d>
      </m:oMath>
      <w:r>
        <w:t xml:space="preserve"> </w:t>
      </w:r>
      <w:r>
        <w:t xml:space="preserve">in span 2; for the symmetric three-span beam,</w:t>
      </w:r>
      <w:r>
        <w:t xml:space="preserve"> </w:t>
      </w:r>
      <m:oMath>
        <m:d>
          <m:dPr>
            <m:begChr m:val="("/>
            <m:endChr m:val=")"/>
            <m:sepChr m:val=""/>
            <m:grow/>
          </m:dPr>
          <m:e>
            <m:r>
              <m:t>0</m:t>
            </m:r>
            <m:r>
              <m:rPr>
                <m:sty m:val="p"/>
              </m:rPr>
              <m:t>,</m:t>
            </m:r>
            <m:r>
              <m:t>μ</m:t>
            </m:r>
          </m:e>
        </m:d>
      </m:oMath>
      <w:r>
        <w:t xml:space="preserve"> </w:t>
      </w:r>
      <w:r>
        <w:t xml:space="preserve">in the side span and</w:t>
      </w:r>
      <w:r>
        <w:t xml:space="preserve"> </w:t>
      </w:r>
      <m:oMath>
        <m:d>
          <m:dPr>
            <m:begChr m:val="("/>
            <m:endChr m:val=")"/>
            <m:sepChr m:val=""/>
            <m:grow/>
          </m:dPr>
          <m:e>
            <m:r>
              <m:t>μ</m:t>
            </m:r>
            <m:r>
              <m:rPr>
                <m:sty m:val="p"/>
              </m:rPr>
              <m:t>/</m:t>
            </m:r>
            <m:sSup>
              <m:e>
                <m:r>
                  <m:t>β</m:t>
                </m:r>
              </m:e>
              <m:sup>
                <m:r>
                  <m:t>2</m:t>
                </m:r>
              </m:sup>
            </m:sSup>
            <m:r>
              <m:rPr>
                <m:sty m:val="p"/>
              </m:rPr>
              <m:t>,</m:t>
            </m:r>
            <m:r>
              <m:t>μ</m:t>
            </m:r>
            <m:r>
              <m:rPr>
                <m:sty m:val="p"/>
              </m:rPr>
              <m:t>/</m:t>
            </m:r>
            <m:sSup>
              <m:e>
                <m:r>
                  <m:t>β</m:t>
                </m:r>
              </m:e>
              <m:sup>
                <m:r>
                  <m:t>2</m:t>
                </m:r>
              </m:sup>
            </m:sSup>
          </m:e>
        </m:d>
      </m:oMath>
      <w:r>
        <w:t xml:space="preserve"> </w:t>
      </w:r>
      <w:r>
        <w:t xml:space="preserve">in the main span. Strain zeros solve</w:t>
      </w:r>
      <w:r>
        <w:t xml:space="preserve"> </w:t>
      </w:r>
      <m:oMath>
        <m:r>
          <m:t>4</m:t>
        </m:r>
        <m:sSup>
          <m:e>
            <m:r>
              <m:t>ξ</m:t>
            </m:r>
          </m:e>
          <m:sup>
            <m:r>
              <m:t>2</m:t>
            </m:r>
          </m:sup>
        </m:sSup>
        <m:r>
          <m:rPr>
            <m:sty m:val="p"/>
          </m:rPr>
          <m:t>−</m:t>
        </m:r>
        <m:d>
          <m:dPr>
            <m:begChr m:val="("/>
            <m:endChr m:val=")"/>
            <m:sepChr m:val=""/>
            <m:grow/>
          </m:dPr>
          <m:e>
            <m:r>
              <m:t>4</m:t>
            </m:r>
            <m:r>
              <m:rPr>
                <m:sty m:val="p"/>
              </m:rPr>
              <m:t>+</m:t>
            </m:r>
            <m:sSub>
              <m:e>
                <m:r>
                  <m:t>m</m:t>
                </m:r>
              </m:e>
              <m:sub>
                <m:r>
                  <m:t>l</m:t>
                </m:r>
              </m:sub>
            </m:sSub>
            <m:r>
              <m:rPr>
                <m:sty m:val="p"/>
              </m:rPr>
              <m:t>−</m:t>
            </m:r>
            <m:sSub>
              <m:e>
                <m:r>
                  <m:t>m</m:t>
                </m:r>
              </m:e>
              <m:sub>
                <m:r>
                  <m:t>r</m:t>
                </m:r>
              </m:sub>
            </m:sSub>
          </m:e>
        </m:d>
        <m:r>
          <m:t>ξ</m:t>
        </m:r>
        <m:r>
          <m:rPr>
            <m:sty m:val="p"/>
          </m:rPr>
          <m:t>+</m:t>
        </m:r>
        <m:sSub>
          <m:e>
            <m:r>
              <m:t>m</m:t>
            </m:r>
          </m:e>
          <m:sub>
            <m:r>
              <m:t>l</m:t>
            </m:r>
          </m:sub>
        </m:sSub>
        <m:r>
          <m:rPr>
            <m:sty m:val="p"/>
          </m:rPr>
          <m:t>=</m:t>
        </m:r>
        <m:r>
          <m:t>0</m:t>
        </m:r>
      </m:oMath>
      <w:r>
        <w:t xml:space="preserve">. The verification covered two-span, symmetric and asymmetric three-span and four-span beams, zero-moment positions, ten blind configurations, the theorem itself for a two-truck convoy on piecewise-prismatic girders with elastic pier springs (relative error 2.8 × 10⁻⁹), and the haunched Cầu Mây FE against an independent force-method solution (5.4 × 10⁻¹⁰). Truncating the record when the first axle leaves changed the integral by up to 59 % (rotation) and 10 % (moment) on the two-span example.</w:t>
      </w:r>
    </w:p>
    <w:p>
      <w:pPr>
        <w:pStyle w:val="BodyText"/>
      </w:pPr>
      <w:r>
        <w:t xml:space="preserve">For the most general linear estimator</w:t>
      </w:r>
      <w:r>
        <w:t xml:space="preserve"> </w:t>
      </w:r>
      <m:oMath>
        <m:acc>
          <m:accPr>
            <m:chr m:val="̂"/>
          </m:accPr>
          <m:e>
            <m:r>
              <m:t>P</m:t>
            </m:r>
          </m:e>
        </m:acc>
        <m:r>
          <m:rPr>
            <m:sty m:val="p"/>
          </m:rPr>
          <m:t>=</m:t>
        </m:r>
        <m:nary>
          <m:naryPr>
            <m:chr m:val="∑"/>
            <m:limLoc m:val="undOvr"/>
            <m:subHide m:val="off"/>
            <m:supHide m:val="on"/>
          </m:naryPr>
          <m:sub>
            <m:r>
              <m:t>j</m:t>
            </m:r>
          </m:sub>
          <m:sup>
            <m:r>
              <m:t>​</m:t>
            </m:r>
          </m:sup>
          <m:e>
            <m:r>
              <m:rPr>
                <m:sty m:val="p"/>
              </m:rPr>
              <m:t>∫</m:t>
            </m:r>
          </m:e>
        </m:nary>
        <m:sSub>
          <m:e>
            <m:r>
              <m:t>g</m:t>
            </m:r>
          </m:e>
          <m:sub>
            <m:r>
              <m:t>j</m:t>
            </m:r>
          </m:sub>
        </m:sSub>
        <m:d>
          <m:dPr>
            <m:begChr m:val="("/>
            <m:endChr m:val=")"/>
            <m:sepChr m:val=""/>
            <m:grow/>
          </m:dPr>
          <m:e>
            <m:r>
              <m:t>x</m:t>
            </m:r>
          </m:e>
        </m:d>
        <m:sSub>
          <m:e>
            <m:r>
              <m:t>z</m:t>
            </m:r>
          </m:e>
          <m:sub>
            <m:r>
              <m:t>j</m:t>
            </m:r>
          </m:sub>
        </m:sSub>
        <m:d>
          <m:dPr>
            <m:begChr m:val="("/>
            <m:endChr m:val=")"/>
            <m:sepChr m:val=""/>
            <m:grow/>
          </m:dPr>
          <m:e>
            <m:r>
              <m:t>x</m:t>
            </m:r>
          </m:e>
        </m:d>
        <m:r>
          <m:t> </m:t>
        </m:r>
        <m:r>
          <m:rPr>
            <m:sty m:val="p"/>
          </m:rPr>
          <m:t>d</m:t>
        </m:r>
        <m:r>
          <m:t>x</m:t>
        </m:r>
      </m:oMath>
      <w:r>
        <w:t xml:space="preserve">, the mean is</w:t>
      </w:r>
      <w:r>
        <w:t xml:space="preserve"> </w:t>
      </w:r>
      <m:oMath>
        <m:nary>
          <m:naryPr>
            <m:chr m:val="∑"/>
            <m:limLoc m:val="undOvr"/>
            <m:subHide m:val="off"/>
            <m:supHide m:val="on"/>
          </m:naryPr>
          <m:sub>
            <m:r>
              <m:t>a</m:t>
            </m:r>
          </m:sub>
          <m:sup>
            <m:r>
              <m:t>​</m:t>
            </m:r>
          </m:sup>
          <m:e>
            <m:sSub>
              <m:e>
                <m:r>
                  <m:t>P</m:t>
                </m:r>
              </m:e>
              <m:sub>
                <m:r>
                  <m:t>a</m:t>
                </m:r>
              </m:sub>
            </m:sSub>
          </m:e>
        </m:nary>
        <m:r>
          <m:t>h</m:t>
        </m:r>
        <m:d>
          <m:dPr>
            <m:begChr m:val="("/>
            <m:endChr m:val=")"/>
            <m:sepChr m:val=""/>
            <m:grow/>
          </m:dPr>
          <m:e>
            <m:sSub>
              <m:e>
                <m:r>
                  <m:t>s</m:t>
                </m:r>
              </m:e>
              <m:sub>
                <m:r>
                  <m:t>a</m:t>
                </m:r>
              </m:sub>
            </m:sSub>
          </m:e>
        </m:d>
      </m:oMath>
      <w:r>
        <w:t xml:space="preserve"> </w:t>
      </w:r>
      <w:r>
        <w:t xml:space="preserve">with</w:t>
      </w:r>
      <w:r>
        <w:t xml:space="preserve"> </w:t>
      </w:r>
      <m:oMath>
        <m:r>
          <m:t>h</m:t>
        </m:r>
        <m:d>
          <m:dPr>
            <m:begChr m:val="("/>
            <m:endChr m:val=")"/>
            <m:sepChr m:val=""/>
            <m:grow/>
          </m:dPr>
          <m:e>
            <m:r>
              <m:t>s</m:t>
            </m:r>
          </m:e>
        </m:d>
        <m:r>
          <m:rPr>
            <m:sty m:val="p"/>
          </m:rPr>
          <m:t>=</m:t>
        </m:r>
        <m:nary>
          <m:naryPr>
            <m:chr m:val="∑"/>
            <m:limLoc m:val="undOvr"/>
            <m:subHide m:val="off"/>
            <m:supHide m:val="on"/>
          </m:naryPr>
          <m:sub>
            <m:r>
              <m:t>j</m:t>
            </m:r>
          </m:sub>
          <m:sup>
            <m:r>
              <m:t>​</m:t>
            </m:r>
          </m:sup>
          <m:e>
            <m:r>
              <m:rPr>
                <m:sty m:val="p"/>
              </m:rPr>
              <m:t>∫</m:t>
            </m:r>
          </m:e>
        </m:nary>
        <m:sSub>
          <m:e>
            <m:r>
              <m:t>g</m:t>
            </m:r>
          </m:e>
          <m:sub>
            <m:r>
              <m:t>j</m:t>
            </m:r>
          </m:sub>
        </m:sSub>
        <m:d>
          <m:dPr>
            <m:begChr m:val="("/>
            <m:endChr m:val=")"/>
            <m:sepChr m:val=""/>
            <m:grow/>
          </m:dPr>
          <m:e>
            <m:r>
              <m:t>x</m:t>
            </m:r>
          </m:e>
        </m:d>
        <m:sSub>
          <m:e>
            <m:r>
              <m:t>η</m:t>
            </m:r>
          </m:e>
          <m:sub>
            <m:r>
              <m:t>j</m:t>
            </m:r>
          </m:sub>
        </m:sSub>
        <m:d>
          <m:dPr>
            <m:begChr m:val="("/>
            <m:endChr m:val=")"/>
            <m:sepChr m:val=""/>
            <m:grow/>
          </m:dPr>
          <m:e>
            <m:r>
              <m:t>x</m:t>
            </m:r>
            <m:r>
              <m:rPr>
                <m:sty m:val="p"/>
              </m:rPr>
              <m:t>−</m:t>
            </m:r>
            <m:r>
              <m:t>s</m:t>
            </m:r>
          </m:e>
        </m:d>
        <m:r>
          <m:t> </m:t>
        </m:r>
        <m:r>
          <m:rPr>
            <m:sty m:val="p"/>
          </m:rPr>
          <m:t>d</m:t>
        </m:r>
        <m:r>
          <m:t>x</m:t>
        </m:r>
      </m:oMath>
      <w:r>
        <w:t xml:space="preserve">. If</w:t>
      </w:r>
      <w:r>
        <w:t xml:space="preserve"> </w:t>
      </w:r>
      <m:oMath>
        <m:r>
          <m:t>h</m:t>
        </m:r>
      </m:oMath>
      <w:r>
        <w:t xml:space="preserve"> </w:t>
      </w:r>
      <w:r>
        <w:t xml:space="preserve">must be constant in</w:t>
      </w:r>
      <w:r>
        <w:t xml:space="preserve"> </w:t>
      </w:r>
      <m:oMath>
        <m:r>
          <m:t>s</m:t>
        </m:r>
      </m:oMath>
      <w:r>
        <w:t xml:space="preserve"> </w:t>
      </w:r>
      <w:r>
        <w:t xml:space="preserve">for every set of influence lines supported on</w:t>
      </w:r>
      <w:r>
        <w:t xml:space="preserve"> </w:t>
      </w:r>
      <m:oMath>
        <m:d>
          <m:dPr>
            <m:begChr m:val="["/>
            <m:endChr m:val="]"/>
            <m:sepChr m:val=""/>
            <m:grow/>
          </m:dPr>
          <m:e>
            <m:r>
              <m:t>0</m:t>
            </m:r>
            <m:r>
              <m:rPr>
                <m:sty m:val="p"/>
              </m:rPr>
              <m:t>,</m:t>
            </m:r>
            <m:r>
              <m:t>L</m:t>
            </m:r>
          </m:e>
        </m:d>
      </m:oMath>
      <w:r>
        <w:t xml:space="preserve">, then</w:t>
      </w:r>
      <w:r>
        <w:t xml:space="preserve"> </w:t>
      </w:r>
      <m:oMath>
        <m:nary>
          <m:naryPr>
            <m:chr m:val="∫"/>
            <m:limLoc m:val="subSup"/>
            <m:subHide m:val="off"/>
            <m:supHide m:val="off"/>
          </m:naryPr>
          <m:sub>
            <m:r>
              <m:t>0</m:t>
            </m:r>
          </m:sub>
          <m:sup>
            <m:r>
              <m:t>L</m:t>
            </m:r>
          </m:sup>
          <m:e>
            <m:d>
              <m:dPr>
                <m:begChr m:val="["/>
                <m:endChr m:val="]"/>
                <m:sepChr m:val=""/>
                <m:grow/>
              </m:dPr>
              <m:e>
                <m:r>
                  <m:t>g</m:t>
                </m:r>
                <m:d>
                  <m:dPr>
                    <m:begChr m:val="("/>
                    <m:endChr m:val=")"/>
                    <m:sepChr m:val=""/>
                    <m:grow/>
                  </m:dPr>
                  <m:e>
                    <m:r>
                      <m:t>u</m:t>
                    </m:r>
                    <m:r>
                      <m:rPr>
                        <m:sty m:val="p"/>
                      </m:rPr>
                      <m:t>+</m:t>
                    </m:r>
                    <m:r>
                      <m:t>s</m:t>
                    </m:r>
                  </m:e>
                </m:d>
                <m:r>
                  <m:rPr>
                    <m:sty m:val="p"/>
                  </m:rPr>
                  <m:t>−</m:t>
                </m:r>
                <m:r>
                  <m:t>g</m:t>
                </m:r>
                <m:d>
                  <m:dPr>
                    <m:begChr m:val="("/>
                    <m:endChr m:val=")"/>
                    <m:sepChr m:val=""/>
                    <m:grow/>
                  </m:dPr>
                  <m:e>
                    <m:r>
                      <m:t>u</m:t>
                    </m:r>
                    <m:r>
                      <m:rPr>
                        <m:sty m:val="p"/>
                      </m:rPr>
                      <m:t>+</m:t>
                    </m:r>
                    <m:r>
                      <m:t>s</m:t>
                    </m:r>
                    <m:r>
                      <m:rPr>
                        <m:sty m:val="p"/>
                      </m:rPr>
                      <m:t>′</m:t>
                    </m:r>
                  </m:e>
                </m:d>
              </m:e>
            </m:d>
          </m:e>
        </m:nary>
        <m:r>
          <m:t>η</m:t>
        </m:r>
        <m:d>
          <m:dPr>
            <m:begChr m:val="("/>
            <m:endChr m:val=")"/>
            <m:sepChr m:val=""/>
            <m:grow/>
          </m:dPr>
          <m:e>
            <m:r>
              <m:t>u</m:t>
            </m:r>
          </m:e>
        </m:d>
        <m:r>
          <m:t> </m:t>
        </m:r>
        <m:r>
          <m:rPr>
            <m:sty m:val="p"/>
          </m:rPr>
          <m:t>d</m:t>
        </m:r>
        <m:r>
          <m:t>u</m:t>
        </m:r>
        <m:r>
          <m:rPr>
            <m:sty m:val="p"/>
          </m:rPr>
          <m:t>=</m:t>
        </m:r>
        <m:r>
          <m:t>0</m:t>
        </m:r>
      </m:oMath>
      <w:r>
        <w:t xml:space="preserve"> </w:t>
      </w:r>
      <w:r>
        <w:t xml:space="preserve">for every admissible</w:t>
      </w:r>
      <w:r>
        <w:t xml:space="preserve"> </w:t>
      </w:r>
      <m:oMath>
        <m:r>
          <m:t>η</m:t>
        </m:r>
      </m:oMath>
      <w:r>
        <w:t xml:space="preserve">, so</w:t>
      </w:r>
      <w:r>
        <w:t xml:space="preserve"> </w:t>
      </w:r>
      <m:oMath>
        <m:r>
          <m:t>g</m:t>
        </m:r>
        <m:d>
          <m:dPr>
            <m:begChr m:val="("/>
            <m:endChr m:val=")"/>
            <m:sepChr m:val=""/>
            <m:grow/>
          </m:dPr>
          <m:e>
            <m:r>
              <m:t>u</m:t>
            </m:r>
            <m:r>
              <m:rPr>
                <m:sty m:val="p"/>
              </m:rPr>
              <m:t>+</m:t>
            </m:r>
            <m:r>
              <m:t>s</m:t>
            </m:r>
          </m:e>
        </m:d>
        <m:r>
          <m:rPr>
            <m:sty m:val="p"/>
          </m:rPr>
          <m:t>=</m:t>
        </m:r>
        <m:r>
          <m:t>g</m:t>
        </m:r>
        <m:d>
          <m:dPr>
            <m:begChr m:val="("/>
            <m:endChr m:val=")"/>
            <m:sepChr m:val=""/>
            <m:grow/>
          </m:dPr>
          <m:e>
            <m:r>
              <m:t>u</m:t>
            </m:r>
            <m:r>
              <m:rPr>
                <m:sty m:val="p"/>
              </m:rPr>
              <m:t>+</m:t>
            </m:r>
            <m:r>
              <m:t>s</m:t>
            </m:r>
            <m:r>
              <m:rPr>
                <m:sty m:val="p"/>
              </m:rPr>
              <m:t>′</m:t>
            </m:r>
          </m:e>
        </m:d>
      </m:oMath>
      <w:r>
        <w:t xml:space="preserve"> </w:t>
      </w:r>
      <w:r>
        <w:t xml:space="preserve">almost everywhere, and steps of length at most the entry-shift range connect any two points of the record. Each</w:t>
      </w:r>
      <w:r>
        <w:t xml:space="preserve"> </w:t>
      </w:r>
      <m:oMath>
        <m:sSub>
          <m:e>
            <m:r>
              <m:t>g</m:t>
            </m:r>
          </m:e>
          <m:sub>
            <m:r>
              <m:t>j</m:t>
            </m:r>
          </m:sub>
        </m:sSub>
      </m:oMath>
      <w:r>
        <w:t xml:space="preserve"> </w:t>
      </w:r>
      <w:r>
        <w:t xml:space="preserve">is therefore constant, and the only freedom lies across channels.</w:t>
      </w:r>
    </w:p>
    <w:bookmarkEnd w:id="50"/>
    <w:bookmarkStart w:id="51" w:name="X9dd822d35e64776c84c0a7f16a469d327c3e534"/>
    <w:p>
      <w:pPr>
        <w:pStyle w:val="Heading2"/>
      </w:pPr>
      <w:r>
        <w:t xml:space="preserve">Appendix C. Identifiability: sensitivities and Möbius law</w:t>
      </w:r>
    </w:p>
    <w:p>
      <w:pPr>
        <w:pStyle w:val="FirstParagraph"/>
      </w:pPr>
      <w:r>
        <w:t xml:space="preserve">Let</w:t>
      </w:r>
      <w:r>
        <w:t xml:space="preserve"> </w:t>
      </w:r>
      <m:oMath>
        <m:r>
          <m:t>G</m:t>
        </m:r>
        <m:r>
          <m:rPr>
            <m:sty m:val="p"/>
          </m:rPr>
          <m:t>=</m:t>
        </m:r>
        <m:sSup>
          <m:e>
            <m:r>
              <m:t>K</m:t>
            </m:r>
          </m:e>
          <m:sup>
            <m:r>
              <m:rPr>
                <m:sty m:val="p"/>
              </m:rPr>
              <m:t>−</m:t>
            </m:r>
            <m:r>
              <m:t>1</m:t>
            </m:r>
          </m:sup>
        </m:sSup>
      </m:oMath>
      <w:r>
        <w:t xml:space="preserve"> </w:t>
      </w:r>
      <w:r>
        <w:t xml:space="preserve">with</w:t>
      </w:r>
      <w:r>
        <w:t xml:space="preserve"> </w:t>
      </w:r>
      <m:oMath>
        <m:r>
          <m:t>K</m:t>
        </m:r>
        <m:r>
          <m:rPr>
            <m:sty m:val="p"/>
          </m:rPr>
          <m:t>=</m:t>
        </m:r>
        <m:r>
          <m:t>α</m:t>
        </m:r>
        <m:sSub>
          <m:e>
            <m:r>
              <m:t>K</m:t>
            </m:r>
          </m:e>
          <m:sub>
            <m:r>
              <m:t>g</m:t>
            </m:r>
          </m:sub>
        </m:sSub>
        <m:r>
          <m:rPr>
            <m:sty m:val="p"/>
          </m:rPr>
          <m:t>+</m:t>
        </m:r>
        <m:r>
          <m:t>k</m:t>
        </m:r>
        <m:sSub>
          <m:e>
            <m:r>
              <m:t>K</m:t>
            </m:r>
          </m:e>
          <m:sub>
            <m:r>
              <m:t>p</m:t>
            </m:r>
          </m:sub>
        </m:sSub>
      </m:oMath>
      <w:r>
        <w:t xml:space="preserve">, where</w:t>
      </w:r>
      <w:r>
        <w:t xml:space="preserve"> </w:t>
      </w:r>
      <m:oMath>
        <m:sSub>
          <m:e>
            <m:r>
              <m:t>K</m:t>
            </m:r>
          </m:e>
          <m:sub>
            <m:r>
              <m:t>p</m:t>
            </m:r>
          </m:sub>
        </m:sSub>
      </m:oMath>
      <w:r>
        <w:t xml:space="preserve"> </w:t>
      </w:r>
      <w:r>
        <w:t xml:space="preserve">has a unit entry on each inner-pier rotational degree of freedom, and</w:t>
      </w:r>
      <w:r>
        <w:t xml:space="preserve"> </w:t>
      </w:r>
      <m:oMath>
        <m:sSub>
          <m:e>
            <m:r>
              <m:t>C</m:t>
            </m:r>
          </m:e>
          <m:sub>
            <m:r>
              <m:t>m</m:t>
            </m:r>
          </m:sub>
        </m:sSub>
        <m:r>
          <m:rPr>
            <m:sty m:val="p"/>
          </m:rPr>
          <m:t>=</m:t>
        </m:r>
        <m:sSubSup>
          <m:e>
            <m:r>
              <m:t>e</m:t>
            </m:r>
          </m:e>
          <m:sub>
            <m:r>
              <m:t>m</m:t>
            </m:r>
          </m:sub>
          <m:sup>
            <m:r>
              <m:rPr>
                <m:sty m:val="p"/>
              </m:rPr>
              <m:t>⊤</m:t>
            </m:r>
          </m:sup>
        </m:sSubSup>
        <m:r>
          <m:t>G</m:t>
        </m:r>
        <m:r>
          <m:t>q</m:t>
        </m:r>
      </m:oMath>
      <w:r>
        <w:t xml:space="preserve"> </w:t>
      </w:r>
      <w:r>
        <w:t xml:space="preserve">with</w:t>
      </w:r>
      <w:r>
        <w:t xml:space="preserve"> </w:t>
      </w:r>
      <m:oMath>
        <m:r>
          <m:t>q</m:t>
        </m:r>
      </m:oMath>
      <w:r>
        <w:t xml:space="preserve"> </w:t>
      </w:r>
      <w:r>
        <w:t xml:space="preserve">the consistent uniform load. Then</w:t>
      </w:r>
      <w:r>
        <w:t xml:space="preserve"> </w:t>
      </w:r>
      <m:oMath>
        <m:r>
          <m:rPr>
            <m:sty m:val="p"/>
          </m:rPr>
          <m:t>d</m:t>
        </m:r>
        <m:sSub>
          <m:e>
            <m:r>
              <m:t>C</m:t>
            </m:r>
          </m:e>
          <m:sub>
            <m:r>
              <m:t>m</m:t>
            </m:r>
          </m:sub>
        </m:sSub>
        <m:r>
          <m:rPr>
            <m:sty m:val="p"/>
          </m:rPr>
          <m:t>/</m:t>
        </m:r>
        <m:r>
          <m:rPr>
            <m:sty m:val="p"/>
          </m:rPr>
          <m:t>d</m:t>
        </m:r>
        <m:r>
          <m:t>k</m:t>
        </m:r>
        <m:r>
          <m:rPr>
            <m:sty m:val="p"/>
          </m:rPr>
          <m:t>=</m:t>
        </m:r>
        <m:r>
          <m:rPr>
            <m:sty m:val="p"/>
          </m:rPr>
          <m:t>−</m:t>
        </m:r>
        <m:nary>
          <m:naryPr>
            <m:chr m:val="∑"/>
            <m:limLoc m:val="undOvr"/>
            <m:subHide m:val="off"/>
            <m:supHide m:val="on"/>
          </m:naryPr>
          <m:sub>
            <m:r>
              <m:t>i</m:t>
            </m:r>
          </m:sub>
          <m:sup>
            <m:r>
              <m:t>​</m:t>
            </m:r>
          </m:sup>
          <m:e>
            <m:sSub>
              <m:e>
                <m:r>
                  <m:t>θ</m:t>
                </m:r>
              </m:e>
              <m:sub>
                <m:r>
                  <m:t>m</m:t>
                </m:r>
                <m:r>
                  <m:rPr>
                    <m:sty m:val="p"/>
                  </m:rPr>
                  <m:t>,</m:t>
                </m:r>
                <m:r>
                  <m:t>i</m:t>
                </m:r>
              </m:sub>
            </m:sSub>
          </m:e>
        </m:nary>
        <m:sSub>
          <m:e>
            <m:r>
              <m:t>θ</m:t>
            </m:r>
          </m:e>
          <m:sub>
            <m:r>
              <m:t>q</m:t>
            </m:r>
            <m:r>
              <m:rPr>
                <m:sty m:val="p"/>
              </m:rPr>
              <m:t>,</m:t>
            </m:r>
            <m:r>
              <m:t>i</m:t>
            </m:r>
          </m:sub>
        </m:sSub>
      </m:oMath>
      <w:r>
        <w:t xml:space="preserve">, where</w:t>
      </w:r>
      <w:r>
        <w:t xml:space="preserve"> </w:t>
      </w:r>
      <m:oMath>
        <m:sSub>
          <m:e>
            <m:r>
              <m:t>θ</m:t>
            </m:r>
          </m:e>
          <m:sub>
            <m:r>
              <m:t>m</m:t>
            </m:r>
            <m:r>
              <m:rPr>
                <m:sty m:val="p"/>
              </m:rPr>
              <m:t>,</m:t>
            </m:r>
            <m:r>
              <m:t>i</m:t>
            </m:r>
          </m:sub>
        </m:sSub>
      </m:oMath>
      <w:r>
        <w:t xml:space="preserve"> </w:t>
      </w:r>
      <w:r>
        <w:t xml:space="preserve">and</w:t>
      </w:r>
      <w:r>
        <w:t xml:space="preserve"> </w:t>
      </w:r>
      <m:oMath>
        <m:sSub>
          <m:e>
            <m:r>
              <m:t>θ</m:t>
            </m:r>
          </m:e>
          <m:sub>
            <m:r>
              <m:t>q</m:t>
            </m:r>
            <m:r>
              <m:rPr>
                <m:sty m:val="p"/>
              </m:rPr>
              <m:t>,</m:t>
            </m:r>
            <m:r>
              <m:t>i</m:t>
            </m:r>
          </m:sub>
        </m:sSub>
      </m:oMath>
      <w:r>
        <w:t xml:space="preserve"> </w:t>
      </w:r>
      <w:r>
        <w:t xml:space="preserve">are the pier rotations under a unit load at the gauge and under the uniform load, and</w:t>
      </w:r>
      <w:r>
        <w:t xml:space="preserve"> </w:t>
      </w:r>
      <m:oMath>
        <m:sSub>
          <m:e>
            <m:r>
              <m:t>S</m:t>
            </m:r>
          </m:e>
          <m:sub>
            <m:r>
              <m:t>α</m:t>
            </m:r>
          </m:sub>
        </m:sSub>
        <m:r>
          <m:rPr>
            <m:sty m:val="p"/>
          </m:rPr>
          <m:t>+</m:t>
        </m:r>
        <m:sSub>
          <m:e>
            <m:r>
              <m:t>S</m:t>
            </m:r>
          </m:e>
          <m:sub>
            <m:r>
              <m:t>k</m:t>
            </m:r>
          </m:sub>
        </m:sSub>
        <m:r>
          <m:rPr>
            <m:sty m:val="p"/>
          </m:rPr>
          <m:t>=</m:t>
        </m:r>
        <m:r>
          <m:rPr>
            <m:sty m:val="p"/>
          </m:rPr>
          <m:t>−</m:t>
        </m:r>
        <m:r>
          <m:t>1</m:t>
        </m:r>
      </m:oMath>
      <w:r>
        <w:t xml:space="preserve"> </w:t>
      </w:r>
      <w:r>
        <w:t xml:space="preserve">by Euler’s theorem, because</w:t>
      </w:r>
      <w:r>
        <w:t xml:space="preserve"> </w:t>
      </w:r>
      <m:oMath>
        <m:sSub>
          <m:e>
            <m:r>
              <m:t>C</m:t>
            </m:r>
          </m:e>
          <m:sub>
            <m:r>
              <m:t>m</m:t>
            </m:r>
          </m:sub>
        </m:sSub>
      </m:oMath>
      <w:r>
        <w:t xml:space="preserve"> </w:t>
      </w:r>
      <w:r>
        <w:t xml:space="preserve">is homogeneous of degree −1 in</w:t>
      </w:r>
      <w:r>
        <w:t xml:space="preserve"> </w:t>
      </w:r>
      <m:oMath>
        <m:d>
          <m:dPr>
            <m:begChr m:val="("/>
            <m:endChr m:val=")"/>
            <m:sepChr m:val=""/>
            <m:grow/>
          </m:dPr>
          <m:e>
            <m:r>
              <m:t>α</m:t>
            </m:r>
            <m:r>
              <m:rPr>
                <m:sty m:val="p"/>
              </m:rPr>
              <m:t>,</m:t>
            </m:r>
            <m:r>
              <m:t>k</m:t>
            </m:r>
          </m:e>
        </m:d>
      </m:oMath>
      <w:r>
        <w:t xml:space="preserve">. Mirror symmetry decouples the symmetric and antisymmetric pier-rotation patterns, the uniform load excites only the antisymmetric one, and the Sherman–Morrison formula gives Eq. (15) with</w:t>
      </w:r>
      <w:r>
        <w:t xml:space="preserve"> </w:t>
      </w:r>
      <m:oMath>
        <m:r>
          <m:t>1</m:t>
        </m:r>
        <m:r>
          <m:rPr>
            <m:sty m:val="p"/>
          </m:rPr>
          <m:t>/</m:t>
        </m:r>
        <m:sSub>
          <m:e>
            <m:r>
              <m:t>k</m:t>
            </m:r>
          </m:e>
          <m:sub>
            <m:r>
              <m:t>g</m:t>
            </m:r>
          </m:sub>
        </m:sSub>
      </m:oMath>
      <w:r>
        <w:t xml:space="preserve"> </w:t>
      </w:r>
      <w:r>
        <w:t xml:space="preserve">the antisymmetric pier flexibility of the girder at</w:t>
      </w:r>
      <w:r>
        <w:t xml:space="preserve"> </w:t>
      </w:r>
      <m:oMath>
        <m:r>
          <m:t>k</m:t>
        </m:r>
        <m:r>
          <m:rPr>
            <m:sty m:val="p"/>
          </m:rPr>
          <m:t>=</m:t>
        </m:r>
        <m:r>
          <m:t>0</m:t>
        </m:r>
      </m:oMath>
      <w:r>
        <w:t xml:space="preserve">. For the Cầu Mây model the law holds to a relative error of 5 × 10⁻⁶ over</w:t>
      </w:r>
      <w:r>
        <w:t xml:space="preserve"> </w:t>
      </w:r>
      <m:oMath>
        <m:r>
          <m:t>k</m:t>
        </m:r>
        <m:r>
          <m:rPr>
            <m:sty m:val="p"/>
          </m:rPr>
          <m:t>=</m:t>
        </m:r>
        <m:sSup>
          <m:e>
            <m:r>
              <m:t>10</m:t>
            </m:r>
          </m:e>
          <m:sup>
            <m:r>
              <m:t>5</m:t>
            </m:r>
          </m:sup>
        </m:sSup>
      </m:oMath>
      <w:r>
        <w:t xml:space="preserve">–</w:t>
      </w:r>
      <m:oMath>
        <m:sSup>
          <m:e>
            <m:r>
              <m:t>10</m:t>
            </m:r>
          </m:e>
          <m:sup>
            <m:r>
              <m:t>12</m:t>
            </m:r>
          </m:sup>
        </m:sSup>
      </m:oMath>
      <w:r>
        <w:t xml:space="preserve"> </w:t>
      </w:r>
      <w:r>
        <w:t xml:space="preserve">kN m/rad. With two static readings the Fisher matrix has a determinant proportional to</w:t>
      </w:r>
      <w:r>
        <w:t xml:space="preserve"> </w:t>
      </w:r>
      <m:oMath>
        <m:sSup>
          <m:e>
            <m:d>
              <m:dPr>
                <m:begChr m:val="("/>
                <m:endChr m:val=")"/>
                <m:sepChr m:val=""/>
                <m:grow/>
              </m:dPr>
              <m:e>
                <m:sSub>
                  <m:e>
                    <m:r>
                      <m:t>S</m:t>
                    </m:r>
                  </m:e>
                  <m:sub>
                    <m:r>
                      <m:t>y</m:t>
                    </m:r>
                    <m:r>
                      <m:t>8</m:t>
                    </m:r>
                  </m:sub>
                </m:sSub>
                <m:r>
                  <m:rPr>
                    <m:sty m:val="p"/>
                  </m:rPr>
                  <m:t>−</m:t>
                </m:r>
                <m:sSub>
                  <m:e>
                    <m:r>
                      <m:t>S</m:t>
                    </m:r>
                  </m:e>
                  <m:sub>
                    <m:r>
                      <m:t>y</m:t>
                    </m:r>
                    <m:r>
                      <m:t>7</m:t>
                    </m:r>
                  </m:sub>
                </m:sSub>
              </m:e>
            </m:d>
          </m:e>
          <m:sup>
            <m:r>
              <m:t>2</m:t>
            </m:r>
          </m:sup>
        </m:sSup>
      </m:oMath>
      <w:r>
        <w:t xml:space="preserve">, which vanishes at the minimum of the ratio misfit. A frequency adds a row with the mass as nuisance parameter; frequency ratios depend on</w:t>
      </w:r>
      <w:r>
        <w:t xml:space="preserve"> </w:t>
      </w:r>
      <m:oMath>
        <m:r>
          <m:t>κ</m:t>
        </m:r>
      </m:oMath>
      <w:r>
        <w:t xml:space="preserve"> </w:t>
      </w:r>
      <w:r>
        <w:t xml:space="preserve">alone. A pier rotation adds a row without nuisance. Unequal pier stiffnesses would bring in the symmetric pattern, which Eq. (15) does not cover.</w:t>
      </w:r>
    </w:p>
    <w:bookmarkEnd w:id="51"/>
    <w:bookmarkStart w:id="52" w:name="appendix-d.-laboratory-data"/>
    <w:p>
      <w:pPr>
        <w:pStyle w:val="Heading2"/>
      </w:pPr>
      <w:r>
        <w:t xml:space="preserve">Appendix D. Laboratory data</w:t>
      </w:r>
    </w:p>
    <w:p>
      <w:pPr>
        <w:pStyle w:val="FirstParagraph"/>
      </w:pPr>
      <w:r>
        <w:rPr>
          <w:bCs/>
          <w:b/>
        </w:rPr>
        <w:t xml:space="preserve">Table D.1.</w:t>
      </w:r>
      <w:r>
        <w:t xml:space="preserve"> </w:t>
      </w:r>
      <w:r>
        <w:t xml:space="preserve">Mid-span deflection of the first span (mm), mean of three cycles. Single load 40.64 N; analytical values from the closed-form influence line.</w:t>
      </w:r>
    </w:p>
    <w:tbl>
      <w:tblPr>
        <w:tblStyle w:val="Table"/>
        <w:tblW w:type="pct" w:w="5000"/>
        <w:tblLook w:firstRow="1" w:lastRow="0" w:firstColumn="0" w:lastColumn="0" w:noHBand="0" w:noVBand="0" w:val="0020"/>
        <w:jc w:val="start"/>
        <w:tblBorders>
          <w:top w:val="single" w:sz="8" w:space="0" w:color="000000"/>
          <w:left w:val="nil"/>
          <w:bottom w:val="single" w:sz="8" w:space="0" w:color="000000"/>
          <w:right w:val="nil"/>
          <w:insideH w:val="nil"/>
          <w:insideV w:val="nil"/>
        </w:tblBorders>
      </w:tblPr>
      <w:tblGrid>
        <w:gridCol w:w="1096"/>
        <w:gridCol w:w="2491"/>
        <w:gridCol w:w="2093"/>
        <w:gridCol w:w="1694"/>
        <w:gridCol w:w="1694"/>
      </w:tblGrid>
      <w:tr>
        <w:trPr>
          <w:tblHeader w:val="true"/>
        </w:trPr>
        <w:tc>
          <w:tcPr>
            <w:tcW w:type="dxa" w:w="1096"/>
            <w:tcBorders>
              <w:top w:val="nil"/>
              <w:left w:val="nil"/>
              <w:bottom w:val="single" w:sz="6" w:space="0" w:color="000000"/>
              <w:right w:val="nil"/>
            </w:tcBorders>
          </w:tcPr>
          <w:p>
            <w:pPr>
              <w:pStyle w:val="Compact"/>
              <w:jc w:val="left"/>
            </w:pPr>
            <m:oMath>
              <m:r>
                <m:t>x</m:t>
              </m:r>
            </m:oMath>
            <w:r>
              <w:t xml:space="preserve"> </w:t>
            </w:r>
            <w:r>
              <w:t xml:space="preserve">(mm)</w:t>
            </w:r>
          </w:p>
        </w:tc>
        <w:tc>
          <w:tcPr>
            <w:tcW w:type="dxa" w:w="2491"/>
            <w:tcBorders>
              <w:top w:val="nil"/>
              <w:left w:val="nil"/>
              <w:bottom w:val="single" w:sz="6" w:space="0" w:color="000000"/>
              <w:right w:val="nil"/>
            </w:tcBorders>
          </w:tcPr>
          <w:p>
            <w:pPr>
              <w:pStyle w:val="Compact"/>
              <w:jc w:val="left"/>
            </w:pPr>
            <w:r>
              <w:t xml:space="preserve">Analytical, single</w:t>
            </w:r>
          </w:p>
        </w:tc>
        <w:tc>
          <w:tcPr>
            <w:tcW w:type="dxa" w:w="2093"/>
            <w:tcBorders>
              <w:top w:val="nil"/>
              <w:left w:val="nil"/>
              <w:bottom w:val="single" w:sz="6" w:space="0" w:color="000000"/>
              <w:right w:val="nil"/>
            </w:tcBorders>
          </w:tcPr>
          <w:p>
            <w:pPr>
              <w:pStyle w:val="Compact"/>
              <w:jc w:val="left"/>
            </w:pPr>
            <w:r>
              <w:t xml:space="preserve">Measured, single</w:t>
            </w:r>
          </w:p>
        </w:tc>
        <w:tc>
          <w:tcPr>
            <w:tcW w:type="dxa" w:w="1694"/>
            <w:tcBorders>
              <w:top w:val="nil"/>
              <w:left w:val="nil"/>
              <w:bottom w:val="single" w:sz="6" w:space="0" w:color="000000"/>
              <w:right w:val="nil"/>
            </w:tcBorders>
          </w:tcPr>
          <w:p>
            <w:pPr>
              <w:pStyle w:val="Compact"/>
              <w:jc w:val="left"/>
            </w:pPr>
            <w:r>
              <w:t xml:space="preserve">Two loads</w:t>
            </w:r>
          </w:p>
        </w:tc>
        <w:tc>
          <w:tcPr>
            <w:tcW w:type="dxa" w:w="1694"/>
            <w:tcBorders>
              <w:top w:val="nil"/>
              <w:left w:val="nil"/>
              <w:bottom w:val="single" w:sz="6" w:space="0" w:color="000000"/>
              <w:right w:val="nil"/>
            </w:tcBorders>
          </w:tcPr>
          <w:p>
            <w:pPr>
              <w:pStyle w:val="Compact"/>
              <w:jc w:val="left"/>
            </w:pPr>
            <w:r>
              <w:t xml:space="preserve">Three loads</w:t>
            </w:r>
          </w:p>
        </w:tc>
      </w:tr>
      <w:tr>
        <w:tc>
          <w:tcPr>
            <w:tcW w:type="dxa" w:w="1096"/>
          </w:tcPr>
          <w:p>
            <w:pPr>
              <w:pStyle w:val="Compact"/>
              <w:jc w:val="left"/>
            </w:pPr>
            <w:r>
              <w:t xml:space="preserve">0</w:t>
            </w:r>
          </w:p>
        </w:tc>
        <w:tc>
          <w:tcPr>
            <w:tcW w:type="dxa" w:w="2491"/>
          </w:tcPr>
          <w:p>
            <w:pPr>
              <w:pStyle w:val="Compact"/>
              <w:jc w:val="left"/>
            </w:pPr>
            <w:r>
              <w:t xml:space="preserve">0.0000</w:t>
            </w:r>
          </w:p>
        </w:tc>
        <w:tc>
          <w:tcPr>
            <w:tcW w:type="dxa" w:w="2093"/>
          </w:tcPr>
          <w:p>
            <w:pPr>
              <w:pStyle w:val="Compact"/>
              <w:jc w:val="left"/>
            </w:pPr>
            <w:r>
              <w:t xml:space="preserve">0.0000</w:t>
            </w:r>
          </w:p>
        </w:tc>
        <w:tc>
          <w:tcPr>
            <w:tcW w:type="dxa" w:w="1694"/>
          </w:tcPr>
          <w:p>
            <w:pPr>
              <w:pStyle w:val="Compact"/>
              <w:jc w:val="left"/>
            </w:pPr>
            <w:r>
              <w:t xml:space="preserve">0</w:t>
            </w:r>
          </w:p>
        </w:tc>
        <w:tc>
          <w:tcPr>
            <w:tcW w:type="dxa" w:w="1694"/>
          </w:tcPr>
          <w:p>
            <w:pPr>
              <w:pStyle w:val="Compact"/>
              <w:jc w:val="left"/>
            </w:pPr>
            <w:r>
              <w:t xml:space="preserve">0</w:t>
            </w:r>
          </w:p>
        </w:tc>
      </w:tr>
      <w:tr>
        <w:tc>
          <w:tcPr>
            <w:tcW w:type="dxa" w:w="1096"/>
          </w:tcPr>
          <w:p>
            <w:pPr>
              <w:pStyle w:val="Compact"/>
              <w:jc w:val="left"/>
            </w:pPr>
            <w:r>
              <w:t xml:space="preserve">250</w:t>
            </w:r>
          </w:p>
        </w:tc>
        <w:tc>
          <w:tcPr>
            <w:tcW w:type="dxa" w:w="2491"/>
          </w:tcPr>
          <w:p>
            <w:pPr>
              <w:pStyle w:val="Compact"/>
              <w:jc w:val="left"/>
            </w:pPr>
            <w:r>
              <w:t xml:space="preserve">0.8874</w:t>
            </w:r>
          </w:p>
        </w:tc>
        <w:tc>
          <w:tcPr>
            <w:tcW w:type="dxa" w:w="2093"/>
          </w:tcPr>
          <w:p>
            <w:pPr>
              <w:pStyle w:val="Compact"/>
              <w:jc w:val="left"/>
            </w:pPr>
            <w:r>
              <w:t xml:space="preserve">0.8844</w:t>
            </w:r>
          </w:p>
        </w:tc>
        <w:tc>
          <w:tcPr>
            <w:tcW w:type="dxa" w:w="1694"/>
          </w:tcPr>
          <w:p>
            <w:pPr>
              <w:pStyle w:val="Compact"/>
              <w:jc w:val="left"/>
            </w:pPr>
            <w:r>
              <w:t xml:space="preserve">0.4625</w:t>
            </w:r>
          </w:p>
        </w:tc>
        <w:tc>
          <w:tcPr>
            <w:tcW w:type="dxa" w:w="1694"/>
          </w:tcPr>
          <w:p>
            <w:pPr>
              <w:pStyle w:val="Compact"/>
              <w:jc w:val="left"/>
            </w:pPr>
            <w:r>
              <w:t xml:space="preserve">0.5525</w:t>
            </w:r>
          </w:p>
        </w:tc>
      </w:tr>
      <w:tr>
        <w:tc>
          <w:tcPr>
            <w:tcW w:type="dxa" w:w="1096"/>
          </w:tcPr>
          <w:p>
            <w:pPr>
              <w:pStyle w:val="Compact"/>
              <w:jc w:val="left"/>
            </w:pPr>
            <w:r>
              <w:t xml:space="preserve">500</w:t>
            </w:r>
          </w:p>
        </w:tc>
        <w:tc>
          <w:tcPr>
            <w:tcW w:type="dxa" w:w="2491"/>
          </w:tcPr>
          <w:p>
            <w:pPr>
              <w:pStyle w:val="Compact"/>
              <w:jc w:val="left"/>
            </w:pPr>
            <w:r>
              <w:t xml:space="preserve">1.6968</w:t>
            </w:r>
          </w:p>
        </w:tc>
        <w:tc>
          <w:tcPr>
            <w:tcW w:type="dxa" w:w="2093"/>
          </w:tcPr>
          <w:p>
            <w:pPr>
              <w:pStyle w:val="Compact"/>
              <w:jc w:val="left"/>
            </w:pPr>
            <w:r>
              <w:t xml:space="preserve">1.6975</w:t>
            </w:r>
          </w:p>
        </w:tc>
        <w:tc>
          <w:tcPr>
            <w:tcW w:type="dxa" w:w="1694"/>
          </w:tcPr>
          <w:p>
            <w:pPr>
              <w:pStyle w:val="Compact"/>
              <w:jc w:val="left"/>
            </w:pPr>
            <w:r>
              <w:t xml:space="preserve">1.8813</w:t>
            </w:r>
          </w:p>
        </w:tc>
        <w:tc>
          <w:tcPr>
            <w:tcW w:type="dxa" w:w="1694"/>
          </w:tcPr>
          <w:p>
            <w:pPr>
              <w:pStyle w:val="Compact"/>
              <w:jc w:val="left"/>
            </w:pPr>
            <w:r>
              <w:t xml:space="preserve">1.0450</w:t>
            </w:r>
          </w:p>
        </w:tc>
      </w:tr>
      <w:tr>
        <w:tc>
          <w:tcPr>
            <w:tcW w:type="dxa" w:w="1096"/>
          </w:tcPr>
          <w:p>
            <w:pPr>
              <w:pStyle w:val="Compact"/>
              <w:jc w:val="left"/>
            </w:pPr>
            <w:r>
              <w:t xml:space="preserve">750</w:t>
            </w:r>
          </w:p>
        </w:tc>
        <w:tc>
          <w:tcPr>
            <w:tcW w:type="dxa" w:w="2491"/>
          </w:tcPr>
          <w:p>
            <w:pPr>
              <w:pStyle w:val="Compact"/>
              <w:jc w:val="left"/>
            </w:pPr>
            <w:r>
              <w:t xml:space="preserve">2.3501</w:t>
            </w:r>
          </w:p>
        </w:tc>
        <w:tc>
          <w:tcPr>
            <w:tcW w:type="dxa" w:w="2093"/>
          </w:tcPr>
          <w:p>
            <w:pPr>
              <w:pStyle w:val="Compact"/>
              <w:jc w:val="left"/>
            </w:pPr>
            <w:r>
              <w:t xml:space="preserve">2.3525</w:t>
            </w:r>
          </w:p>
        </w:tc>
        <w:tc>
          <w:tcPr>
            <w:tcW w:type="dxa" w:w="1694"/>
          </w:tcPr>
          <w:p>
            <w:pPr>
              <w:pStyle w:val="Compact"/>
              <w:jc w:val="left"/>
            </w:pPr>
            <w:r>
              <w:t xml:space="preserve">3.1413</w:t>
            </w:r>
          </w:p>
        </w:tc>
        <w:tc>
          <w:tcPr>
            <w:tcW w:type="dxa" w:w="1694"/>
          </w:tcPr>
          <w:p>
            <w:pPr>
              <w:pStyle w:val="Compact"/>
              <w:jc w:val="left"/>
            </w:pPr>
            <w:r>
              <w:t xml:space="preserve">2.5413</w:t>
            </w:r>
          </w:p>
        </w:tc>
      </w:tr>
      <w:tr>
        <w:tc>
          <w:tcPr>
            <w:tcW w:type="dxa" w:w="1096"/>
          </w:tcPr>
          <w:p>
            <w:pPr>
              <w:pStyle w:val="Compact"/>
              <w:jc w:val="left"/>
            </w:pPr>
            <w:r>
              <w:t xml:space="preserve">1000</w:t>
            </w:r>
          </w:p>
        </w:tc>
        <w:tc>
          <w:tcPr>
            <w:tcW w:type="dxa" w:w="2491"/>
          </w:tcPr>
          <w:p>
            <w:pPr>
              <w:pStyle w:val="Compact"/>
              <w:jc w:val="left"/>
            </w:pPr>
            <w:r>
              <w:t xml:space="preserve">2.7693</w:t>
            </w:r>
          </w:p>
        </w:tc>
        <w:tc>
          <w:tcPr>
            <w:tcW w:type="dxa" w:w="2093"/>
          </w:tcPr>
          <w:p>
            <w:pPr>
              <w:pStyle w:val="Compact"/>
              <w:jc w:val="left"/>
            </w:pPr>
            <w:r>
              <w:t xml:space="preserve">2.7738</w:t>
            </w:r>
          </w:p>
        </w:tc>
        <w:tc>
          <w:tcPr>
            <w:tcW w:type="dxa" w:w="1694"/>
          </w:tcPr>
          <w:p>
            <w:pPr>
              <w:pStyle w:val="Compact"/>
              <w:jc w:val="left"/>
            </w:pPr>
            <w:r>
              <w:t xml:space="preserve">4.0988</w:t>
            </w:r>
          </w:p>
        </w:tc>
        <w:tc>
          <w:tcPr>
            <w:tcW w:type="dxa" w:w="1694"/>
          </w:tcPr>
          <w:p>
            <w:pPr>
              <w:pStyle w:val="Compact"/>
              <w:jc w:val="left"/>
            </w:pPr>
            <w:r>
              <w:t xml:space="preserve">4.8700</w:t>
            </w:r>
          </w:p>
        </w:tc>
      </w:tr>
      <w:tr>
        <w:tc>
          <w:tcPr>
            <w:tcW w:type="dxa" w:w="1096"/>
          </w:tcPr>
          <w:p>
            <w:pPr>
              <w:pStyle w:val="Compact"/>
              <w:jc w:val="left"/>
            </w:pPr>
            <w:r>
              <w:t xml:space="preserve">1250</w:t>
            </w:r>
          </w:p>
        </w:tc>
        <w:tc>
          <w:tcPr>
            <w:tcW w:type="dxa" w:w="2491"/>
          </w:tcPr>
          <w:p>
            <w:pPr>
              <w:pStyle w:val="Compact"/>
              <w:jc w:val="left"/>
            </w:pPr>
            <w:r>
              <w:t xml:space="preserve">2.8764</w:t>
            </w:r>
          </w:p>
        </w:tc>
        <w:tc>
          <w:tcPr>
            <w:tcW w:type="dxa" w:w="2093"/>
          </w:tcPr>
          <w:p>
            <w:pPr>
              <w:pStyle w:val="Compact"/>
              <w:jc w:val="left"/>
            </w:pPr>
            <w:r>
              <w:t xml:space="preserve">2.8827</w:t>
            </w:r>
          </w:p>
        </w:tc>
        <w:tc>
          <w:tcPr>
            <w:tcW w:type="dxa" w:w="1694"/>
          </w:tcPr>
          <w:p>
            <w:pPr>
              <w:pStyle w:val="Compact"/>
              <w:jc w:val="left"/>
            </w:pPr>
            <w:r>
              <w:t xml:space="preserve">4.6350</w:t>
            </w:r>
          </w:p>
        </w:tc>
        <w:tc>
          <w:tcPr>
            <w:tcW w:type="dxa" w:w="1694"/>
          </w:tcPr>
          <w:p>
            <w:pPr>
              <w:pStyle w:val="Compact"/>
              <w:jc w:val="left"/>
            </w:pPr>
            <w:r>
              <w:t xml:space="preserve">6.7588</w:t>
            </w:r>
          </w:p>
        </w:tc>
      </w:tr>
      <w:tr>
        <w:tc>
          <w:tcPr>
            <w:tcW w:type="dxa" w:w="1096"/>
          </w:tcPr>
          <w:p>
            <w:pPr>
              <w:pStyle w:val="Compact"/>
              <w:jc w:val="left"/>
            </w:pPr>
            <w:r>
              <w:t xml:space="preserve">1500</w:t>
            </w:r>
          </w:p>
        </w:tc>
        <w:tc>
          <w:tcPr>
            <w:tcW w:type="dxa" w:w="2491"/>
          </w:tcPr>
          <w:p>
            <w:pPr>
              <w:pStyle w:val="Compact"/>
              <w:jc w:val="left"/>
            </w:pPr>
            <w:r>
              <w:t xml:space="preserve">2.6253</w:t>
            </w:r>
          </w:p>
        </w:tc>
        <w:tc>
          <w:tcPr>
            <w:tcW w:type="dxa" w:w="2093"/>
          </w:tcPr>
          <w:p>
            <w:pPr>
              <w:pStyle w:val="Compact"/>
              <w:jc w:val="left"/>
            </w:pPr>
            <w:r>
              <w:t xml:space="preserve">2.6363</w:t>
            </w:r>
          </w:p>
        </w:tc>
        <w:tc>
          <w:tcPr>
            <w:tcW w:type="dxa" w:w="1694"/>
          </w:tcPr>
          <w:p>
            <w:pPr>
              <w:pStyle w:val="Compact"/>
              <w:jc w:val="left"/>
            </w:pPr>
            <w:r>
              <w:t xml:space="preserve">4.6238</w:t>
            </w:r>
          </w:p>
        </w:tc>
        <w:tc>
          <w:tcPr>
            <w:tcW w:type="dxa" w:w="1694"/>
          </w:tcPr>
          <w:p>
            <w:pPr>
              <w:pStyle w:val="Compact"/>
              <w:jc w:val="left"/>
            </w:pPr>
            <w:r>
              <w:t xml:space="preserve">7.9350</w:t>
            </w:r>
          </w:p>
        </w:tc>
      </w:tr>
      <w:tr>
        <w:tc>
          <w:tcPr>
            <w:tcW w:type="dxa" w:w="1096"/>
          </w:tcPr>
          <w:p>
            <w:pPr>
              <w:pStyle w:val="Compact"/>
              <w:jc w:val="left"/>
            </w:pPr>
            <w:r>
              <w:t xml:space="preserve">1750</w:t>
            </w:r>
          </w:p>
        </w:tc>
        <w:tc>
          <w:tcPr>
            <w:tcW w:type="dxa" w:w="2491"/>
          </w:tcPr>
          <w:p>
            <w:pPr>
              <w:pStyle w:val="Compact"/>
              <w:jc w:val="left"/>
            </w:pPr>
            <w:r>
              <w:t xml:space="preserve">2.0980</w:t>
            </w:r>
          </w:p>
        </w:tc>
        <w:tc>
          <w:tcPr>
            <w:tcW w:type="dxa" w:w="2093"/>
          </w:tcPr>
          <w:p>
            <w:pPr>
              <w:pStyle w:val="Compact"/>
              <w:jc w:val="left"/>
            </w:pPr>
            <w:r>
              <w:t xml:space="preserve">2.1100</w:t>
            </w:r>
          </w:p>
        </w:tc>
        <w:tc>
          <w:tcPr>
            <w:tcW w:type="dxa" w:w="1694"/>
          </w:tcPr>
          <w:p>
            <w:pPr>
              <w:pStyle w:val="Compact"/>
              <w:jc w:val="left"/>
            </w:pPr>
            <w:r>
              <w:t xml:space="preserve">4.0688</w:t>
            </w:r>
          </w:p>
        </w:tc>
        <w:tc>
          <w:tcPr>
            <w:tcW w:type="dxa" w:w="1694"/>
          </w:tcPr>
          <w:p>
            <w:pPr>
              <w:pStyle w:val="Compact"/>
              <w:jc w:val="left"/>
            </w:pPr>
            <w:r>
              <w:t xml:space="preserve">8.2775</w:t>
            </w:r>
          </w:p>
        </w:tc>
      </w:tr>
      <w:tr>
        <w:tc>
          <w:tcPr>
            <w:tcW w:type="dxa" w:w="1096"/>
          </w:tcPr>
          <w:p>
            <w:pPr>
              <w:pStyle w:val="Compact"/>
              <w:jc w:val="left"/>
            </w:pPr>
            <w:r>
              <w:t xml:space="preserve">2000</w:t>
            </w:r>
          </w:p>
        </w:tc>
        <w:tc>
          <w:tcPr>
            <w:tcW w:type="dxa" w:w="2491"/>
          </w:tcPr>
          <w:p>
            <w:pPr>
              <w:pStyle w:val="Compact"/>
              <w:jc w:val="left"/>
            </w:pPr>
            <w:r>
              <w:t xml:space="preserve">1.4087</w:t>
            </w:r>
          </w:p>
        </w:tc>
        <w:tc>
          <w:tcPr>
            <w:tcW w:type="dxa" w:w="2093"/>
          </w:tcPr>
          <w:p>
            <w:pPr>
              <w:pStyle w:val="Compact"/>
              <w:jc w:val="left"/>
            </w:pPr>
            <w:r>
              <w:t xml:space="preserve">1.4213</w:t>
            </w:r>
          </w:p>
        </w:tc>
        <w:tc>
          <w:tcPr>
            <w:tcW w:type="dxa" w:w="1694"/>
          </w:tcPr>
          <w:p>
            <w:pPr>
              <w:pStyle w:val="Compact"/>
              <w:jc w:val="left"/>
            </w:pPr>
            <w:r>
              <w:t xml:space="preserve">3.1375</w:t>
            </w:r>
          </w:p>
        </w:tc>
        <w:tc>
          <w:tcPr>
            <w:tcW w:type="dxa" w:w="1694"/>
          </w:tcPr>
          <w:p>
            <w:pPr>
              <w:pStyle w:val="Compact"/>
              <w:jc w:val="left"/>
            </w:pPr>
            <w:r>
              <w:t xml:space="preserve">7.6825</w:t>
            </w:r>
          </w:p>
        </w:tc>
      </w:tr>
      <w:tr>
        <w:tc>
          <w:tcPr>
            <w:tcW w:type="dxa" w:w="1096"/>
          </w:tcPr>
          <w:p>
            <w:pPr>
              <w:pStyle w:val="Compact"/>
              <w:jc w:val="left"/>
            </w:pPr>
            <w:r>
              <w:t xml:space="preserve">2250</w:t>
            </w:r>
          </w:p>
        </w:tc>
        <w:tc>
          <w:tcPr>
            <w:tcW w:type="dxa" w:w="2491"/>
          </w:tcPr>
          <w:p>
            <w:pPr>
              <w:pStyle w:val="Compact"/>
              <w:jc w:val="left"/>
            </w:pPr>
            <w:r>
              <w:t xml:space="preserve">0.6713</w:t>
            </w:r>
          </w:p>
        </w:tc>
        <w:tc>
          <w:tcPr>
            <w:tcW w:type="dxa" w:w="2093"/>
          </w:tcPr>
          <w:p>
            <w:pPr>
              <w:pStyle w:val="Compact"/>
              <w:jc w:val="left"/>
            </w:pPr>
            <w:r>
              <w:t xml:space="preserve">0.6838</w:t>
            </w:r>
          </w:p>
        </w:tc>
        <w:tc>
          <w:tcPr>
            <w:tcW w:type="dxa" w:w="1694"/>
          </w:tcPr>
          <w:p>
            <w:pPr>
              <w:pStyle w:val="Compact"/>
              <w:jc w:val="left"/>
            </w:pPr>
            <w:r>
              <w:t xml:space="preserve">1.9600</w:t>
            </w:r>
          </w:p>
        </w:tc>
        <w:tc>
          <w:tcPr>
            <w:tcW w:type="dxa" w:w="1694"/>
          </w:tcPr>
          <w:p>
            <w:pPr>
              <w:pStyle w:val="Compact"/>
              <w:jc w:val="left"/>
            </w:pPr>
            <w:r>
              <w:t xml:space="preserve">6.2800</w:t>
            </w:r>
          </w:p>
        </w:tc>
      </w:tr>
      <w:tr>
        <w:tc>
          <w:tcPr>
            <w:tcW w:type="dxa" w:w="1096"/>
          </w:tcPr>
          <w:p>
            <w:pPr>
              <w:pStyle w:val="Compact"/>
              <w:jc w:val="left"/>
            </w:pPr>
            <w:r>
              <w:t xml:space="preserve">2500</w:t>
            </w:r>
          </w:p>
        </w:tc>
        <w:tc>
          <w:tcPr>
            <w:tcW w:type="dxa" w:w="2491"/>
          </w:tcPr>
          <w:p>
            <w:pPr>
              <w:pStyle w:val="Compact"/>
              <w:jc w:val="left"/>
            </w:pPr>
            <w:r>
              <w:t xml:space="preserve">0.0000</w:t>
            </w:r>
          </w:p>
        </w:tc>
        <w:tc>
          <w:tcPr>
            <w:tcW w:type="dxa" w:w="2093"/>
          </w:tcPr>
          <w:p>
            <w:pPr>
              <w:pStyle w:val="Compact"/>
              <w:jc w:val="left"/>
            </w:pPr>
            <w:r>
              <w:t xml:space="preserve">0.0000</w:t>
            </w:r>
          </w:p>
        </w:tc>
        <w:tc>
          <w:tcPr>
            <w:tcW w:type="dxa" w:w="1694"/>
          </w:tcPr>
          <w:p>
            <w:pPr>
              <w:pStyle w:val="Compact"/>
              <w:jc w:val="left"/>
            </w:pPr>
            <w:r>
              <w:t xml:space="preserve">0.7715</w:t>
            </w:r>
          </w:p>
        </w:tc>
        <w:tc>
          <w:tcPr>
            <w:tcW w:type="dxa" w:w="1694"/>
          </w:tcPr>
          <w:p>
            <w:pPr>
              <w:pStyle w:val="Compact"/>
              <w:jc w:val="left"/>
            </w:pPr>
            <w:r>
              <w:t xml:space="preserve">4.3725</w:t>
            </w:r>
          </w:p>
        </w:tc>
      </w:tr>
      <w:tr>
        <w:tc>
          <w:tcPr>
            <w:tcW w:type="dxa" w:w="1096"/>
          </w:tcPr>
          <w:p>
            <w:pPr>
              <w:pStyle w:val="Compact"/>
              <w:jc w:val="left"/>
            </w:pPr>
            <w:r>
              <w:t xml:space="preserve">2750</w:t>
            </w:r>
          </w:p>
        </w:tc>
        <w:tc>
          <w:tcPr>
            <w:tcW w:type="dxa" w:w="2491"/>
          </w:tcPr>
          <w:p>
            <w:pPr>
              <w:pStyle w:val="Compact"/>
              <w:jc w:val="left"/>
            </w:pPr>
            <w:r>
              <w:t xml:space="preserve">−0.5132</w:t>
            </w:r>
          </w:p>
        </w:tc>
        <w:tc>
          <w:tcPr>
            <w:tcW w:type="dxa" w:w="2093"/>
          </w:tcPr>
          <w:p>
            <w:pPr>
              <w:pStyle w:val="Compact"/>
              <w:jc w:val="left"/>
            </w:pPr>
            <w:r>
              <w:t xml:space="preserve">−0.5069</w:t>
            </w:r>
          </w:p>
        </w:tc>
        <w:tc>
          <w:tcPr>
            <w:tcW w:type="dxa" w:w="1694"/>
          </w:tcPr>
          <w:p>
            <w:pPr>
              <w:pStyle w:val="Compact"/>
              <w:jc w:val="left"/>
            </w:pPr>
            <w:r>
              <w:t xml:space="preserve">−0.2689</w:t>
            </w:r>
          </w:p>
        </w:tc>
        <w:tc>
          <w:tcPr>
            <w:tcW w:type="dxa" w:w="1694"/>
          </w:tcPr>
          <w:p>
            <w:pPr>
              <w:pStyle w:val="Compact"/>
              <w:jc w:val="left"/>
            </w:pPr>
            <w:r>
              <w:t xml:space="preserve">2.2975</w:t>
            </w:r>
          </w:p>
        </w:tc>
      </w:tr>
      <w:tr>
        <w:tc>
          <w:tcPr>
            <w:tcW w:type="dxa" w:w="1096"/>
          </w:tcPr>
          <w:p>
            <w:pPr>
              <w:pStyle w:val="Compact"/>
              <w:jc w:val="left"/>
            </w:pPr>
            <w:r>
              <w:t xml:space="preserve">3000</w:t>
            </w:r>
          </w:p>
        </w:tc>
        <w:tc>
          <w:tcPr>
            <w:tcW w:type="dxa" w:w="2491"/>
          </w:tcPr>
          <w:p>
            <w:pPr>
              <w:pStyle w:val="Compact"/>
              <w:jc w:val="left"/>
            </w:pPr>
            <w:r>
              <w:t xml:space="preserve">−0.8644</w:t>
            </w:r>
          </w:p>
        </w:tc>
        <w:tc>
          <w:tcPr>
            <w:tcW w:type="dxa" w:w="2093"/>
          </w:tcPr>
          <w:p>
            <w:pPr>
              <w:pStyle w:val="Compact"/>
              <w:jc w:val="left"/>
            </w:pPr>
            <w:r>
              <w:t xml:space="preserve">−0.8556</w:t>
            </w:r>
          </w:p>
        </w:tc>
        <w:tc>
          <w:tcPr>
            <w:tcW w:type="dxa" w:w="1694"/>
          </w:tcPr>
          <w:p>
            <w:pPr>
              <w:pStyle w:val="Compact"/>
              <w:jc w:val="left"/>
            </w:pPr>
            <w:r>
              <w:t xml:space="preserve">−1.0063</w:t>
            </w:r>
          </w:p>
        </w:tc>
        <w:tc>
          <w:tcPr>
            <w:tcW w:type="dxa" w:w="1694"/>
          </w:tcPr>
          <w:p>
            <w:pPr>
              <w:pStyle w:val="Compact"/>
              <w:jc w:val="left"/>
            </w:pPr>
            <w:r>
              <w:t xml:space="preserve">0.3021</w:t>
            </w:r>
          </w:p>
        </w:tc>
      </w:tr>
      <w:tr>
        <w:tc>
          <w:tcPr>
            <w:tcW w:type="dxa" w:w="1096"/>
          </w:tcPr>
          <w:p>
            <w:pPr>
              <w:pStyle w:val="Compact"/>
              <w:jc w:val="left"/>
            </w:pPr>
            <w:r>
              <w:t xml:space="preserve">3250</w:t>
            </w:r>
          </w:p>
        </w:tc>
        <w:tc>
          <w:tcPr>
            <w:tcW w:type="dxa" w:w="2491"/>
          </w:tcPr>
          <w:p>
            <w:pPr>
              <w:pStyle w:val="Compact"/>
              <w:jc w:val="left"/>
            </w:pPr>
            <w:r>
              <w:t xml:space="preserve">−1.0715</w:t>
            </w:r>
          </w:p>
        </w:tc>
        <w:tc>
          <w:tcPr>
            <w:tcW w:type="dxa" w:w="2093"/>
          </w:tcPr>
          <w:p>
            <w:pPr>
              <w:pStyle w:val="Compact"/>
              <w:jc w:val="left"/>
            </w:pPr>
            <w:r>
              <w:t xml:space="preserve">−1.0600</w:t>
            </w:r>
          </w:p>
        </w:tc>
        <w:tc>
          <w:tcPr>
            <w:tcW w:type="dxa" w:w="1694"/>
          </w:tcPr>
          <w:p>
            <w:pPr>
              <w:pStyle w:val="Compact"/>
              <w:jc w:val="left"/>
            </w:pPr>
            <w:r>
              <w:t xml:space="preserve">−1.4988</w:t>
            </w:r>
          </w:p>
        </w:tc>
        <w:tc>
          <w:tcPr>
            <w:tcW w:type="dxa" w:w="1694"/>
          </w:tcPr>
          <w:p>
            <w:pPr>
              <w:pStyle w:val="Compact"/>
              <w:jc w:val="left"/>
            </w:pPr>
            <w:r>
              <w:t xml:space="preserve">−1.2588</w:t>
            </w:r>
          </w:p>
        </w:tc>
      </w:tr>
      <w:tr>
        <w:tc>
          <w:tcPr>
            <w:tcW w:type="dxa" w:w="1096"/>
          </w:tcPr>
          <w:p>
            <w:pPr>
              <w:pStyle w:val="Compact"/>
              <w:jc w:val="left"/>
            </w:pPr>
            <w:r>
              <w:t xml:space="preserve">3500</w:t>
            </w:r>
          </w:p>
        </w:tc>
        <w:tc>
          <w:tcPr>
            <w:tcW w:type="dxa" w:w="2491"/>
          </w:tcPr>
          <w:p>
            <w:pPr>
              <w:pStyle w:val="Compact"/>
              <w:jc w:val="left"/>
            </w:pPr>
            <w:r>
              <w:t xml:space="preserve">−1.1526</w:t>
            </w:r>
          </w:p>
        </w:tc>
        <w:tc>
          <w:tcPr>
            <w:tcW w:type="dxa" w:w="2093"/>
          </w:tcPr>
          <w:p>
            <w:pPr>
              <w:pStyle w:val="Compact"/>
              <w:jc w:val="left"/>
            </w:pPr>
            <w:r>
              <w:t xml:space="preserve">−1.1438</w:t>
            </w:r>
          </w:p>
        </w:tc>
        <w:tc>
          <w:tcPr>
            <w:tcW w:type="dxa" w:w="1694"/>
          </w:tcPr>
          <w:p>
            <w:pPr>
              <w:pStyle w:val="Compact"/>
              <w:jc w:val="left"/>
            </w:pPr>
            <w:r>
              <w:t xml:space="preserve">−1.7813</w:t>
            </w:r>
          </w:p>
        </w:tc>
        <w:tc>
          <w:tcPr>
            <w:tcW w:type="dxa" w:w="1694"/>
          </w:tcPr>
          <w:p>
            <w:pPr>
              <w:pStyle w:val="Compact"/>
              <w:jc w:val="left"/>
            </w:pPr>
            <w:r>
              <w:t xml:space="preserve">−2.3650</w:t>
            </w:r>
          </w:p>
        </w:tc>
      </w:tr>
      <w:tr>
        <w:tc>
          <w:tcPr>
            <w:tcW w:type="dxa" w:w="1096"/>
          </w:tcPr>
          <w:p>
            <w:pPr>
              <w:pStyle w:val="Compact"/>
              <w:jc w:val="left"/>
            </w:pPr>
            <w:r>
              <w:t xml:space="preserve">3750</w:t>
            </w:r>
          </w:p>
        </w:tc>
        <w:tc>
          <w:tcPr>
            <w:tcW w:type="dxa" w:w="2491"/>
          </w:tcPr>
          <w:p>
            <w:pPr>
              <w:pStyle w:val="Compact"/>
              <w:jc w:val="left"/>
            </w:pPr>
            <w:r>
              <w:t xml:space="preserve">−1.1255</w:t>
            </w:r>
          </w:p>
        </w:tc>
        <w:tc>
          <w:tcPr>
            <w:tcW w:type="dxa" w:w="2093"/>
          </w:tcPr>
          <w:p>
            <w:pPr>
              <w:pStyle w:val="Compact"/>
              <w:jc w:val="left"/>
            </w:pPr>
            <w:r>
              <w:t xml:space="preserve">−1.1200</w:t>
            </w:r>
          </w:p>
        </w:tc>
        <w:tc>
          <w:tcPr>
            <w:tcW w:type="dxa" w:w="1694"/>
          </w:tcPr>
          <w:p>
            <w:pPr>
              <w:pStyle w:val="Compact"/>
              <w:jc w:val="left"/>
            </w:pPr>
            <w:r>
              <w:t xml:space="preserve">−1.8600</w:t>
            </w:r>
          </w:p>
        </w:tc>
        <w:tc>
          <w:tcPr>
            <w:tcW w:type="dxa" w:w="1694"/>
          </w:tcPr>
          <w:p>
            <w:pPr>
              <w:pStyle w:val="Compact"/>
              <w:jc w:val="left"/>
            </w:pPr>
            <w:r>
              <w:t xml:space="preserve">−3.0363</w:t>
            </w:r>
          </w:p>
        </w:tc>
      </w:tr>
      <w:tr>
        <w:tc>
          <w:tcPr>
            <w:tcW w:type="dxa" w:w="1096"/>
          </w:tcPr>
          <w:p>
            <w:pPr>
              <w:pStyle w:val="Compact"/>
              <w:jc w:val="left"/>
            </w:pPr>
            <w:r>
              <w:t xml:space="preserve">4000</w:t>
            </w:r>
          </w:p>
        </w:tc>
        <w:tc>
          <w:tcPr>
            <w:tcW w:type="dxa" w:w="2491"/>
          </w:tcPr>
          <w:p>
            <w:pPr>
              <w:pStyle w:val="Compact"/>
              <w:jc w:val="left"/>
            </w:pPr>
            <w:r>
              <w:t xml:space="preserve">−1.0085</w:t>
            </w:r>
          </w:p>
        </w:tc>
        <w:tc>
          <w:tcPr>
            <w:tcW w:type="dxa" w:w="2093"/>
          </w:tcPr>
          <w:p>
            <w:pPr>
              <w:pStyle w:val="Compact"/>
              <w:jc w:val="left"/>
            </w:pPr>
            <w:r>
              <w:t xml:space="preserve">−1.0013</w:t>
            </w:r>
          </w:p>
        </w:tc>
        <w:tc>
          <w:tcPr>
            <w:tcW w:type="dxa" w:w="1694"/>
          </w:tcPr>
          <w:p>
            <w:pPr>
              <w:pStyle w:val="Compact"/>
              <w:jc w:val="left"/>
            </w:pPr>
            <w:r>
              <w:t xml:space="preserve">−1.7738</w:t>
            </w:r>
          </w:p>
        </w:tc>
        <w:tc>
          <w:tcPr>
            <w:tcW w:type="dxa" w:w="1694"/>
          </w:tcPr>
          <w:p>
            <w:pPr>
              <w:pStyle w:val="Compact"/>
              <w:jc w:val="left"/>
            </w:pPr>
            <w:r>
              <w:t xml:space="preserve">−3.3300</w:t>
            </w:r>
          </w:p>
        </w:tc>
      </w:tr>
      <w:tr>
        <w:tc>
          <w:tcPr>
            <w:tcW w:type="dxa" w:w="1096"/>
          </w:tcPr>
          <w:p>
            <w:pPr>
              <w:pStyle w:val="Compact"/>
              <w:jc w:val="left"/>
            </w:pPr>
            <w:r>
              <w:t xml:space="preserve">4250</w:t>
            </w:r>
          </w:p>
        </w:tc>
        <w:tc>
          <w:tcPr>
            <w:tcW w:type="dxa" w:w="2491"/>
          </w:tcPr>
          <w:p>
            <w:pPr>
              <w:pStyle w:val="Compact"/>
              <w:jc w:val="left"/>
            </w:pPr>
            <w:r>
              <w:t xml:space="preserve">−0.8194</w:t>
            </w:r>
          </w:p>
        </w:tc>
        <w:tc>
          <w:tcPr>
            <w:tcW w:type="dxa" w:w="2093"/>
          </w:tcPr>
          <w:p>
            <w:pPr>
              <w:pStyle w:val="Compact"/>
              <w:jc w:val="left"/>
            </w:pPr>
            <w:r>
              <w:t xml:space="preserve">−0.8175</w:t>
            </w:r>
          </w:p>
        </w:tc>
        <w:tc>
          <w:tcPr>
            <w:tcW w:type="dxa" w:w="1694"/>
          </w:tcPr>
          <w:p>
            <w:pPr>
              <w:pStyle w:val="Compact"/>
              <w:jc w:val="left"/>
            </w:pPr>
            <w:r>
              <w:t xml:space="preserve">−1.5525</w:t>
            </w:r>
          </w:p>
        </w:tc>
        <w:tc>
          <w:tcPr>
            <w:tcW w:type="dxa" w:w="1694"/>
          </w:tcPr>
          <w:p>
            <w:pPr>
              <w:pStyle w:val="Compact"/>
              <w:jc w:val="left"/>
            </w:pPr>
            <w:r>
              <w:t xml:space="preserve">−3.2663</w:t>
            </w:r>
          </w:p>
        </w:tc>
      </w:tr>
      <w:tr>
        <w:tc>
          <w:tcPr>
            <w:tcW w:type="dxa" w:w="1096"/>
          </w:tcPr>
          <w:p>
            <w:pPr>
              <w:pStyle w:val="Compact"/>
              <w:jc w:val="left"/>
            </w:pPr>
            <w:r>
              <w:t xml:space="preserve">4500</w:t>
            </w:r>
          </w:p>
        </w:tc>
        <w:tc>
          <w:tcPr>
            <w:tcW w:type="dxa" w:w="2491"/>
          </w:tcPr>
          <w:p>
            <w:pPr>
              <w:pStyle w:val="Compact"/>
              <w:jc w:val="left"/>
            </w:pPr>
            <w:r>
              <w:t xml:space="preserve">−0.5763</w:t>
            </w:r>
          </w:p>
        </w:tc>
        <w:tc>
          <w:tcPr>
            <w:tcW w:type="dxa" w:w="2093"/>
          </w:tcPr>
          <w:p>
            <w:pPr>
              <w:pStyle w:val="Compact"/>
              <w:jc w:val="left"/>
            </w:pPr>
            <w:r>
              <w:t xml:space="preserve">−0.5816</w:t>
            </w:r>
          </w:p>
        </w:tc>
        <w:tc>
          <w:tcPr>
            <w:tcW w:type="dxa" w:w="1694"/>
          </w:tcPr>
          <w:p>
            <w:pPr>
              <w:pStyle w:val="Compact"/>
              <w:jc w:val="left"/>
            </w:pPr>
            <w:r>
              <w:t xml:space="preserve">−1.2213</w:t>
            </w:r>
          </w:p>
        </w:tc>
        <w:tc>
          <w:tcPr>
            <w:tcW w:type="dxa" w:w="1694"/>
          </w:tcPr>
          <w:p>
            <w:pPr>
              <w:pStyle w:val="Compact"/>
              <w:jc w:val="left"/>
            </w:pPr>
            <w:r>
              <w:t xml:space="preserve">−2.9450</w:t>
            </w:r>
          </w:p>
        </w:tc>
      </w:tr>
      <w:tr>
        <w:tc>
          <w:tcPr>
            <w:tcW w:type="dxa" w:w="1096"/>
          </w:tcPr>
          <w:p>
            <w:pPr>
              <w:pStyle w:val="Compact"/>
              <w:jc w:val="left"/>
            </w:pPr>
            <w:r>
              <w:t xml:space="preserve">4750</w:t>
            </w:r>
          </w:p>
        </w:tc>
        <w:tc>
          <w:tcPr>
            <w:tcW w:type="dxa" w:w="2491"/>
          </w:tcPr>
          <w:p>
            <w:pPr>
              <w:pStyle w:val="Compact"/>
              <w:jc w:val="left"/>
            </w:pPr>
            <w:r>
              <w:t xml:space="preserve">−0.2971</w:t>
            </w:r>
          </w:p>
        </w:tc>
        <w:tc>
          <w:tcPr>
            <w:tcW w:type="dxa" w:w="2093"/>
          </w:tcPr>
          <w:p>
            <w:pPr>
              <w:pStyle w:val="Compact"/>
              <w:jc w:val="left"/>
            </w:pPr>
            <w:r>
              <w:t xml:space="preserve">−0.3019</w:t>
            </w:r>
          </w:p>
        </w:tc>
        <w:tc>
          <w:tcPr>
            <w:tcW w:type="dxa" w:w="1694"/>
          </w:tcPr>
          <w:p>
            <w:pPr>
              <w:pStyle w:val="Compact"/>
              <w:jc w:val="left"/>
            </w:pPr>
            <w:r>
              <w:t xml:space="preserve">−0.8125</w:t>
            </w:r>
          </w:p>
        </w:tc>
        <w:tc>
          <w:tcPr>
            <w:tcW w:type="dxa" w:w="1694"/>
          </w:tcPr>
          <w:p>
            <w:pPr>
              <w:pStyle w:val="Compact"/>
              <w:jc w:val="left"/>
            </w:pPr>
            <w:r>
              <w:t xml:space="preserve">−2.4125</w:t>
            </w:r>
          </w:p>
        </w:tc>
      </w:tr>
      <w:tr>
        <w:tc>
          <w:tcPr>
            <w:tcW w:type="dxa" w:w="1096"/>
          </w:tcPr>
          <w:p>
            <w:pPr>
              <w:pStyle w:val="Compact"/>
              <w:jc w:val="left"/>
            </w:pPr>
            <w:r>
              <w:t xml:space="preserve">5000</w:t>
            </w:r>
          </w:p>
        </w:tc>
        <w:tc>
          <w:tcPr>
            <w:tcW w:type="dxa" w:w="2491"/>
          </w:tcPr>
          <w:p>
            <w:pPr>
              <w:pStyle w:val="Compact"/>
              <w:jc w:val="left"/>
            </w:pPr>
            <w:r>
              <w:t xml:space="preserve">0.0000</w:t>
            </w:r>
          </w:p>
        </w:tc>
        <w:tc>
          <w:tcPr>
            <w:tcW w:type="dxa" w:w="2093"/>
          </w:tcPr>
          <w:p>
            <w:pPr>
              <w:pStyle w:val="Compact"/>
              <w:jc w:val="left"/>
            </w:pPr>
            <w:r>
              <w:t xml:space="preserve">0.0000</w:t>
            </w:r>
          </w:p>
        </w:tc>
        <w:tc>
          <w:tcPr>
            <w:tcW w:type="dxa" w:w="1694"/>
          </w:tcPr>
          <w:p>
            <w:pPr>
              <w:pStyle w:val="Compact"/>
              <w:jc w:val="left"/>
            </w:pPr>
            <w:r>
              <w:t xml:space="preserve">−0.3325</w:t>
            </w:r>
          </w:p>
        </w:tc>
        <w:tc>
          <w:tcPr>
            <w:tcW w:type="dxa" w:w="1694"/>
          </w:tcPr>
          <w:p>
            <w:pPr>
              <w:pStyle w:val="Compact"/>
              <w:jc w:val="left"/>
            </w:pPr>
            <w:r>
              <w:t xml:space="preserve">−1.7088</w:t>
            </w:r>
          </w:p>
        </w:tc>
      </w:tr>
      <w:tr>
        <w:tc>
          <w:tcPr>
            <w:tcW w:type="dxa" w:w="1096"/>
          </w:tcPr>
          <w:p>
            <w:pPr>
              <w:pStyle w:val="Compact"/>
              <w:jc w:val="left"/>
            </w:pPr>
            <w:r>
              <w:t xml:space="preserve">5250</w:t>
            </w:r>
          </w:p>
        </w:tc>
        <w:tc>
          <w:tcPr>
            <w:tcW w:type="dxa" w:w="2491"/>
          </w:tcPr>
          <w:p>
            <w:pPr>
              <w:pStyle w:val="Compact"/>
            </w:pPr>
          </w:p>
        </w:tc>
        <w:tc>
          <w:tcPr>
            <w:tcW w:type="dxa" w:w="2093"/>
          </w:tcPr>
          <w:p>
            <w:pPr>
              <w:pStyle w:val="Compact"/>
            </w:pPr>
          </w:p>
        </w:tc>
        <w:tc>
          <w:tcPr>
            <w:tcW w:type="dxa" w:w="1694"/>
          </w:tcPr>
          <w:p>
            <w:pPr>
              <w:pStyle w:val="Compact"/>
              <w:jc w:val="left"/>
            </w:pPr>
            <w:r>
              <w:t xml:space="preserve">0</w:t>
            </w:r>
          </w:p>
        </w:tc>
        <w:tc>
          <w:tcPr>
            <w:tcW w:type="dxa" w:w="1694"/>
          </w:tcPr>
          <w:p>
            <w:pPr>
              <w:pStyle w:val="Compact"/>
              <w:jc w:val="left"/>
            </w:pPr>
            <w:r>
              <w:t xml:space="preserve">−1.0713</w:t>
            </w:r>
          </w:p>
        </w:tc>
      </w:tr>
      <w:tr>
        <w:tc>
          <w:tcPr>
            <w:tcW w:type="dxa" w:w="1096"/>
          </w:tcPr>
          <w:p>
            <w:pPr>
              <w:pStyle w:val="Compact"/>
              <w:jc w:val="left"/>
            </w:pPr>
            <w:r>
              <w:t xml:space="preserve">5500</w:t>
            </w:r>
          </w:p>
        </w:tc>
        <w:tc>
          <w:tcPr>
            <w:tcW w:type="dxa" w:w="2491"/>
          </w:tcPr>
          <w:p>
            <w:pPr>
              <w:pStyle w:val="Compact"/>
            </w:pPr>
          </w:p>
        </w:tc>
        <w:tc>
          <w:tcPr>
            <w:tcW w:type="dxa" w:w="2093"/>
          </w:tcPr>
          <w:p>
            <w:pPr>
              <w:pStyle w:val="Compact"/>
            </w:pPr>
          </w:p>
        </w:tc>
        <w:tc>
          <w:tcPr>
            <w:tcW w:type="dxa" w:w="1694"/>
          </w:tcPr>
          <w:p>
            <w:pPr>
              <w:pStyle w:val="Compact"/>
            </w:pPr>
          </w:p>
        </w:tc>
        <w:tc>
          <w:tcPr>
            <w:tcW w:type="dxa" w:w="1694"/>
          </w:tcPr>
          <w:p>
            <w:pPr>
              <w:pStyle w:val="Compact"/>
              <w:jc w:val="left"/>
            </w:pPr>
            <w:r>
              <w:t xml:space="preserve">−0.3650</w:t>
            </w:r>
          </w:p>
        </w:tc>
      </w:tr>
      <w:tr>
        <w:tc>
          <w:tcPr>
            <w:tcW w:type="dxa" w:w="1096"/>
          </w:tcPr>
          <w:p>
            <w:pPr>
              <w:pStyle w:val="Compact"/>
              <w:jc w:val="left"/>
            </w:pPr>
            <w:r>
              <w:t xml:space="preserve">5750</w:t>
            </w:r>
          </w:p>
        </w:tc>
        <w:tc>
          <w:tcPr>
            <w:tcW w:type="dxa" w:w="2491"/>
          </w:tcPr>
          <w:p>
            <w:pPr>
              <w:pStyle w:val="Compact"/>
            </w:pPr>
          </w:p>
        </w:tc>
        <w:tc>
          <w:tcPr>
            <w:tcW w:type="dxa" w:w="2093"/>
          </w:tcPr>
          <w:p>
            <w:pPr>
              <w:pStyle w:val="Compact"/>
            </w:pPr>
          </w:p>
        </w:tc>
        <w:tc>
          <w:tcPr>
            <w:tcW w:type="dxa" w:w="1694"/>
          </w:tcPr>
          <w:p>
            <w:pPr>
              <w:pStyle w:val="Compact"/>
            </w:pPr>
          </w:p>
        </w:tc>
        <w:tc>
          <w:tcPr>
            <w:tcW w:type="dxa" w:w="1694"/>
          </w:tcPr>
          <w:p>
            <w:pPr>
              <w:pStyle w:val="Compact"/>
              <w:jc w:val="left"/>
            </w:pPr>
            <w:r>
              <w:t xml:space="preserve">0</w:t>
            </w:r>
          </w:p>
        </w:tc>
      </w:tr>
    </w:tbl>
    <w:bookmarkEnd w:id="52"/>
    <w:bookmarkStart w:id="53" w:name="computational-implementation"/>
    <w:p>
      <w:pPr>
        <w:pStyle w:val="Heading2"/>
      </w:pPr>
      <w:r>
        <w:t xml:space="preserve">Computational Implementation</w:t>
      </w:r>
    </w:p>
    <w:p>
      <w:pPr>
        <w:pStyle w:val="FirstParagraph"/>
      </w:pPr>
      <w:r>
        <w:t xml:space="preserve">All analyses were implemented by the authors in reproducible scripts: the closed forms and their FE verification, the multi-channel estimators, placement study and Monte Carlo simulation, the identifiability analysis of the in-service girder, the processing of the public field records and the laboratory evaluation. Generative artificial intelligence was used as an assistance tool during code development and debugging. Every equation and numerical output was checked independently against an analytical, finite element or convergence-based route, and the scripts and the console output of each run are provided as supplementary material.</w:t>
      </w:r>
    </w:p>
    <w:bookmarkEnd w:id="53"/>
    <w:bookmarkStart w:id="54" w:name="data-availability"/>
    <w:p>
      <w:pPr>
        <w:pStyle w:val="Heading2"/>
      </w:pPr>
      <w:r>
        <w:t xml:space="preserve">Data Availability</w:t>
      </w:r>
    </w:p>
    <w:p>
      <w:pPr>
        <w:pStyle w:val="FirstParagraph"/>
      </w:pPr>
      <w:r>
        <w:t xml:space="preserve">The field strain records analysed in Section 4 are publicly available in the NOR-BWIM dataset (figshare, https://doi.org/10.7294/26880898.v1, CC0) [50]. The laboratory deflection data are given in full in Appendix D. The derived data behind every figure and table, the analysis scripts and the console output of each run are provided as supplementary material. The Cầu Mây load test was performed by an author of this paper, and the authors are permitted to publish the processed data (static deflection readings, truck positions, weighed truck masses and reported frequencies), which are available at [NEED VALUE: repository name and DOI].</w:t>
      </w:r>
    </w:p>
    <w:bookmarkEnd w:id="54"/>
    <w:bookmarkStart w:id="55" w:name="conflicts-of-interest"/>
    <w:p>
      <w:pPr>
        <w:pStyle w:val="Heading2"/>
      </w:pPr>
      <w:r>
        <w:t xml:space="preserve">Conflicts of Interest</w:t>
      </w:r>
    </w:p>
    <w:p>
      <w:pPr>
        <w:pStyle w:val="FirstParagraph"/>
      </w:pPr>
      <w:r>
        <w:t xml:space="preserve">The Cầu Mây load test analysed in Section 5 was performed by the authors’ team as part of inspection work carried out by Công ty TNHH Tư vấn Đại học Xây dựng (HUCE consultancy) [NEED VALUE: name(s) of authors involved and nature of relationship]. The authors declare that there is no other conflict of interest regarding the publication of this article.</w:t>
      </w:r>
    </w:p>
    <w:bookmarkEnd w:id="55"/>
    <w:bookmarkStart w:id="56" w:name="funding-statement"/>
    <w:p>
      <w:pPr>
        <w:pStyle w:val="Heading2"/>
      </w:pPr>
      <w:r>
        <w:t xml:space="preserve">Funding Statement</w:t>
      </w:r>
    </w:p>
    <w:p>
      <w:pPr>
        <w:pStyle w:val="FirstParagraph"/>
      </w:pPr>
      <w:r>
        <w:t xml:space="preserve">This research did not receive any specific grant from funding agencies in the public, commercial or not-for-profit sectors. [NEED VALUE: name the employer under whose employment the work was performed, and the source of the article processing charge, if any.]</w:t>
      </w:r>
    </w:p>
    <w:bookmarkEnd w:id="56"/>
    <w:bookmarkStart w:id="57" w:name="author-contributions"/>
    <w:p>
      <w:pPr>
        <w:pStyle w:val="Heading2"/>
      </w:pPr>
      <w:r>
        <w:t xml:space="preserve">Author Contributions</w:t>
      </w:r>
    </w:p>
    <w:p>
      <w:pPr>
        <w:pStyle w:val="FirstParagraph"/>
      </w:pPr>
      <w:r>
        <w:rPr>
          <w:bCs/>
          <w:b/>
        </w:rPr>
        <w:t xml:space="preserve">Quoc-Bao Nguyen:</w:t>
      </w:r>
      <w:r>
        <w:t xml:space="preserve"> </w:t>
      </w:r>
      <w:r>
        <w:t xml:space="preserve">Conceptualization, Methodology, Formal analysis, Software, Writing – original draft.</w:t>
      </w:r>
      <w:r>
        <w:t xml:space="preserve"> </w:t>
      </w:r>
      <w:r>
        <w:rPr>
          <w:bCs/>
          <w:b/>
        </w:rPr>
        <w:t xml:space="preserve">Thai-Son Vu:</w:t>
      </w:r>
      <w:r>
        <w:t xml:space="preserve"> </w:t>
      </w:r>
      <w:r>
        <w:t xml:space="preserve">Conceptualization, Investigation, Validation, Supervision, Project administration, Writing – review &amp; editing.</w:t>
      </w:r>
      <w:r>
        <w:t xml:space="preserve"> </w:t>
      </w:r>
      <w:r>
        <w:rPr>
          <w:bCs/>
          <w:b/>
        </w:rPr>
        <w:t xml:space="preserve">Hung-Son Nguyen:</w:t>
      </w:r>
      <w:r>
        <w:t xml:space="preserve"> </w:t>
      </w:r>
      <w:r>
        <w:t xml:space="preserve">Investigation, Data curation, Visualization, Writing – review &amp; editing.</w:t>
      </w:r>
    </w:p>
    <w:bookmarkEnd w:id="57"/>
    <w:bookmarkStart w:id="58" w:name="disclosure-of-generative-ai-use"/>
    <w:p>
      <w:pPr>
        <w:pStyle w:val="Heading2"/>
      </w:pPr>
      <w:r>
        <w:t xml:space="preserve">Disclosure of Generative AI Use</w:t>
      </w:r>
    </w:p>
    <w:p>
      <w:pPr>
        <w:pStyle w:val="FirstParagraph"/>
      </w:pPr>
      <w:r>
        <w:t xml:space="preserve">During the preparation of this work the authors used Claude (Anthropic) to assist with code development and debugging and with language editing. All scientific formulations, procedures, numerical results and interpretations were independently reviewed and verified by the authors, who take full responsibility for the content of the manuscript.</w:t>
      </w:r>
    </w:p>
    <w:bookmarkEnd w:id="58"/>
    <w:bookmarkStart w:id="59" w:name="acknowledgments"/>
    <w:p>
      <w:pPr>
        <w:pStyle w:val="Heading2"/>
      </w:pPr>
      <w:r>
        <w:t xml:space="preserve">Acknowledgments</w:t>
      </w:r>
    </w:p>
    <w:p>
      <w:pPr>
        <w:pStyle w:val="FirstParagraph"/>
      </w:pPr>
      <w:r>
        <w:t xml:space="preserve">The authors gratefully acknowledge the Laboratory of Transportation Technology and Systems, Faculty of Bridge and Road Engineering, Hanoi University of Civil Engineering, for providing the test facilities used in this study, and A. Moghadam and R. Sarlo for making the NOR-BWIM dataset publicly available. [NEED VALUE: whether to acknowledge Hai Duong PMU and the testing consultant for access to the acceptance-test report.]</w:t>
      </w:r>
    </w:p>
    <w:bookmarkEnd w:id="59"/>
    <w:bookmarkStart w:id="60" w:name="supplementary-materials"/>
    <w:p>
      <w:pPr>
        <w:pStyle w:val="Heading2"/>
      </w:pPr>
      <w:r>
        <w:t xml:space="preserve">Supplementary Materials</w:t>
      </w:r>
    </w:p>
    <w:p>
      <w:pPr>
        <w:pStyle w:val="FirstParagraph"/>
      </w:pPr>
      <w:r>
        <w:t xml:space="preserve">The supplementary material contains: (i) the analysis scripts and the console output of each run; (ii) the derived data behind every figure and table; (iii) the Monte Carlo verification of the multi-channel estimators, the structure-aware invariant weights and the full placement grid; (iv) the quadrature study and the laboratory Monte Carlo analysis; (v) the asymmetric three-span closed forms and their FE verification; (vi) the moving-force analysis behind the dynamic bound of Section 6.1; (vii) the deflection records of two simply supported bridges (Gie Cuc I and Phuong Do), which illustrate baseline handling and low-pass filtering; (viii) additional field figures (speed, lane and superposition, beam-model observability, gauge ratios, and the synthetic records of the dataset authors); (ix) the Cầu Mây indicators in graphical form and the identifiability maps; (x) the predicted records and sensor layout of the planned Cầu Mây field test.</w:t>
      </w:r>
    </w:p>
    <w:bookmarkEnd w:id="60"/>
    <w:bookmarkStart w:id="61" w:name="references"/>
    <w:p>
      <w:pPr>
        <w:pStyle w:val="Heading2"/>
      </w:pPr>
      <w:r>
        <w:t xml:space="preserve">References</w:t>
      </w:r>
    </w:p>
    <w:p>
      <w:pPr>
        <w:pStyle w:val="FirstParagraph"/>
      </w:pPr>
      <w:r>
        <w:t xml:space="preserve">[1] Y. Fan, J. Zhu, J. Pei, Z. Li, Analysis for Yangmingtan Bridge collapse, Eng. Fail. Anal. 56 (2015) 20–27. https://doi.org/10.1016/j.engfailanal.2015.05.003</w:t>
      </w:r>
    </w:p>
    <w:p>
      <w:pPr>
        <w:pStyle w:val="BodyText"/>
      </w:pPr>
      <w:r>
        <w:t xml:space="preserve">[2] H.M. Salem, H.M. Helmy, Numerical investigation of collapse of the Minnesota I-35W bridge, Eng. Struct. 59 (2014) 635–645. https://doi.org/10.1016/j.engstruct.2013.11.022</w:t>
      </w:r>
    </w:p>
    <w:p>
      <w:pPr>
        <w:pStyle w:val="BodyText"/>
      </w:pPr>
      <w:r>
        <w:t xml:space="preserve">[3] S. Invernizzi, F. Montagnoli, A. Carpinteri, Very high cycle corrosion fatigue study of the collapsed Polcevera bridge, Italy, J. Bridge Eng. 27 (1) (2022) 04021102. https://doi.org/10.1061/(ASCE)BE.1943-5592.0001807</w:t>
      </w:r>
    </w:p>
    <w:p>
      <w:pPr>
        <w:pStyle w:val="BodyText"/>
      </w:pPr>
      <w:r>
        <w:t xml:space="preserve">[4] M. Morgese, F. Ansari, M. Domaneschi, G.P. Cimellaro, Post-collapse analysis of Morandi’s Polcevera viaduct in Genoa, Italy, J. Civ. Struct. Health Monit. 10 (2020) 69–85. https://doi.org/10.1007/s13349-019-00370-7</w:t>
      </w:r>
    </w:p>
    <w:p>
      <w:pPr>
        <w:pStyle w:val="BodyText"/>
      </w:pPr>
      <w:r>
        <w:t xml:space="preserve">[5] R. Ventura, B. Barabino, G. Maternini, Estimating the frequency of traffic overloading on road bridges, J. Traffic Transp. Eng. (Engl. Ed.) 11 (4) (2024) 776–796. https://doi.org/10.1016/j.jtte.2023.11.005</w:t>
      </w:r>
    </w:p>
    <w:p>
      <w:pPr>
        <w:pStyle w:val="BodyText"/>
      </w:pPr>
      <w:r>
        <w:t xml:space="preserve">[6] F. Fattorini, W. Salvatore, E. Renzi, G. Tamasi, Application to the territorial authorities of the</w:t>
      </w:r>
      <w:r>
        <w:t xml:space="preserve"> </w:t>
      </w:r>
      <w:r>
        <w:t xml:space="preserve">“</w:t>
      </w:r>
      <w:r>
        <w:t xml:space="preserve">Guidelines for the classification and management of risk, for the evaluation of safety and for the monitoring of existing bridges</w:t>
      </w:r>
      <w:r>
        <w:t xml:space="preserve">”</w:t>
      </w:r>
      <w:r>
        <w:t xml:space="preserve">. The case study of the Municipality of Rome, Procedia Struct. Integr. 44 (2023) 689–696. https://doi.org/10.1016/j.prostr.2023.01.090</w:t>
      </w:r>
    </w:p>
    <w:p>
      <w:pPr>
        <w:pStyle w:val="BodyText"/>
      </w:pPr>
      <w:r>
        <w:t xml:space="preserve">[7] J. Gajda, R. Sroka, P. Burnos, M. Daniol, Long-term assessment of the properties of load sensors applied in weigh-in-motion systems, Sensors 25 (8) (2025) 2421. https://doi.org/10.3390/s25082421</w:t>
      </w:r>
    </w:p>
    <w:p>
      <w:pPr>
        <w:pStyle w:val="BodyText"/>
      </w:pPr>
      <w:r>
        <w:t xml:space="preserve">[8] I. Al-Qadi, H. Wang, Y. Ouyang, K. Grimmelsman, J.E. Purdy, LTBP Program’s Literature Review on Weigh-in-Motion Systems, Report FHWA-HRT-16-024, Federal Highway Administration, Washington, DC, 2016. https://rosap.ntl.bts.gov/view/dot/35735</w:t>
      </w:r>
    </w:p>
    <w:p>
      <w:pPr>
        <w:pStyle w:val="BodyText"/>
      </w:pPr>
      <w:r>
        <w:t xml:space="preserve">[9] B. Jacob, E.J. OBrien, S. Jehaes (Eds.), Weigh-in-Motion of Road Vehicles: Final Report of the COST 323 Action, LCPC, Paris, 2002.</w:t>
      </w:r>
    </w:p>
    <w:p>
      <w:pPr>
        <w:pStyle w:val="BodyText"/>
      </w:pPr>
      <w:r>
        <w:t xml:space="preserve">[10] U.S. Department of Transportation, Federal Highway Administration, Comprehensive Truck Size and Weight Study, Vol. II: Issues and Background, Report FHWA-PL-00-029, Washington, DC, 2000. https://rosap.ntl.bts.gov/view/dot/4747</w:t>
      </w:r>
    </w:p>
    <w:p>
      <w:pPr>
        <w:pStyle w:val="BodyText"/>
      </w:pPr>
      <w:r>
        <w:t xml:space="preserve">[11] F. Moses, Weigh-in-motion system using instrumented bridges, Transp. Eng. J. ASCE 105 (3) (1979) 233–249. https://doi.org/10.1061/TPEJAN.0000783</w:t>
      </w:r>
    </w:p>
    <w:p>
      <w:pPr>
        <w:pStyle w:val="BodyText"/>
      </w:pPr>
      <w:r>
        <w:t xml:space="preserve">[12] E.J. OBrien, M.J. Quilligan, R. Karoumi, Calculating an influence line from direct measurements, Proc. Inst. Civ. Eng. Bridge Eng. 159 (1) (2006) 31–34. https://doi.org/10.1680/bren.2006.159.1.31</w:t>
      </w:r>
    </w:p>
    <w:p>
      <w:pPr>
        <w:pStyle w:val="BodyText"/>
      </w:pPr>
      <w:r>
        <w:t xml:space="preserve">[13] E.J. OBrien, C.W. Rowley, A. González, M.F. Green, A regularised solution to the bridge weigh-in-motion equations, Int. J. Heavy Veh. Syst. 16 (3) (2009) 310–327. https://doi.org/10.1504/IJHVS.2009.027135</w:t>
      </w:r>
    </w:p>
    <w:p>
      <w:pPr>
        <w:pStyle w:val="BodyText"/>
      </w:pPr>
      <w:r>
        <w:t xml:space="preserve">[14] A. Žnidarič, J. Kalin, M. Kreslin, Improved accuracy and robustness of bridge weigh-in-motion systems, Struct. Infrastruct. Eng. 14 (4) (2018) 412–424. https://doi.org/10.1080/15732479.2017.1406958</w:t>
      </w:r>
    </w:p>
    <w:p>
      <w:pPr>
        <w:pStyle w:val="BodyText"/>
      </w:pPr>
      <w:r>
        <w:t xml:space="preserve">[15] Y. Yu, C.S. Cai, L. Deng, State-of-the-art review on bridge weigh-in-motion technology, Adv. Struct. Eng. 19 (9) (2016) 1514–1530. https://doi.org/10.1177/1369433216655922</w:t>
      </w:r>
    </w:p>
    <w:p>
      <w:pPr>
        <w:pStyle w:val="BodyText"/>
      </w:pPr>
      <w:r>
        <w:t xml:space="preserve">[16] T. Ojio, C. Carey, E.J. OBrien, C. Doherty, S.E. Taylor, Contactless bridge weigh-in-motion, J. Bridge Eng. 21 (7) (2016) 04016032. https://doi.org/10.1061/(ASCE)BE.1943-5592.0000776</w:t>
      </w:r>
    </w:p>
    <w:p>
      <w:pPr>
        <w:pStyle w:val="BodyText"/>
      </w:pPr>
      <w:r>
        <w:t xml:space="preserve">[17] W. He, T. Ling, E.J. OBrien, et al., Virtual axle method for bridge weigh-in-motion systems requiring no axle detector, J. Bridge Eng. 24 (9) (2019) 04019086. https://doi.org/10.1061/(asce)be.1943-5592.0001474</w:t>
      </w:r>
    </w:p>
    <w:p>
      <w:pPr>
        <w:pStyle w:val="BodyText"/>
      </w:pPr>
      <w:r>
        <w:t xml:space="preserve">[18] S.S. Law, T.H.T. Chan, Q.H. Zeng, Moving force identification: a time domain method, J. Sound Vib. 201 (1) (1997) 1–22. https://doi.org/10.1006/jsvi.1996.0774</w:t>
      </w:r>
    </w:p>
    <w:p>
      <w:pPr>
        <w:pStyle w:val="BodyText"/>
      </w:pPr>
      <w:r>
        <w:t xml:space="preserve">[19] T.H.T. Chan, S.S. Law, T.H. Yung, X.R. Yuan, An interpretive method for moving force identification, J. Sound Vib. 219 (3) (1999) 503–524. https://doi.org/10.1006/jsvi.1998.1904</w:t>
      </w:r>
    </w:p>
    <w:p>
      <w:pPr>
        <w:pStyle w:val="BodyText"/>
      </w:pPr>
      <w:r>
        <w:t xml:space="preserve">[20] S.S. Law, X.Q. Zhu, Study on different beam models in moving force identification, J. Sound Vib. 234 (4) (2000) 661–679. https://doi.org/10.1006/jsvi.2000.2867</w:t>
      </w:r>
    </w:p>
    <w:p>
      <w:pPr>
        <w:pStyle w:val="BodyText"/>
      </w:pPr>
      <w:r>
        <w:t xml:space="preserve">[21] X.Q. Zhu, S.S. Law, Moving load identification on multi-span continuous bridges with elastic bearings, Mech. Syst. Signal Process. 20 (7) (2006) 1759–1782. https://doi.org/10.1016/j.ymssp.2005.06.004</w:t>
      </w:r>
    </w:p>
    <w:p>
      <w:pPr>
        <w:pStyle w:val="BodyText"/>
      </w:pPr>
      <w:r>
        <w:t xml:space="preserve">[22] L. Deng, C.S. Cai, Identification of dynamic vehicular axle loads: theory and simulations, J. Vib. Control 16 (14) (2010) 2167–2194. https://doi.org/10.1177/1077546309351221</w:t>
      </w:r>
    </w:p>
    <w:p>
      <w:pPr>
        <w:pStyle w:val="BodyText"/>
      </w:pPr>
      <w:r>
        <w:t xml:space="preserve">[23] Z. Chen, Y. Fang, X. Kong, L. Deng, Identification of multi-axle vehicle loads on beam type bridge based on minimal residual norm steepest descent method, J. Sound Vib. 563 (2023) 117866. https://doi.org/10.1016/j.jsv.2023.117866</w:t>
      </w:r>
    </w:p>
    <w:p>
      <w:pPr>
        <w:pStyle w:val="BodyText"/>
      </w:pPr>
      <w:r>
        <w:t xml:space="preserve">[24] S. Luo, J. Jiang, F. Zhang, M.S. Mohamed, Distributed dynamic load identification of beam structures using a Bayesian method, Appl. Sci. 13 (4) (2023) 2537. https://doi.org/10.3390/app13042537</w:t>
      </w:r>
    </w:p>
    <w:p>
      <w:pPr>
        <w:pStyle w:val="BodyText"/>
      </w:pPr>
      <w:r>
        <w:t xml:space="preserve">[25] J. Jiang, S. Luo, M.S. Mohamed, Z. Liang, Real-time identification of dynamic loads using inverse solution and Kalman filter, Appl. Sci. 10 (19) (2020) 6767. https://doi.org/10.3390/app10196767</w:t>
      </w:r>
    </w:p>
    <w:p>
      <w:pPr>
        <w:pStyle w:val="BodyText"/>
      </w:pPr>
      <w:r>
        <w:t xml:space="preserve">[26] T. Kapoor, H. Wang, A. Núñez, R. Dollevoet, Physics-informed machine learning for moving load problems, J. Phys. Conf. Ser. 2647 (2024) 152003. https://doi.org/10.1088/1742-6596/2647/15/152003</w:t>
      </w:r>
    </w:p>
    <w:p>
      <w:pPr>
        <w:pStyle w:val="BodyText"/>
      </w:pPr>
      <w:r>
        <w:t xml:space="preserve">[27] T. Ojio, K. Yamada, Bridge weigh-in-motion systems using stringers of plate girder bridges, in: Proceedings of the Third International Conference on Weigh-in-Motion (ICWIM3), Orlando, FL, 2002, pp. 209–218.</w:t>
      </w:r>
    </w:p>
    <w:p>
      <w:pPr>
        <w:pStyle w:val="BodyText"/>
      </w:pPr>
      <w:r>
        <w:t xml:space="preserve">[28] A.J. Cardini, J.T. DeWolf, Implementation of a long-term bridge weigh-in-motion system for a steel girder bridge in the interstate highway system, J. Bridge Eng. 14 (6) (2009) 418–423. https://doi.org/10.1061/(ASCE)1084-0702(2009)14:6(418)</w:t>
      </w:r>
    </w:p>
    <w:p>
      <w:pPr>
        <w:pStyle w:val="BodyText"/>
      </w:pPr>
      <w:r>
        <w:t xml:space="preserve">[29] K. Helmi, B. Bakht, A. Mufti, Accurate measurements of gross vehicle weight through bridge weigh-in-motion: a case study, J. Civ. Struct. Health Monit. 4 (3) (2014) 195–208. https://doi.org/10.1007/s13349-014-0076-5</w:t>
      </w:r>
    </w:p>
    <w:p>
      <w:pPr>
        <w:pStyle w:val="BodyText"/>
      </w:pPr>
      <w:r>
        <w:t xml:space="preserve">[30] M. Lydon, S.E. Taylor, D. Robinson, A. Mufti, E.J. OBrien, Recent developments in bridge weigh in motion (B-WIM), J. Civ. Struct. Health Monit. 6 (1) (2016) 69–81. https://doi.org/10.1007/s13349-015-0119-6</w:t>
      </w:r>
    </w:p>
    <w:p>
      <w:pPr>
        <w:pStyle w:val="BodyText"/>
      </w:pPr>
      <w:r>
        <w:t xml:space="preserve">[31] J. Yang, P. Hou, C. Yang, Study on the method of moving load identification based on strain influence line, Appl. Sci. 11 (2) (2021) 853. https://doi.org/10.3390/app11020853</w:t>
      </w:r>
    </w:p>
    <w:p>
      <w:pPr>
        <w:pStyle w:val="BodyText"/>
      </w:pPr>
      <w:r>
        <w:t xml:space="preserve">[32] J. Yang, P. Hou, C. Yang, Investigation on the moving load identification for bridges based on long-gauge strain sensing and skew-Laplace fitting, Smart Mater. Struct. 32 (8) (2023) 085026. https://doi.org/10.1088/1361-665x/ace4ac</w:t>
      </w:r>
    </w:p>
    <w:p>
      <w:pPr>
        <w:pStyle w:val="BodyText"/>
      </w:pPr>
      <w:r>
        <w:t xml:space="preserve">[33] J. Zhu, C. Wang, T. Qi, Y. Zhou, Vehicle load identification on orthotropic steel box beam bridge based on the strain response area, Appl. Sci. 12 (23) (2022) 12394. https://doi.org/10.3390/app122312394</w:t>
      </w:r>
    </w:p>
    <w:p>
      <w:pPr>
        <w:pStyle w:val="BodyText"/>
      </w:pPr>
      <w:r>
        <w:t xml:space="preserve">[34] P. Agüero-Barrantes, R.E. Christenson, S. Lobo-Aguilar, Utilizing Kriging metamodeling to provide practical and effective bridge weigh-in-motion, J. Bridge Eng. 28 (2) (2023) 04022138. https://doi.org/10.1061/jbenf2.beeng-5760</w:t>
      </w:r>
    </w:p>
    <w:p>
      <w:pPr>
        <w:pStyle w:val="BodyText"/>
      </w:pPr>
      <w:r>
        <w:t xml:space="preserve">[35] P. Agüero-Barrantes, S. Lobo-Aguilar, R.E. Christenson, Sparse sensing bridge weigh-in-motion for single-span bridges, Métodos y Materiales 11 (2021) 43–53. https://doi.org/10.15517/mym.v11i0.46400</w:t>
      </w:r>
    </w:p>
    <w:p>
      <w:pPr>
        <w:pStyle w:val="BodyText"/>
      </w:pPr>
      <w:r>
        <w:t xml:space="preserve">[36] N. Zolghadri, M.W. Halling, N.R. Johnson, P.J. Barr, Field verification of simplified bridge weigh-in-motion techniques, J. Bridge Eng. 21 (6) (2016) 04016063. https://doi.org/10.1061/(asce)be.1943-5592.0000930</w:t>
      </w:r>
    </w:p>
    <w:p>
      <w:pPr>
        <w:pStyle w:val="BodyText"/>
      </w:pPr>
      <w:r>
        <w:t xml:space="preserve">[37] S. Shi, M. Yarnold, S. Hurlebaus, J. Mander, Evaluation of a load cell-based bridge weigh-in-motion system, Transp. Res. Rec. 2679 (2) (2025) 535–549. https://doi.org/10.1177/03611981241263336</w:t>
      </w:r>
    </w:p>
    <w:p>
      <w:pPr>
        <w:pStyle w:val="BodyText"/>
      </w:pPr>
      <w:r>
        <w:t xml:space="preserve">[38] A. Döring, M. Vogelbacher, O. Schneider, Investigations of ratio-based integrated influence lines as features for bridge-damage detection, Infrastructures 8 (4) (2023) 72. https://doi.org/10.3390/infrastructures8040072</w:t>
      </w:r>
    </w:p>
    <w:p>
      <w:pPr>
        <w:pStyle w:val="BodyText"/>
      </w:pPr>
      <w:r>
        <w:t xml:space="preserve">[39] D. Huang, Y. Lu, Influence line theory supported single sensor-based strain feature for bridge defect diagnosis, Struct. Health Monit. (2025), online first. https://doi.org/10.1177/14759217251376931</w:t>
      </w:r>
    </w:p>
    <w:p>
      <w:pPr>
        <w:pStyle w:val="BodyText"/>
      </w:pPr>
      <w:r>
        <w:t xml:space="preserve">[40] Q.B. Nguyen, T. Hoang, H.S. Nguyen, [Determination of the load applied on a simply supported beam based on measured deflection data], J. Sci. Technol. Civ. Eng. (HUCE) 18 (2V) (2024) 61–71 (in Vietnamese). https://doi.org/10.31814/stce.huce2024-18(2V)-05</w:t>
      </w:r>
    </w:p>
    <w:p>
      <w:pPr>
        <w:pStyle w:val="BodyText"/>
      </w:pPr>
      <w:r>
        <w:t xml:space="preserve">[41] M.T.A. Chaudhary, M. Morgese, T.W. Taylor, F. Ansari, Method and application for influence-line-free distributed detection of gross vehicle weights in bridges, Structures 73 (2025) 108298. https://doi.org/10.1016/j.istruc.2025.108298</w:t>
      </w:r>
    </w:p>
    <w:p>
      <w:pPr>
        <w:pStyle w:val="BodyText"/>
      </w:pPr>
      <w:r>
        <w:t xml:space="preserve">[42] H. Wu, H. Zhao, J. Liu, Z. Hu, A filtering-based bridge weigh-in-motion system on a continuous multi-girder bridge considering the influence lines of different lanes, Front. Struct. Civ. Eng. 14 (5) (2020) 1232–1246. https://doi.org/10.1007/s11709-020-0653-0</w:t>
      </w:r>
    </w:p>
    <w:p>
      <w:pPr>
        <w:pStyle w:val="BodyText"/>
      </w:pPr>
      <w:r>
        <w:t xml:space="preserve">[43] A. Moghadam, M. AlHamaydeh, R. Sarlo, Bridge-weigh-in-motion approach for simultaneous multiple vehicles on concrete-box-girder bridges, Autom. Constr. 137 (2022) 104179. https://doi.org/10.1016/j.autcon.2022.104179</w:t>
      </w:r>
    </w:p>
    <w:p>
      <w:pPr>
        <w:pStyle w:val="BodyText"/>
      </w:pPr>
      <w:r>
        <w:t xml:space="preserve">[44] A. Moghadam, M. AlHamaydeh, R. Sarlo, Nothing-on-road bridge-weigh-in-motion used for long-span, concrete-box-girder bridges: an experimental case study, J. Struct. Integr. Maint. 8 (2) (2023) 79–90. https://doi.org/10.1080/24705314.2023.2165606</w:t>
      </w:r>
    </w:p>
    <w:p>
      <w:pPr>
        <w:pStyle w:val="BodyText"/>
      </w:pPr>
      <w:r>
        <w:t xml:space="preserve">[45] A. Moghadam, M. AlHamaydeh, R. Sarlo, Dual-purpose procedure for bridge health monitoring and weigh-in-motion used for multiple-vehicle events, Autom. Constr. 148 (2023) 104768. https://doi.org/10.1016/j.autcon.2023.104768</w:t>
      </w:r>
    </w:p>
    <w:p>
      <w:pPr>
        <w:pStyle w:val="BodyText"/>
      </w:pPr>
      <w:r>
        <w:t xml:space="preserve">[46] C. Zhou, C. Demartino, Y. Narazaki, Y. Xu, E. Chatzi, B.F. Spencer, Optimal sensor placement for bridge weigh-in-motion using an augmented Kalman filter, Mech. Syst. Signal Process. 241 (2025) 113522. https://doi.org/10.1016/j.ymssp.2025.113522</w:t>
      </w:r>
    </w:p>
    <w:p>
      <w:pPr>
        <w:pStyle w:val="BodyText"/>
      </w:pPr>
      <w:r>
        <w:t xml:space="preserve">[47] J. Zhang, Y. Liu, X. Fan, An AR(1)-Tikhonov-SVD-GCV framework for stochastic moving load identification driven by bridge multi-point deflection data, Structures 88 (2026) 111844. https://doi.org/10.1016/j.istruc.2026.111844</w:t>
      </w:r>
    </w:p>
    <w:p>
      <w:pPr>
        <w:pStyle w:val="BodyText"/>
      </w:pPr>
      <w:r>
        <w:t xml:space="preserve">[48] Z. Shen, W. Peng, X. Zhang, et al., A lightweight weigh-in-motion system based on vehicle-induced bridge deflection and impact dynamic responses, Int. J. Struct. Stab. Dyn. (2026), online. https://doi.org/10.1142/s0219455427503664</w:t>
      </w:r>
    </w:p>
    <w:p>
      <w:pPr>
        <w:pStyle w:val="BodyText"/>
      </w:pPr>
      <w:r>
        <w:t xml:space="preserve">[49] Y. Zhou, Z. Feng, S.-K. Di, Z.-J. Jia, A novel approach for bending stiffness inversion and rapid evaluation of continuous beam bridges based on a deflection influence line, Struct. Control Health Monit. 2026 (2026) 1361157. https://doi.org/10.1155/stc/1361157</w:t>
      </w:r>
    </w:p>
    <w:p>
      <w:pPr>
        <w:pStyle w:val="BodyText"/>
      </w:pPr>
      <w:r>
        <w:t xml:space="preserve">[50] A. Moghadam, R. Sarlo, Nothing-on-Road Bridge-Weigh-In-Motion (NOR-BWIM) Dataset, version 1, University Libraries, Virginia Tech, figshare, 2024. https://doi.org/10.7294/26880898.v1</w:t>
      </w:r>
    </w:p>
    <w:p>
      <w:pPr>
        <w:pStyle w:val="BodyText"/>
      </w:pPr>
      <w:r>
        <w:t xml:space="preserve">[51] A. Moghadam, Integration of Traffic and Structural Health Monitoring Systems Using a Novel Nothing-On-Road (NOR) Bridge-Weigh-In-Motion (BWIM) System, PhD dissertation, Virginia Polytechnic Institute and State University, Blacksburg, VA, 2022. http://hdl.handle.net/10919/111390</w:t>
      </w:r>
    </w:p>
    <w:p>
      <w:pPr>
        <w:pStyle w:val="BodyText"/>
      </w:pPr>
      <w:r>
        <w:t xml:space="preserve">[52] A. Ghali, A.M. Neville, T.G. Brown, Structural Analysis: A Unified Classical and Matrix Approach, CRC Press, Boca Raton, 2017. https://doi.org/10.1201/9781315273006</w:t>
      </w:r>
    </w:p>
    <w:p>
      <w:pPr>
        <w:pStyle w:val="BodyText"/>
      </w:pPr>
      <w:r>
        <w:t xml:space="preserve">[53] L. Frýba, Vibration of Solids and Structures under Moving Loads, 3rd ed., Thomas Telford, London, 1999.</w:t>
      </w:r>
    </w:p>
    <w:p>
      <w:pPr>
        <w:pStyle w:val="BodyText"/>
      </w:pPr>
      <w:r>
        <w:t xml:space="preserve">[54] H. Sohn, Effects of environmental and operational variability on structural health monitoring, Philos. Trans. R. Soc. A 365 (1851) (2007) 539–560. https://doi.org/10.1098/rsta.2006.1935</w:t>
      </w:r>
    </w:p>
    <w:p>
      <w:pPr>
        <w:pStyle w:val="BodyText"/>
      </w:pPr>
      <w:r>
        <w:t xml:space="preserve">[55] E.J. Cross, K.Y. Koo, J.M.W. Brownjohn, K. Worden, Long-term monitoring and data analysis of the Tamar Bridge, Mech. Syst. Signal Process. 35 (1–2) (2013) 16–34. https://doi.org/10.1016/j.ymssp.2012.08.026</w:t>
      </w:r>
    </w:p>
    <w:p>
      <w:pPr>
        <w:pStyle w:val="BodyText"/>
      </w:pPr>
      <w:r>
        <w:t xml:space="preserve">[56] EN 1991-2:2003, Eurocode 1: Actions on Structures – Part 2: Traffic Loads on Bridges, CEN, Brussels, 2003.</w:t>
      </w:r>
    </w:p>
    <w:p>
      <w:pPr>
        <w:pStyle w:val="BodyText"/>
      </w:pPr>
      <w:r>
        <w:t xml:space="preserve">[57] AASHTO, LRFD Bridge Design Specifications, 10th ed., American Association of State Highway and Transportation Officials, Washington, DC, 2024.</w:t>
      </w:r>
    </w:p>
    <w:bookmarkEnd w:id="61"/>
    <w:bookmarkStart w:id="83" w:name="figures"/>
    <w:p>
      <w:pPr>
        <w:pStyle w:val="Heading2"/>
      </w:pPr>
      <w:r>
        <w:t xml:space="preserve">Figures</w:t>
      </w:r>
    </w:p>
    <w:p>
      <w:pPr>
        <w:pStyle w:val="Figureplaceholder"/>
      </w:pPr>
      <w:r>
        <w:t xml:space="preserve">[Figure 1 to be inserted: source file supplied by the authors]</w:t>
      </w:r>
    </w:p>
    <w:p>
      <w:pPr>
        <w:pStyle w:val="BodyText"/>
      </w:pPr>
      <w:r>
        <w:rPr>
          <w:bCs/>
          <w:b/>
        </w:rPr>
        <w:t xml:space="preserve">Fig. 1.</w:t>
      </w:r>
      <w:r>
        <w:t xml:space="preserve"> </w:t>
      </w:r>
      <w:r>
        <w:t xml:space="preserve">Continuous beams considered: (a) two-span beam with instrumented span</w:t>
      </w:r>
      <w:r>
        <w:t xml:space="preserve"> </w:t>
      </w:r>
      <m:oMath>
        <m:sSub>
          <m:e>
            <m:r>
              <m:t>L</m:t>
            </m:r>
          </m:e>
          <m:sub>
            <m:r>
              <m:t>1</m:t>
            </m:r>
          </m:sub>
        </m:sSub>
      </m:oMath>
      <w:r>
        <w:t xml:space="preserve">, adjacent span</w:t>
      </w:r>
      <w:r>
        <w:t xml:space="preserve"> </w:t>
      </w:r>
      <m:oMath>
        <m:sSub>
          <m:e>
            <m:r>
              <m:t>L</m:t>
            </m:r>
          </m:e>
          <m:sub>
            <m:r>
              <m:t>2</m:t>
            </m:r>
          </m:sub>
        </m:sSub>
        <m:r>
          <m:rPr>
            <m:sty m:val="p"/>
          </m:rPr>
          <m:t>=</m:t>
        </m:r>
        <m:sSub>
          <m:e>
            <m:r>
              <m:t>ρ</m:t>
            </m:r>
          </m:e>
          <m:sub>
            <m:r>
              <m:t>L</m:t>
            </m:r>
          </m:sub>
        </m:sSub>
        <m:sSub>
          <m:e>
            <m:r>
              <m:t>L</m:t>
            </m:r>
          </m:e>
          <m:sub>
            <m:r>
              <m:t>1</m:t>
            </m:r>
          </m:sub>
        </m:sSub>
      </m:oMath>
      <w:r>
        <w:t xml:space="preserve"> </w:t>
      </w:r>
      <w:r>
        <w:t xml:space="preserve">and sensor at</w:t>
      </w:r>
      <w:r>
        <w:t xml:space="preserve"> </w:t>
      </w:r>
      <m:oMath>
        <m:r>
          <m:t>ξ</m:t>
        </m:r>
        <m:sSub>
          <m:e>
            <m:r>
              <m:t>L</m:t>
            </m:r>
          </m:e>
          <m:sub>
            <m:r>
              <m:t>1</m:t>
            </m:r>
          </m:sub>
        </m:sSub>
      </m:oMath>
      <w:r>
        <w:t xml:space="preserve">; (b) symmetric three-span beam with side spans</w:t>
      </w:r>
      <w:r>
        <w:t xml:space="preserve"> </w:t>
      </w:r>
      <m:oMath>
        <m:sSub>
          <m:e>
            <m:r>
              <m:t>L</m:t>
            </m:r>
          </m:e>
          <m:sub>
            <m:r>
              <m:t>s</m:t>
            </m:r>
          </m:sub>
        </m:sSub>
      </m:oMath>
      <w:r>
        <w:t xml:space="preserve">, main span</w:t>
      </w:r>
      <w:r>
        <w:t xml:space="preserve"> </w:t>
      </w:r>
      <m:oMath>
        <m:sSub>
          <m:e>
            <m:r>
              <m:t>L</m:t>
            </m:r>
          </m:e>
          <m:sub>
            <m:r>
              <m:t>m</m:t>
            </m:r>
          </m:sub>
        </m:sSub>
        <m:r>
          <m:rPr>
            <m:sty m:val="p"/>
          </m:rPr>
          <m:t>=</m:t>
        </m:r>
        <m:r>
          <m:t>β</m:t>
        </m:r>
        <m:sSub>
          <m:e>
            <m:r>
              <m:t>L</m:t>
            </m:r>
          </m:e>
          <m:sub>
            <m:r>
              <m:t>s</m:t>
            </m:r>
          </m:sub>
        </m:sSub>
      </m:oMath>
      <w:r>
        <w:t xml:space="preserve"> </w:t>
      </w:r>
      <w:r>
        <w:t xml:space="preserve">and side-span sensor at</w:t>
      </w:r>
      <w:r>
        <w:t xml:space="preserve"> </w:t>
      </w:r>
      <m:oMath>
        <m:r>
          <m:t>ξ</m:t>
        </m:r>
        <m:sSub>
          <m:e>
            <m:r>
              <m:t>L</m:t>
            </m:r>
          </m:e>
          <m:sub>
            <m:r>
              <m:t>s</m:t>
            </m:r>
          </m:sub>
        </m:sSub>
      </m:oMath>
      <w:r>
        <w:t xml:space="preserve">.</w:t>
      </w:r>
    </w:p>
    <w:p>
      <w:pPr>
        <w:pStyle w:val="BodyText"/>
      </w:pPr>
      <w:r>
        <w:drawing>
          <wp:inline>
            <wp:extent cx="5753100" cy="2363323"/>
            <wp:effectExtent b="0" l="0" r="0" t="0"/>
            <wp:docPr descr="" title="" id="63" name="Picture"/>
            <a:graphic>
              <a:graphicData uri="http://schemas.openxmlformats.org/drawingml/2006/picture">
                <pic:pic>
                  <pic:nvPicPr>
                    <pic:cNvPr descr="/home/user/SHM-Paper1-1D/manuscript/v3/figures/Fig2_obs_map_3span.png" id="64" name="Picture"/>
                    <pic:cNvPicPr>
                      <a:picLocks noChangeArrowheads="1" noChangeAspect="1"/>
                    </pic:cNvPicPr>
                  </pic:nvPicPr>
                  <pic:blipFill>
                    <a:blip r:embed="rId62"/>
                    <a:stretch>
                      <a:fillRect/>
                    </a:stretch>
                  </pic:blipFill>
                  <pic:spPr bwMode="auto">
                    <a:xfrm>
                      <a:off x="0" y="0"/>
                      <a:ext cx="5753100" cy="2363323"/>
                    </a:xfrm>
                    <a:prstGeom prst="rect">
                      <a:avLst/>
                    </a:prstGeom>
                    <a:noFill/>
                    <a:ln w="9525">
                      <a:noFill/>
                      <a:headEnd/>
                      <a:tailEnd/>
                    </a:ln>
                  </pic:spPr>
                </pic:pic>
              </a:graphicData>
            </a:graphic>
          </wp:inline>
        </w:drawing>
      </w:r>
    </w:p>
    <w:p>
      <w:pPr>
        <w:pStyle w:val="BodyText"/>
      </w:pPr>
      <w:r>
        <w:rPr>
          <w:bCs/>
          <w:b/>
        </w:rPr>
        <w:t xml:space="preserve">Fig. 2.</w:t>
      </w:r>
      <w:r>
        <w:t xml:space="preserve"> </w:t>
      </w:r>
      <w:r>
        <w:t xml:space="preserve">Deflection observability of a three-span beam with uniform rigidity: (a) symmetric beam,</w:t>
      </w:r>
      <w:r>
        <w:t xml:space="preserve"> </w:t>
      </w:r>
      <m:oMath>
        <m:sSub>
          <m:e>
            <m:r>
              <m:t>N</m:t>
            </m:r>
          </m:e>
          <m:sub>
            <m:r>
              <m:t>w</m:t>
            </m:r>
          </m:sub>
        </m:sSub>
      </m:oMath>
      <w:r>
        <w:t xml:space="preserve"> </w:t>
      </w:r>
      <w:r>
        <w:t xml:space="preserve">over</w:t>
      </w:r>
      <w:r>
        <w:t xml:space="preserve"> </w:t>
      </w:r>
      <m:oMath>
        <m:r>
          <m:t>β</m:t>
        </m:r>
      </m:oMath>
      <w:r>
        <w:t xml:space="preserve"> </w:t>
      </w:r>
      <w:r>
        <w:t xml:space="preserve">and the side-span sensor position</w:t>
      </w:r>
      <w:r>
        <w:t xml:space="preserve"> </w:t>
      </w:r>
      <m:oMath>
        <m:r>
          <m:t>ξ</m:t>
        </m:r>
      </m:oMath>
      <w:r>
        <w:t xml:space="preserve">, with the blind locus (thick line), the near-blind band (hatched), the optimum</w:t>
      </w:r>
      <w:r>
        <w:t xml:space="preserve"> </w:t>
      </w:r>
      <m:oMath>
        <m:sSup>
          <m:e>
            <m:r>
              <m:t>ξ</m:t>
            </m:r>
          </m:e>
          <m:sup>
            <m:r>
              <m:rPr>
                <m:sty m:val="p"/>
              </m:rPr>
              <m:t>*</m:t>
            </m:r>
          </m:sup>
        </m:sSup>
        <m:d>
          <m:dPr>
            <m:begChr m:val="("/>
            <m:endChr m:val=")"/>
            <m:sepChr m:val=""/>
            <m:grow/>
          </m:dPr>
          <m:e>
            <m:r>
              <m:t>β</m:t>
            </m:r>
          </m:e>
        </m:d>
      </m:oMath>
      <w:r>
        <w:t xml:space="preserve"> </w:t>
      </w:r>
      <w:r>
        <w:t xml:space="preserve">(dashed) and the Cầu Mây layout with a mid side-span sensor (open circle); (b) asymmetric beam, sensor at mid span 1, over</w:t>
      </w:r>
      <w:r>
        <w:t xml:space="preserve"> </w:t>
      </w:r>
      <m:oMath>
        <m:sSub>
          <m:e>
            <m:r>
              <m:t>L</m:t>
            </m:r>
          </m:e>
          <m:sub>
            <m:r>
              <m:t>1</m:t>
            </m:r>
          </m:sub>
        </m:sSub>
        <m:r>
          <m:rPr>
            <m:sty m:val="p"/>
          </m:rPr>
          <m:t>/</m:t>
        </m:r>
        <m:sSub>
          <m:e>
            <m:r>
              <m:t>L</m:t>
            </m:r>
          </m:e>
          <m:sub>
            <m:r>
              <m:t>2</m:t>
            </m:r>
          </m:sub>
        </m:sSub>
      </m:oMath>
      <w:r>
        <w:t xml:space="preserve"> </w:t>
      </w:r>
      <w:r>
        <w:t xml:space="preserve">and</w:t>
      </w:r>
      <w:r>
        <w:t xml:space="preserve"> </w:t>
      </w:r>
      <m:oMath>
        <m:sSub>
          <m:e>
            <m:r>
              <m:t>L</m:t>
            </m:r>
          </m:e>
          <m:sub>
            <m:r>
              <m:t>3</m:t>
            </m:r>
          </m:sub>
        </m:sSub>
        <m:r>
          <m:rPr>
            <m:sty m:val="p"/>
          </m:rPr>
          <m:t>/</m:t>
        </m:r>
        <m:sSub>
          <m:e>
            <m:r>
              <m:t>L</m:t>
            </m:r>
          </m:e>
          <m:sub>
            <m:r>
              <m:t>2</m:t>
            </m:r>
          </m:sub>
        </m:sSub>
      </m:oMath>
      <w:r>
        <w:t xml:space="preserve">. Colours are clipped at ±1.5.</w:t>
      </w:r>
    </w:p>
    <w:p>
      <w:pPr>
        <w:pStyle w:val="BodyText"/>
      </w:pPr>
      <w:r>
        <w:drawing>
          <wp:inline>
            <wp:extent cx="5753100" cy="2121274"/>
            <wp:effectExtent b="0" l="0" r="0" t="0"/>
            <wp:docPr descr="" title="" id="66" name="Picture"/>
            <a:graphic>
              <a:graphicData uri="http://schemas.openxmlformats.org/drawingml/2006/picture">
                <pic:pic>
                  <pic:nvPicPr>
                    <pic:cNvPr descr="/home/user/SHM-Paper1-1D/manuscript/v3/figures/Fig3_channels_prismatic.png" id="67" name="Picture"/>
                    <pic:cNvPicPr>
                      <a:picLocks noChangeArrowheads="1" noChangeAspect="1"/>
                    </pic:cNvPicPr>
                  </pic:nvPicPr>
                  <pic:blipFill>
                    <a:blip r:embed="rId65"/>
                    <a:stretch>
                      <a:fillRect/>
                    </a:stretch>
                  </pic:blipFill>
                  <pic:spPr bwMode="auto">
                    <a:xfrm>
                      <a:off x="0" y="0"/>
                      <a:ext cx="5753100" cy="2121274"/>
                    </a:xfrm>
                    <a:prstGeom prst="rect">
                      <a:avLst/>
                    </a:prstGeom>
                    <a:noFill/>
                    <a:ln w="9525">
                      <a:noFill/>
                      <a:headEnd/>
                      <a:tailEnd/>
                    </a:ln>
                  </pic:spPr>
                </pic:pic>
              </a:graphicData>
            </a:graphic>
          </wp:inline>
        </w:drawing>
      </w:r>
    </w:p>
    <w:p>
      <w:pPr>
        <w:pStyle w:val="BodyText"/>
      </w:pPr>
      <w:r>
        <w:rPr>
          <w:bCs/>
          <w:b/>
        </w:rPr>
        <w:t xml:space="preserve">Fig. 3.</w:t>
      </w:r>
      <w:r>
        <w:t xml:space="preserve"> </w:t>
      </w:r>
      <w:r>
        <w:t xml:space="preserve">Indicators of four channels along prismatic girders, each normalised to the simply supported reference of its own span: deflection</w:t>
      </w:r>
      <w:r>
        <w:t xml:space="preserve"> </w:t>
      </w:r>
      <m:oMath>
        <m:sSub>
          <m:e>
            <m:r>
              <m:t>N</m:t>
            </m:r>
          </m:e>
          <m:sub>
            <m:r>
              <m:t>w</m:t>
            </m:r>
          </m:sub>
        </m:sSub>
      </m:oMath>
      <w:r>
        <w:t xml:space="preserve">, rotation</w:t>
      </w:r>
      <w:r>
        <w:t xml:space="preserve"> </w:t>
      </w:r>
      <m:oMath>
        <m:sSub>
          <m:e>
            <m:r>
              <m:t>N</m:t>
            </m:r>
          </m:e>
          <m:sub>
            <m:r>
              <m:t>θ</m:t>
            </m:r>
          </m:sub>
        </m:sSub>
      </m:oMath>
      <w:r>
        <w:t xml:space="preserve">, strain or moment</w:t>
      </w:r>
      <w:r>
        <w:t xml:space="preserve"> </w:t>
      </w:r>
      <m:oMath>
        <m:sSub>
          <m:e>
            <m:r>
              <m:t>N</m:t>
            </m:r>
          </m:e>
          <m:sub>
            <m:r>
              <m:t>M</m:t>
            </m:r>
          </m:sub>
        </m:sSub>
      </m:oMath>
      <w:r>
        <w:t xml:space="preserve"> </w:t>
      </w:r>
      <w:r>
        <w:t xml:space="preserve">and shear</w:t>
      </w:r>
      <w:r>
        <w:t xml:space="preserve"> </w:t>
      </w:r>
      <m:oMath>
        <m:sSub>
          <m:e>
            <m:r>
              <m:t>N</m:t>
            </m:r>
          </m:e>
          <m:sub>
            <m:r>
              <m:t>V</m:t>
            </m:r>
          </m:sub>
        </m:sSub>
      </m:oMath>
      <w:r>
        <w:t xml:space="preserve">. (a) Equal two-span beam; (b) symmetric three-span beam with</w:t>
      </w:r>
      <w:r>
        <w:t xml:space="preserve"> </w:t>
      </w:r>
      <m:oMath>
        <m:r>
          <m:t>β</m:t>
        </m:r>
        <m:r>
          <m:rPr>
            <m:sty m:val="p"/>
          </m:rPr>
          <m:t>=</m:t>
        </m:r>
        <m:r>
          <m:t>1.636</m:t>
        </m:r>
      </m:oMath>
      <w:r>
        <w:t xml:space="preserve">. The grey band marks</w:t>
      </w:r>
      <w:r>
        <w:t xml:space="preserve"> </w:t>
      </w:r>
      <m:oMath>
        <m:d>
          <m:dPr>
            <m:begChr m:val="|"/>
            <m:endChr m:val="|"/>
            <m:sepChr m:val=""/>
            <m:grow/>
          </m:dPr>
          <m:e>
            <m:r>
              <m:t>N</m:t>
            </m:r>
          </m:e>
        </m:d>
        <m:r>
          <m:rPr>
            <m:sty m:val="p"/>
          </m:rPr>
          <m:t>&lt;</m:t>
        </m:r>
        <m:r>
          <m:t>0.2</m:t>
        </m:r>
      </m:oMath>
      <w:r>
        <w:t xml:space="preserve">.</w:t>
      </w:r>
    </w:p>
    <w:p>
      <w:pPr>
        <w:pStyle w:val="BodyText"/>
      </w:pPr>
      <w:r>
        <w:drawing>
          <wp:inline>
            <wp:extent cx="5753100" cy="2056210"/>
            <wp:effectExtent b="0" l="0" r="0" t="0"/>
            <wp:docPr descr="" title="" id="69" name="Picture"/>
            <a:graphic>
              <a:graphicData uri="http://schemas.openxmlformats.org/drawingml/2006/picture">
                <pic:pic>
                  <pic:nvPicPr>
                    <pic:cNvPr descr="/home/user/SHM-Paper1-1D/manuscript/v3/figures/Fig4_multichannel_gain.png" id="70" name="Picture"/>
                    <pic:cNvPicPr>
                      <a:picLocks noChangeArrowheads="1" noChangeAspect="1"/>
                    </pic:cNvPicPr>
                  </pic:nvPicPr>
                  <pic:blipFill>
                    <a:blip r:embed="rId68"/>
                    <a:stretch>
                      <a:fillRect/>
                    </a:stretch>
                  </pic:blipFill>
                  <pic:spPr bwMode="auto">
                    <a:xfrm>
                      <a:off x="0" y="0"/>
                      <a:ext cx="5753100" cy="2056210"/>
                    </a:xfrm>
                    <a:prstGeom prst="rect">
                      <a:avLst/>
                    </a:prstGeom>
                    <a:noFill/>
                    <a:ln w="9525">
                      <a:noFill/>
                      <a:headEnd/>
                      <a:tailEnd/>
                    </a:ln>
                  </pic:spPr>
                </pic:pic>
              </a:graphicData>
            </a:graphic>
          </wp:inline>
        </w:drawing>
      </w:r>
    </w:p>
    <w:p>
      <w:pPr>
        <w:pStyle w:val="BodyText"/>
      </w:pPr>
      <w:r>
        <w:rPr>
          <w:bCs/>
          <w:b/>
        </w:rPr>
        <w:t xml:space="preserve">Fig. 4.</w:t>
      </w:r>
      <w:r>
        <w:t xml:space="preserve"> </w:t>
      </w:r>
      <w:r>
        <w:t xml:space="preserve">Multi-channel estimation: (a) variance with two or three optimally placed sensors relative to the best single sensor, against the common-mode fraction</w:t>
      </w:r>
      <w:r>
        <w:t xml:space="preserve"> </w:t>
      </w:r>
      <m:oMath>
        <m:r>
          <m:t>ρ</m:t>
        </m:r>
      </m:oMath>
      <w:r>
        <w:t xml:space="preserve"> </w:t>
      </w:r>
      <w:r>
        <w:t xml:space="preserve">of the offset; (b) standard deviation of the load against the offset level for single sensors and three-sensor designs; (c) offset-immune pair at</w:t>
      </w:r>
      <w:r>
        <w:t xml:space="preserve"> </w:t>
      </w:r>
      <m:oMath>
        <m:r>
          <m:t>ρ</m:t>
        </m:r>
        <m:r>
          <m:rPr>
            <m:sty m:val="p"/>
          </m:rPr>
          <m:t>=</m:t>
        </m:r>
        <m:r>
          <m:t>1</m:t>
        </m:r>
      </m:oMath>
      <w:r>
        <w:t xml:space="preserve"> </w:t>
      </w:r>
      <w:r>
        <w:t xml:space="preserve">against the white-noise level. 2S-eq: equal two-span beam; 3S-b2.0: three-span beam with</w:t>
      </w:r>
      <w:r>
        <w:t xml:space="preserve"> </w:t>
      </w:r>
      <m:oMath>
        <m:r>
          <m:t>β</m:t>
        </m:r>
        <m:r>
          <m:rPr>
            <m:sty m:val="p"/>
          </m:rPr>
          <m:t>=</m:t>
        </m:r>
        <m:r>
          <m:t>2</m:t>
        </m:r>
      </m:oMath>
      <w:r>
        <w:t xml:space="preserve">; CM-A, CM-B: Cầu Mây calibrations A and B.</w:t>
      </w:r>
    </w:p>
    <w:p>
      <w:pPr>
        <w:pStyle w:val="Figureplaceholder"/>
      </w:pPr>
      <w:r>
        <w:t xml:space="preserve">[Figure 5 to be inserted: source file supplied by the authors]</w:t>
      </w:r>
    </w:p>
    <w:p>
      <w:pPr>
        <w:pStyle w:val="BodyText"/>
      </w:pPr>
      <w:r>
        <w:rPr>
          <w:bCs/>
          <w:b/>
        </w:rPr>
        <w:t xml:space="preserve">Fig. 5.</w:t>
      </w:r>
      <w:r>
        <w:t xml:space="preserve"> </w:t>
      </w:r>
      <w:r>
        <w:t xml:space="preserve">Laboratory two-span beam: (a) elevation and instrumentation; (b) mid-span deflection of the first span against the position of a single 40.64 N load, analytical and measured, with the residuals.</w:t>
      </w:r>
    </w:p>
    <w:p>
      <w:pPr>
        <w:pStyle w:val="BodyText"/>
      </w:pPr>
      <w:r>
        <w:drawing>
          <wp:inline>
            <wp:extent cx="5753100" cy="5992812"/>
            <wp:effectExtent b="0" l="0" r="0" t="0"/>
            <wp:docPr descr="" title="" id="72" name="Picture"/>
            <a:graphic>
              <a:graphicData uri="http://schemas.openxmlformats.org/drawingml/2006/picture">
                <pic:pic>
                  <pic:nvPicPr>
                    <pic:cNvPr descr="/home/user/SHM-Paper1-1D/manuscript/v3/figures/Fig6_norbwim_crossings.png" id="73" name="Picture"/>
                    <pic:cNvPicPr>
                      <a:picLocks noChangeArrowheads="1" noChangeAspect="1"/>
                    </pic:cNvPicPr>
                  </pic:nvPicPr>
                  <pic:blipFill>
                    <a:blip r:embed="rId71"/>
                    <a:stretch>
                      <a:fillRect/>
                    </a:stretch>
                  </pic:blipFill>
                  <pic:spPr bwMode="auto">
                    <a:xfrm>
                      <a:off x="0" y="0"/>
                      <a:ext cx="5753100" cy="5992812"/>
                    </a:xfrm>
                    <a:prstGeom prst="rect">
                      <a:avLst/>
                    </a:prstGeom>
                    <a:noFill/>
                    <a:ln w="9525">
                      <a:noFill/>
                      <a:headEnd/>
                      <a:tailEnd/>
                    </a:ln>
                  </pic:spPr>
                </pic:pic>
              </a:graphicData>
            </a:graphic>
          </wp:inline>
        </w:drawing>
      </w:r>
    </w:p>
    <w:p>
      <w:pPr>
        <w:pStyle w:val="BodyText"/>
      </w:pPr>
      <w:r>
        <w:rPr>
          <w:bCs/>
          <w:b/>
        </w:rPr>
        <w:t xml:space="preserve">Fig. 6.</w:t>
      </w:r>
      <w:r>
        <w:t xml:space="preserve"> </w:t>
      </w:r>
      <w:r>
        <w:t xml:space="preserve">NOR-BWIM strain records of three single-truck crossings of the five-span girder: a 5-axle and a 3-axle truck on day 2 and a 3-axle truck on day 1. Shaded: integration window; dashed: beam-model shape scaled to the reference gauge. The legend gives each gauge’s integral</w:t>
      </w:r>
      <w:r>
        <w:t xml:space="preserve"> </w:t>
      </w:r>
      <m:oMath>
        <m:r>
          <m:rPr>
            <m:sty m:val="p"/>
          </m:rPr>
          <m:t>∫</m:t>
        </m:r>
        <m:r>
          <m:t>ε</m:t>
        </m:r>
        <m:r>
          <m:t> </m:t>
        </m:r>
        <m:r>
          <m:rPr>
            <m:sty m:val="p"/>
          </m:rPr>
          <m:t>d</m:t>
        </m:r>
        <m:r>
          <m:t>x</m:t>
        </m:r>
      </m:oMath>
      <w:r>
        <w:t xml:space="preserve"> </w:t>
      </w:r>
      <w:r>
        <w:t xml:space="preserve">(µε m).</w:t>
      </w:r>
    </w:p>
    <w:p>
      <w:pPr>
        <w:pStyle w:val="BodyText"/>
      </w:pPr>
      <w:r>
        <w:drawing>
          <wp:inline>
            <wp:extent cx="5753100" cy="2397125"/>
            <wp:effectExtent b="0" l="0" r="0" t="0"/>
            <wp:docPr descr="" title="" id="75" name="Picture"/>
            <a:graphic>
              <a:graphicData uri="http://schemas.openxmlformats.org/drawingml/2006/picture">
                <pic:pic>
                  <pic:nvPicPr>
                    <pic:cNvPr descr="/home/user/SHM-Paper1-1D/manuscript/v3/figures/Fig7_norbwim_invariance.png" id="76" name="Picture"/>
                    <pic:cNvPicPr>
                      <a:picLocks noChangeArrowheads="1" noChangeAspect="1"/>
                    </pic:cNvPicPr>
                  </pic:nvPicPr>
                  <pic:blipFill>
                    <a:blip r:embed="rId74"/>
                    <a:stretch>
                      <a:fillRect/>
                    </a:stretch>
                  </pic:blipFill>
                  <pic:spPr bwMode="auto">
                    <a:xfrm>
                      <a:off x="0" y="0"/>
                      <a:ext cx="5753100" cy="2397125"/>
                    </a:xfrm>
                    <a:prstGeom prst="rect">
                      <a:avLst/>
                    </a:prstGeom>
                    <a:noFill/>
                    <a:ln w="9525">
                      <a:noFill/>
                      <a:headEnd/>
                      <a:tailEnd/>
                    </a:ln>
                  </pic:spPr>
                </pic:pic>
              </a:graphicData>
            </a:graphic>
          </wp:inline>
        </w:drawing>
      </w:r>
    </w:p>
    <w:p>
      <w:pPr>
        <w:pStyle w:val="BodyText"/>
      </w:pPr>
      <w:r>
        <w:rPr>
          <w:bCs/>
          <w:b/>
        </w:rPr>
        <w:t xml:space="preserve">Fig. 7.</w:t>
      </w:r>
      <w:r>
        <w:t xml:space="preserve"> </w:t>
      </w:r>
      <w:r>
        <w:t xml:space="preserve">Invariance of</w:t>
      </w:r>
      <w:r>
        <w:t xml:space="preserve"> </w:t>
      </w:r>
      <m:oMath>
        <m:r>
          <m:rPr>
            <m:sty m:val="p"/>
          </m:rPr>
          <m:t>∫</m:t>
        </m:r>
        <m:r>
          <m:t>ε</m:t>
        </m:r>
        <m:r>
          <m:t> </m:t>
        </m:r>
        <m:r>
          <m:rPr>
            <m:sty m:val="p"/>
          </m:rPr>
          <m:t>d</m:t>
        </m:r>
        <m:r>
          <m:t>x</m:t>
        </m:r>
        <m:r>
          <m:rPr>
            <m:sty m:val="p"/>
          </m:rPr>
          <m:t>/</m:t>
        </m:r>
        <m:r>
          <m:rPr>
            <m:sty m:val="p"/>
          </m:rPr>
          <m:t>G</m:t>
        </m:r>
        <m:r>
          <m:rPr>
            <m:sty m:val="p"/>
          </m:rPr>
          <m:t>V</m:t>
        </m:r>
        <m:r>
          <m:rPr>
            <m:sty m:val="p"/>
          </m:rPr>
          <m:t>W</m:t>
        </m:r>
      </m:oMath>
      <w:r>
        <w:t xml:space="preserve"> </w:t>
      </w:r>
      <w:r>
        <w:t xml:space="preserve">at the gauge common to both days, per crossing with one-standard-error bars from vehicle-free records; truck, axle count and speed are given below each point. Horizontal line: weighted mean.</w:t>
      </w:r>
    </w:p>
    <w:p>
      <w:pPr>
        <w:pStyle w:val="BodyText"/>
      </w:pPr>
      <w:r>
        <w:drawing>
          <wp:inline>
            <wp:extent cx="5753100" cy="6036736"/>
            <wp:effectExtent b="0" l="0" r="0" t="0"/>
            <wp:docPr descr="" title="" id="78" name="Picture"/>
            <a:graphic>
              <a:graphicData uri="http://schemas.openxmlformats.org/drawingml/2006/picture">
                <pic:pic>
                  <pic:nvPicPr>
                    <pic:cNvPr descr="/home/user/SHM-Paper1-1D/manuscript/v3/figures/Fig8_caumay_channels.png" id="79" name="Picture"/>
                    <pic:cNvPicPr>
                      <a:picLocks noChangeArrowheads="1" noChangeAspect="1"/>
                    </pic:cNvPicPr>
                  </pic:nvPicPr>
                  <pic:blipFill>
                    <a:blip r:embed="rId77"/>
                    <a:stretch>
                      <a:fillRect/>
                    </a:stretch>
                  </pic:blipFill>
                  <pic:spPr bwMode="auto">
                    <a:xfrm>
                      <a:off x="0" y="0"/>
                      <a:ext cx="5753100" cy="6036736"/>
                    </a:xfrm>
                    <a:prstGeom prst="rect">
                      <a:avLst/>
                    </a:prstGeom>
                    <a:noFill/>
                    <a:ln w="9525">
                      <a:noFill/>
                      <a:headEnd/>
                      <a:tailEnd/>
                    </a:ln>
                  </pic:spPr>
                </pic:pic>
              </a:graphicData>
            </a:graphic>
          </wp:inline>
        </w:drawing>
      </w:r>
    </w:p>
    <w:p>
      <w:pPr>
        <w:pStyle w:val="BodyText"/>
      </w:pPr>
      <w:r>
        <w:rPr>
          <w:bCs/>
          <w:b/>
        </w:rPr>
        <w:t xml:space="preserve">Fig. 8.</w:t>
      </w:r>
      <w:r>
        <w:t xml:space="preserve"> </w:t>
      </w:r>
      <w:r>
        <w:t xml:space="preserve">Cầu Mây girder, indicators along the girder for a prismatic model with pinned piers and for the haunched model under calibrations A and B: (a) deflection</w:t>
      </w:r>
      <w:r>
        <w:t xml:space="preserve"> </w:t>
      </w:r>
      <m:oMath>
        <m:sSub>
          <m:e>
            <m:r>
              <m:t>N</m:t>
            </m:r>
          </m:e>
          <m:sub>
            <m:r>
              <m:t>w</m:t>
            </m:r>
          </m:sub>
        </m:sSub>
      </m:oMath>
      <w:r>
        <w:t xml:space="preserve">; (b) strain</w:t>
      </w:r>
      <w:r>
        <w:t xml:space="preserve"> </w:t>
      </w:r>
      <m:oMath>
        <m:sSub>
          <m:e>
            <m:r>
              <m:t>N</m:t>
            </m:r>
          </m:e>
          <m:sub>
            <m:r>
              <m:t>M</m:t>
            </m:r>
          </m:sub>
        </m:sSub>
      </m:oMath>
      <w:r>
        <w:t xml:space="preserve">, with strain blind points; (c) strain indicator including the section gain</w:t>
      </w:r>
      <w:r>
        <w:t xml:space="preserve"> </w:t>
      </w:r>
      <m:oMath>
        <m:r>
          <m:t>c</m:t>
        </m:r>
        <m:r>
          <m:rPr>
            <m:sty m:val="p"/>
          </m:rPr>
          <m:t>/</m:t>
        </m:r>
        <m:r>
          <m:t>E</m:t>
        </m:r>
        <m:r>
          <m:t>I</m:t>
        </m:r>
      </m:oMath>
      <w:r>
        <w:t xml:space="preserve">, assuming</w:t>
      </w:r>
      <w:r>
        <w:t xml:space="preserve"> </w:t>
      </w:r>
      <m:oMath>
        <m:r>
          <m:t>c</m:t>
        </m:r>
        <m:r>
          <m:rPr>
            <m:sty m:val="p"/>
          </m:rPr>
          <m:t>∝</m:t>
        </m:r>
        <m:r>
          <m:t>h</m:t>
        </m:r>
      </m:oMath>
      <w:r>
        <w:t xml:space="preserve">. Dotted lines: gauge positions N7, N8 at mid side span and N8 at 0.4L.</w:t>
      </w:r>
    </w:p>
    <w:p>
      <w:pPr>
        <w:pStyle w:val="BodyText"/>
      </w:pPr>
      <w:r>
        <w:drawing>
          <wp:inline>
            <wp:extent cx="5753100" cy="4881418"/>
            <wp:effectExtent b="0" l="0" r="0" t="0"/>
            <wp:docPr descr="" title="" id="81" name="Picture"/>
            <a:graphic>
              <a:graphicData uri="http://schemas.openxmlformats.org/drawingml/2006/picture">
                <pic:pic>
                  <pic:nvPicPr>
                    <pic:cNvPr descr="/home/user/SHM-Paper1-1D/manuscript/v3/figures/Fig9_caumay_identifiability.png" id="82" name="Picture"/>
                    <pic:cNvPicPr>
                      <a:picLocks noChangeArrowheads="1" noChangeAspect="1"/>
                    </pic:cNvPicPr>
                  </pic:nvPicPr>
                  <pic:blipFill>
                    <a:blip r:embed="rId80"/>
                    <a:stretch>
                      <a:fillRect/>
                    </a:stretch>
                  </pic:blipFill>
                  <pic:spPr bwMode="auto">
                    <a:xfrm>
                      <a:off x="0" y="0"/>
                      <a:ext cx="5753100" cy="4881418"/>
                    </a:xfrm>
                    <a:prstGeom prst="rect">
                      <a:avLst/>
                    </a:prstGeom>
                    <a:noFill/>
                    <a:ln w="9525">
                      <a:noFill/>
                      <a:headEnd/>
                      <a:tailEnd/>
                    </a:ln>
                  </pic:spPr>
                </pic:pic>
              </a:graphicData>
            </a:graphic>
          </wp:inline>
        </w:drawing>
      </w:r>
    </w:p>
    <w:p>
      <w:pPr>
        <w:pStyle w:val="BodyText"/>
      </w:pPr>
      <w:r>
        <w:rPr>
          <w:bCs/>
          <w:b/>
        </w:rPr>
        <w:t xml:space="preserve">Fig. 9.</w:t>
      </w:r>
      <w:r>
        <w:t xml:space="preserve"> </w:t>
      </w:r>
      <w:r>
        <w:t xml:space="preserve">Identifiability of the Cầu Mây pier stiffness from two static readings: (a) ratio of the measured-to-model ratios at N8 and N7 against</w:t>
      </w:r>
      <w:r>
        <w:t xml:space="preserve"> </w:t>
      </w:r>
      <m:oMath>
        <m:r>
          <m:t>κ</m:t>
        </m:r>
        <m:r>
          <m:rPr>
            <m:sty m:val="p"/>
          </m:rPr>
          <m:t>=</m:t>
        </m:r>
        <m:r>
          <m:t>k</m:t>
        </m:r>
        <m:r>
          <m:rPr>
            <m:sty m:val="p"/>
          </m:rPr>
          <m:t>/</m:t>
        </m:r>
        <m:r>
          <m:t>α</m:t>
        </m:r>
      </m:oMath>
      <w:r>
        <w:t xml:space="preserve">, with model-form variants (grey) and the admissible band; (b) N8 and N7 indicators and cancellation ratios along the static valley.</w:t>
      </w:r>
    </w:p>
    <w:bookmarkEnd w:id="83"/>
    <w:bookmarkEnd w:id="84"/>
    <w:sectPr>
      <w:footerReference r:id="rId9" w:type="default"/>
      <w:pgSz w:h="16838" w:w="11906"/>
      <w:lnNumType w:countBy="1" w:restart="continuous" w:distance="283"/>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pP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Times New Roman" w:cs="Times New Roman" w:eastAsia="Times New Roman" w:hAnsi="Times New Roman"/>
      <w:sz w:val="24"/>
    </w:rPr>
  </w:style>
  <w:style w:styleId="BodyText" w:type="paragraph">
    <w:name w:val="Body Text"/>
    <w:basedOn w:val="Normal"/>
    <w:link w:val="BodyTextChar"/>
    <w:pPr>
      <w:spacing w:after="120" w:before="180" w:line="360" w:lineRule="auto"/>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120" w:line="360" w:lineRule="auto"/>
    </w:pPr>
    <w:rPr>
      <w:rFonts w:ascii="Times New Roman" w:cs="Times New Roman" w:eastAsia="Times New Roman" w:hAnsi="Times New Roman"/>
      <w:sz w:val="24"/>
    </w:rPr>
  </w:style>
  <w:style w:customStyle="1" w:styleId="Compact" w:type="paragraph">
    <w:name w:val="Compact"/>
    <w:basedOn w:val="BodyText"/>
    <w:qFormat/>
    <w:pPr>
      <w:spacing w:after="36" w:before="36" w:line="240" w:lineRule="auto"/>
    </w:pPr>
    <w:rPr>
      <w:rFonts w:ascii="Times New Roman" w:cs="Times New Roman" w:eastAsia="Times New Roman" w:hAnsi="Times New Roman"/>
      <w:sz w:val="20"/>
    </w:rPr>
  </w:style>
  <w:style w:styleId="Title" w:type="paragraph">
    <w:name w:val="Title"/>
    <w:basedOn w:val="Normal"/>
    <w:next w:val="BodyText"/>
    <w:qFormat/>
    <w:pPr>
      <w:keepNext/>
      <w:keepLines/>
      <w:spacing w:after="240" w:before="480" w:line="360" w:lineRule="auto"/>
      <w:jc w:val="center"/>
    </w:pPr>
    <w:rPr>
      <w:rFonts w:ascii="Times New Roman" w:cs="Times New Roman" w:eastAsia="Times New Roman" w:hAnsi="Times New Roman"/>
      <w:b/>
      <w:bCs/>
      <w:i w:val="0"/>
      <w:color w:val="000000"/>
      <w:sz w:val="32"/>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spacing w:line="360" w:lineRule="auto"/>
      <w:jc w:val="center"/>
    </w:pPr>
    <w:rPr>
      <w:rFonts w:ascii="Times New Roman" w:cs="Times New Roman" w:eastAsia="Times New Roman" w:hAnsi="Times New Roman"/>
      <w:sz w:val="24"/>
    </w:rPr>
  </w:style>
  <w:style w:styleId="Date" w:type="paragraph">
    <w:name w:val="Date"/>
    <w:next w:val="BodyText"/>
    <w:qFormat/>
    <w:pPr>
      <w:keepNext/>
      <w:keepLines/>
      <w:spacing w:line="360" w:lineRule="auto"/>
      <w:jc w:val="center"/>
    </w:pPr>
    <w:rPr>
      <w:rFonts w:ascii="Times New Roman" w:cs="Times New Roman" w:eastAsia="Times New Roman" w:hAnsi="Times New Roman"/>
      <w:sz w:val="24"/>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line="360" w:lineRule="auto"/>
    </w:pPr>
    <w:rPr>
      <w:rFonts w:ascii="Times New Roman" w:cs="Times New Roman" w:eastAsia="Times New Roman" w:hAnsi="Times New Roman"/>
      <w:sz w:val="24"/>
      <w:szCs w:val="20"/>
    </w:rPr>
  </w:style>
  <w:style w:styleId="Bibliography" w:type="paragraph">
    <w:name w:val="Bibliography"/>
    <w:basedOn w:val="Normal"/>
    <w:next w:val="Bibliography"/>
    <w:qFormat/>
    <w:pPr>
      <w:spacing w:line="360" w:lineRule="auto"/>
    </w:pPr>
    <w:rPr>
      <w:rFonts w:ascii="Times New Roman" w:cs="Times New Roman" w:eastAsia="Times New Roman" w:hAnsi="Times New Roman"/>
      <w:sz w:val="24"/>
    </w:rPr>
  </w:style>
  <w:style w:styleId="Heading1" w:type="paragraph">
    <w:name w:val="Heading 1"/>
    <w:basedOn w:val="Normal"/>
    <w:next w:val="BodyText"/>
    <w:uiPriority w:val="9"/>
    <w:qFormat/>
    <w:pPr>
      <w:keepNext/>
      <w:keepLines/>
      <w:spacing w:after="0" w:before="480" w:line="360" w:lineRule="auto"/>
      <w:outlineLvl w:val="0"/>
    </w:pPr>
    <w:rPr>
      <w:rFonts w:ascii="Times New Roman" w:cs="Times New Roman" w:eastAsia="Times New Roman" w:hAnsi="Times New Roman"/>
      <w:b/>
      <w:bCs/>
      <w:i w:val="0"/>
      <w:color w:val="000000"/>
      <w:sz w:val="28"/>
      <w:szCs w:val="32"/>
    </w:rPr>
  </w:style>
  <w:style w:styleId="Heading2" w:type="paragraph">
    <w:name w:val="Heading 2"/>
    <w:basedOn w:val="Normal"/>
    <w:next w:val="BodyText"/>
    <w:uiPriority w:val="9"/>
    <w:unhideWhenUsed/>
    <w:qFormat/>
    <w:pPr>
      <w:keepNext/>
      <w:keepLines/>
      <w:spacing w:after="0" w:before="200" w:line="360" w:lineRule="auto"/>
      <w:outlineLvl w:val="1"/>
    </w:pPr>
    <w:rPr>
      <w:rFonts w:ascii="Times New Roman" w:cs="Times New Roman" w:eastAsia="Times New Roman" w:hAnsi="Times New Roman"/>
      <w:b/>
      <w:bCs/>
      <w:i w:val="0"/>
      <w:color w:val="000000"/>
      <w:sz w:val="24"/>
      <w:szCs w:val="28"/>
    </w:rPr>
  </w:style>
  <w:style w:styleId="Heading3" w:type="paragraph">
    <w:name w:val="Heading 3"/>
    <w:basedOn w:val="Normal"/>
    <w:next w:val="BodyText"/>
    <w:uiPriority w:val="9"/>
    <w:unhideWhenUsed/>
    <w:qFormat/>
    <w:pPr>
      <w:keepNext/>
      <w:keepLines/>
      <w:spacing w:after="0" w:before="200" w:line="360" w:lineRule="auto"/>
      <w:outlineLvl w:val="2"/>
    </w:pPr>
    <w:rPr>
      <w:rFonts w:ascii="Times New Roman" w:cs="Times New Roman" w:eastAsia="Times New Roman" w:hAnsi="Times New Roman"/>
      <w:b/>
      <w:bCs/>
      <w:i/>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customStyle="1" w:styleId="Figureplaceholder" w:type="paragraph">
    <w:name w:val="Figure placeholder"/>
    <w:basedOn w:val="Normal"/>
    <w:pPr>
      <w:jc w:val="center"/>
    </w:pPr>
    <w:rPr>
      <w:i/>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62" Type="http://schemas.openxmlformats.org/officeDocument/2006/relationships/image" Target="media/rId62.png"/><Relationship Id="rId65" Type="http://schemas.openxmlformats.org/officeDocument/2006/relationships/image" Target="media/rId65.png"/><Relationship Id="rId68" Type="http://schemas.openxmlformats.org/officeDocument/2006/relationships/image" Target="media/rId68.png"/><Relationship Id="rId71" Type="http://schemas.openxmlformats.org/officeDocument/2006/relationships/image" Target="media/rId71.png"/><Relationship Id="rId74" Type="http://schemas.openxmlformats.org/officeDocument/2006/relationships/image" Target="media/rId74.png"/><Relationship Id="rId77" Type="http://schemas.openxmlformats.org/officeDocument/2006/relationships/image" Target="media/rId77.png"/><Relationship Id="rId80" Type="http://schemas.openxmlformats.org/officeDocument/2006/relationships/image" Target="media/rId8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2026-10-18T11:11:29Z</dcterms:created>
  <dcterms:modified xsi:type="dcterms:W3CDTF">2026-10-18T11:11:29Z</dcterms:modified>
</cp:coreProperties>
</file>

<file path=docProps/custom.xml><?xml version="1.0" encoding="utf-8"?>
<Properties xmlns="http://schemas.openxmlformats.org/officeDocument/2006/custom-properties" xmlns:vt="http://schemas.openxmlformats.org/officeDocument/2006/docPropsVTypes"/>
</file>