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loci and sensor layout for influence-area bridge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weighing divides a record’s area by an integral constant, which can vanish on continuous girders because influence lines change sign. Strain gauges measuring global bending are blind at every zero of the uniform-load moment and nearly blind 0.19–0.32 of the span from the interior support on two equal spans. For position-independent noise, optimal sensors lie at the extremes of the uniform-load response; on one day of public records, weighting by vehicle-free noise raised the error 8.5 percentage points above the gauge average. For symmetric girders with equal piers the constant is linear-fractional in pier stiffness; on an in-service box girder, two static readings leave the side-span deflection constant uncertain by a factor of 6.6 against 1.5 at mid main span, or 2.4 against 1.1 with girder rigidity bounded to 0.9–1.3 times design. A laboratory test is consistent with the identity. On this girder, deflection gauges belong at mid main span, and side-span constants need identified pier stiffness or a pier tiltmeter.</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Single-channel SLM assumes that the integral constant is well away from zero and independent of the boundary conditions, yet none of these studies gives closed-form conditions under which this assumption fails, or how they shift with uncertain boundary conditions. Such conditions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contributions lie in the criteria built on them. (i)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Extreme-point optimal design (Elfving, 1952) gives a closed-form placement rule in place of numerical optimization (Zhou et al., 2025): for position-independent noise, optimal sensors lie at the extremes of the uniform-load response; the rule itself is not tested in the field. On public records, GLS weights from vehicle-free noise did worse than the gauge average (Section 4.3). (iii) For a symmetric girder with equal piers, the constant depends on pier stiffness through a linear-fractional (Möbius) law, and on an in-service box girder two static readings leave the constant of a side-span deflection gauge uncertain by a factor of 6.6 against 1.5 for the main-span constant from the static data alone, and 2.4 against 1.1 with girder rigidity bounded to 0.9–1.3 times design (Section 5.2). The laboratory test checks the identity, the public records check its assumptions and noise model (not weighing accuracy), and the in-service girder shows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(two nearby deck gauges differ by a factor of 3.9;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(8)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In design terms, a deflection gauge cannot be blind on a girder of equal spans and rigidities; blindness needs a longer or stiffer adjacent span that raises the interior support moment above its value for two equal spans (</w:t>
      </w:r>
      <m:oMath>
        <m:r>
          <m:t>μ</m:t>
        </m:r>
        <m:r>
          <m:rPr>
            <m:sty m:val="p"/>
          </m:rPr>
          <m:t>=</m:t>
        </m:r>
        <m:r>
          <m:t>1</m:t>
        </m:r>
      </m:oMath>
      <w:r>
        <w:t xml:space="preserve">) but not to twice that value. The resulting blind span ratios, for example</w:t>
      </w:r>
      <w:r>
        <w:t xml:space="preserve"> </w:t>
      </w:r>
      <m:oMath>
        <m:r>
          <m:t>λ</m:t>
        </m:r>
        <m:r>
          <m:rPr>
            <m:sty m:val="p"/>
          </m:rPr>
          <m:t>=</m:t>
        </m:r>
        <m:r>
          <m:t>1.4574</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a symmetric three-span beam, are listed in Table 1; their closed forms, the optimal deflection-gauge position on two equal spans and the edges of the near-blind bands are in Supplementary Section S2 (Eqs. (S1) and (S2), Tables S2 and S3). A channel is called near-blind when its indicator (Section 2.3) is below 0.2 in magnitude (Fig. 2).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steps at the piers are changes of scale, not discontinuities.</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w:t>
      </w:r>
      <w:r>
        <w:t xml:space="preserve"> </w:t>
      </w:r>
      <m:oMath>
        <m:sSub>
          <m:e>
            <m:r>
              <m:t>P</m:t>
            </m:r>
          </m:e>
          <m:sub>
            <m:r>
              <m:t>δ</m:t>
            </m:r>
          </m:sub>
        </m:sSub>
        <m:r>
          <m:rPr>
            <m:sty m:val="p"/>
          </m:rPr>
          <m:t>=</m:t>
        </m:r>
        <m:sSub>
          <m:e>
            <m:r>
              <m:t>δ</m:t>
            </m:r>
          </m:e>
          <m:sub>
            <m:r>
              <m:t>0</m:t>
            </m:r>
          </m:sub>
        </m:sSub>
        <m:sSub>
          <m:e>
            <m:r>
              <m:t>L</m:t>
            </m:r>
          </m:e>
          <m:sub>
            <m:r>
              <m:rPr>
                <m:sty m:val="p"/>
              </m:rPr>
              <m:t>tot</m:t>
            </m:r>
          </m:sub>
        </m:sSub>
        <m:r>
          <m:rPr>
            <m:sty m:val="p"/>
          </m:rPr>
          <m:t>/</m:t>
        </m:r>
        <m:r>
          <m:t>C</m:t>
        </m:r>
      </m:oMath>
      <w:r>
        <w:t xml:space="preserve"> </w:t>
      </w:r>
      <w:r>
        <w:t xml:space="preserve">in Eq. (10), for the same offset and record length an indicator of 0.2 multiplies the offset-equivalent load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sty m:val="p"/>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sty m:val="p"/>
              </m:rPr>
              <m:t>+</m:t>
            </m:r>
          </m:sup>
        </m:sSup>
      </m:oMath>
      <w:r>
        <w:t xml:space="preserve"> </w:t>
      </w:r>
      <w:r>
        <w:t xml:space="preserve">and</w:t>
      </w:r>
      <w:r>
        <w:t xml:space="preserve"> </w:t>
      </w:r>
      <m:oMath>
        <m:sSup>
          <m:e>
            <m:r>
              <m:t>A</m:t>
            </m:r>
          </m:e>
          <m:sup>
            <m:r>
              <m:rPr>
                <m:sty m:val="p"/>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sSub>
          <m:e>
            <m:r>
              <m:t>P</m:t>
            </m:r>
          </m:e>
          <m:sub>
            <m:r>
              <m:rPr>
                <m:sty m:val="p"/>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rPr>
              <m:t>tot</m:t>
            </m:r>
          </m:sub>
        </m:sSub>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 mirror-symmetric deformation)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The SLM deviations follow the measured-to-analytical integral ratio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other channels of the same run, unfiltered.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10–27 %.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(mean absolute error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S12 and S14;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 and (b) each indicator is normalized by the span containing the sensor, so steps at the piers are changes of scale; in (c)</w:t>
      </w:r>
      <w:r>
        <w:t xml:space="preserve"> </w:t>
      </w:r>
      <m:oMath>
        <m:r>
          <m:t>L</m:t>
        </m:r>
      </m:oMath>
      <w:r>
        <w:t xml:space="preserve"> </w:t>
      </w:r>
      <w:r>
        <w:t xml:space="preserve">is the main span.</w:t>
      </w:r>
    </w:p>
    <w:bookmarkEnd w:id="51"/>
    <w:bookmarkStart w:id="55" w:name="what-the-static-data-identify"/>
    <w:p>
      <w:pPr>
        <w:pStyle w:val="Heading3"/>
      </w:pPr>
      <w:r>
        <w:t xml:space="preserve">5.2. What the static data identify</w:t>
      </w:r>
    </w:p>
    <w:p>
      <w:pPr>
        <w:pStyle w:val="FirstParagraph"/>
      </w:pPr>
      <w:r>
        <w:t xml:space="preserve">Two static readings leave the constant of the side-span gauge N8 uncertain by a factor of 6.6 against 1.5 for the main-span constant when the effective rigidity</w:t>
      </w:r>
      <w:r>
        <w:t xml:space="preserve"> </w:t>
      </w:r>
      <m:oMath>
        <m:r>
          <m:t>α</m:t>
        </m:r>
      </m:oMath>
      <w:r>
        <w:t xml:space="preserve"> </w:t>
      </w:r>
      <w:r>
        <w:t xml:space="preserve">is free (tolerance</w:t>
      </w:r>
      <w:r>
        <w:t xml:space="preserve"> </w:t>
      </w:r>
      <m:oMath>
        <m:r>
          <m:t>τ</m:t>
        </m:r>
      </m:oMath>
      <w:r>
        <w:t xml:space="preserve"> </w:t>
      </w:r>
      <w:r>
        <w:t xml:space="preserve">= 5.3 %), and by 2.4 against 1.1 when</w:t>
      </w:r>
      <w:r>
        <w:t xml:space="preserve"> </w:t>
      </w:r>
      <m:oMath>
        <m:r>
          <m:t>α</m:t>
        </m:r>
      </m:oMath>
      <w:r>
        <w:t xml:space="preserve"> </w:t>
      </w:r>
      <w:r>
        <w:t xml:space="preserve">is bounded to the material range 0.9–1.3 (Table 3; Supplementary Table S13). The two factors are scenarios, not an estimate and a correction: the bound excludes calibration B, and</w:t>
      </w:r>
      <w:r>
        <w:t xml:space="preserve"> </w:t>
      </w:r>
      <m:oMath>
        <m:r>
          <m:t>α</m:t>
        </m:r>
      </m:oMath>
      <w:r>
        <w:t xml:space="preserve"> </w:t>
      </w:r>
      <w:r>
        <w:t xml:space="preserve">is an effective parameter (Section 5.1). The factor is carried by</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over the admissible set defined below;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Calibration B is therefore the nearest fit rather than an exact one.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 and more likely absorbs omitted mechanisms.</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sty m:val="p"/>
              </m:rPr>
              <m:t>*</m:t>
            </m:r>
          </m:sup>
        </m:sSup>
        <m:d>
          <m:dPr>
            <m:begChr m:val="("/>
            <m:endChr m:val=")"/>
            <m:sepChr m:val=""/>
            <m:grow/>
          </m:dPr>
          <m:e>
            <m:r>
              <m:t>κ</m:t>
            </m:r>
          </m:e>
        </m:d>
      </m:oMath>
      <w:r>
        <w:t xml:space="preserve">: rigidity factor that best fits both readings at given</w:t>
      </w:r>
      <w:r>
        <w:t xml:space="preserve"> </w:t>
      </w:r>
      <m:oMath>
        <m:r>
          <m:t>κ</m:t>
        </m:r>
      </m:oMath>
      <w:r>
        <w:t xml:space="preserve"> </w:t>
      </w:r>
      <w:r>
        <w:t xml:space="preserve">(log least squares; equal and opposite log misfits at N8 and N7).</w:t>
      </w:r>
    </w:p>
    <w:p>
      <w:pPr>
        <w:pStyle w:val="BodyText"/>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pinned-pier and fixed-pier rows give the extremes over the haunch-length variants (</w:t>
      </w:r>
      <m:oMath>
        <m:sSub>
          <m:e>
            <m:r>
              <m:t>L</m:t>
            </m:r>
          </m:e>
          <m:sub>
            <m:r>
              <m:rPr>
                <m:sty m:val="p"/>
              </m:rPr>
              <m:t>v</m:t>
            </m:r>
          </m:sub>
        </m:sSub>
      </m:oMath>
      <w:r>
        <w:t xml:space="preserve"> </w:t>
      </w:r>
      <w:r>
        <w:t xml:space="preserve">= 40–45 m). Values at mid side span: Supplementary Table S15.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0.023</w:t>
            </w:r>
          </w:p>
        </w:tc>
        <w:tc>
          <w:tcPr>
            <w:tcW w:type="dxa" w:w="1744"/>
          </w:tcPr>
          <w:p>
            <w:pPr>
              <w:pStyle w:val="Compact"/>
              <w:jc w:val="right"/>
            </w:pPr>
            <w:r>
              <w:t xml:space="preserve">0.263</w:t>
            </w:r>
          </w:p>
        </w:tc>
        <w:tc>
          <w:tcPr>
            <w:tcW w:type="dxa" w:w="1465"/>
          </w:tcPr>
          <w:p>
            <w:pPr>
              <w:pStyle w:val="Compact"/>
              <w:jc w:val="right"/>
            </w:pPr>
            <w:r>
              <w:t xml:space="preserve">–</w:t>
            </w:r>
          </w:p>
        </w:tc>
        <w:tc>
          <w:tcPr>
            <w:tcW w:type="dxa" w:w="1465"/>
          </w:tcPr>
          <w:p>
            <w:pPr>
              <w:pStyle w:val="Compact"/>
              <w:jc w:val="right"/>
            </w:pPr>
            <w:r>
              <w:t xml:space="preserve">–</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0.446</w:t>
            </w:r>
          </w:p>
        </w:tc>
        <w:tc>
          <w:tcPr>
            <w:tcW w:type="dxa" w:w="1744"/>
          </w:tcPr>
          <w:p>
            <w:pPr>
              <w:pStyle w:val="Compact"/>
              <w:jc w:val="right"/>
            </w:pPr>
            <w:r>
              <w:t xml:space="preserve">0.145</w:t>
            </w:r>
          </w:p>
        </w:tc>
        <w:tc>
          <w:tcPr>
            <w:tcW w:type="dxa" w:w="1465"/>
          </w:tcPr>
          <w:p>
            <w:pPr>
              <w:pStyle w:val="Compact"/>
              <w:jc w:val="right"/>
            </w:pPr>
            <w:r>
              <w:t xml:space="preserve">–</w:t>
            </w:r>
          </w:p>
        </w:tc>
        <w:tc>
          <w:tcPr>
            <w:tcW w:type="dxa" w:w="1465"/>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0.9 % in variance of the calibration-specific optimum under both A and B. Under the assumed noise model of Supplementary Section S4 (calibration A), the standard deviation of the load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(Fig. 7b), the Cramér–Rao bound on the standard deviation of</w:t>
      </w:r>
      <w:r>
        <w:t xml:space="preserve"> </w:t>
      </w:r>
      <m:oMath>
        <m:r>
          <m:rPr>
            <m:sty m:val="p"/>
          </m:rPr>
          <m:t>ln</m:t>
        </m:r>
        <m:sSub>
          <m:e>
            <m:r>
              <m:t>C</m:t>
            </m:r>
          </m:e>
          <m:sub>
            <m:r>
              <m:t>8</m:t>
            </m:r>
          </m:sub>
        </m:sSub>
      </m:oMath>
      <w:r>
        <w:t xml:space="preserve"> </w:t>
      </w:r>
      <w:r>
        <w:t xml:space="preserve">falls from 0.87 with the two deflections to 0.18 with the tiltmeter. The bound assumes standard uncertainties of 2.64 % per deflection and 3 % for the pier rotation (about 167 µrad under the side-span test load). Frequencies and the case of calibration B are discussed in Supplementary Section S8.</w:t>
      </w:r>
    </w:p>
    <w:p>
      <w:pPr>
        <w:pStyle w:val="BodyText"/>
      </w:pPr>
      <w:r>
        <w:t xml:space="preserve">Table 4 gives predictions for a designed but not performed moving-load test with weighed trucks; the ratio of the N8 and N7 integrals is independent of truck weight and absolute rigidity and differs by a factor of 2.3 between A and B.</w:t>
      </w:r>
    </w:p>
    <w:p>
      <w:pPr>
        <w:pStyle w:val="BodyText"/>
        <w:keepNext/>
      </w:pPr>
      <w:r>
        <w:rPr>
          <w:bCs/>
          <w:b/>
        </w:rPr>
        <w:t xml:space="preserve">Table 4.</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For a residual offset of 0.1 mm, single-point influence-area weighing on this 200 m unit is therefore marginal even at the best location (other offsets: Supplementary Table S17), and non-contact techniques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side-span deflection constant uncertain by a factor of 6.6 against 1.5 for the main-span constant, or 2.4 against 1.1 with girder rigidity bounded to 0.9–1.3 times design; at the design pier stiffness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10–27 %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and Mây Bridge data, the analysis scripts with the console output of each run, and the derived data behind every figure and table are provided as Supplementary Material.</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 Journal of Bridge Engineering 28(2): 04022138. DOI: 10.1061/JBENF2.BEENG-5760.</w:t>
      </w:r>
    </w:p>
    <w:p>
      <w:pPr>
        <w:pStyle w:val="BodyText"/>
        <w:ind w:left="425" w:hanging="425"/>
        <w:jc w:val="left"/>
      </w:pPr>
      <w:r>
        <w:t xml:space="preserve">Agüero-Barrantes P, Lobo Aguilar S and Christenson RE (2021) Sparse sensing bridge weigh-in-motion for single-span bridges. Métodos y Materiales 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Elfving G (1952) Optimum allocation in linear regression theory. Annals of Mathematical Statistics 23(2): 255–262. DOI: 10.1214/aoms/1177729442.</w:t>
      </w:r>
    </w:p>
    <w:p>
      <w:pPr>
        <w:pStyle w:val="BodyText"/>
        <w:ind w:left="425" w:hanging="425"/>
        <w:jc w:val="left"/>
      </w:pPr>
      <w:r>
        <w:t xml:space="preserve">Fan Y, Zhu J, Pei J, Li Z and Wu Y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Hao T, Xie Z and Yu M (2019) The identification technology of vehicle weight based on bridge strain time-history curve. Advances in Structural Engineering 22(7): 1606–1616. DOI: 10.1177/1369433218823487.</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Katafygiotis LS and Beck JL (1998) Updating models and their uncertainties. II: Model identifiability. Journal of Engineering Mechanics 124(4): 463–467. DOI: 10.1061/(ASCE)0733-9399(1998)124:4(463).</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Lin SW, Du YL, Yi TH and Yang DH (2023) Influence lines-based model updating of suspension bridges considering boundary conditions. Advances in Structural Engineering 26(2): 316–328. DOI: 10.1177/13694332221126374.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Papadimitriou C (2004) Optimal sensor placement methodology for parametric identification of structural systems. Journal of Sound and Vibration 278(4–5): 923–947. DOI: 10.1016/j.jsv.2003.10.063.</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Udwadia FE (1994) Methodology for optimum sensor locations for parameter identification in dynamic systems. Journal of Engineering Mechanics 120(2): 368–390. DOI: 10.1061/(ASCE)0733-9399(1994)120:2(368).</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 Advances in Structural Engineering 29(4): 779–792. DOI: 10.1177/13694332251363355.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Yang C and Zhang Y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2026(1): 1361157. DOI: 10.1155/stc/1361157.</w:t>
      </w:r>
    </w:p>
    <w:p>
      <w:pPr>
        <w:pStyle w:val="BodyText"/>
        <w:ind w:left="425" w:hanging="425"/>
        <w:jc w:val="left"/>
      </w:pPr>
      <w:r>
        <w:t xml:space="preserve">Zhu J, Wang C, Qi T and Zhou Z (2022) Vehicle load identification on orthotropic steel box beam bridge based on the strain response area. Applied Sciences 12(23): 12394. DOI: 10.3390/app122312394.</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 Advances in Structural Engineering 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2026-10-20T11:22:15Z</dcterms:created>
  <dcterms:modified xsi:type="dcterms:W3CDTF">2026-10-20T11:22:15Z</dcterms:modified>
</cp:coreProperties>
</file>

<file path=docProps/custom.xml><?xml version="1.0" encoding="utf-8"?>
<Properties xmlns="http://schemas.openxmlformats.org/officeDocument/2006/custom-properties" xmlns:vt="http://schemas.openxmlformats.org/officeDocument/2006/docPropsVTypes"/>
</file>