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In influence-area weighing the total load is the area under a response record divided by an integral constant, which can vanish on a continuous girder because the influence line changes sign over the piers. To guide channel choice before installation, closed forms give the blind loci of five channel types on prismatic girders; on any girder, strain gauges are blind at every zero of the uniform-load moment and nearly blind in a band that can contain gauges set back from the piers. For position-independent noise, optimal sensors lie at the extremes of the uniform-load response. For a symmetric girder with equal piers, the constant is a linear-fractional (Möbius) function of the pier stiffness. A laboratory test is consistent with the influence-area identity. Public moving-truck records are consistent with its assumptions within 10–27 % for the gauge average but cannot test weight discrimination; on one day they show that vehicle-free noise covariance misleads multi-channel weighting. On an in-service box girder, two static readings leave the constant of the side-span deflection gauge uncertain by a factor of up to 6.6, against 1.5 at mid main span.</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and reviewed by Yu et al. (2016), fits the measured response to axle loads times influence-line ordinates and has been refined with measured influence lines (OBrien et al., 2006), regularization (OBrien et al., 2009), accuracy improvements (Žnidarič et al., 2018) and the transverse position of the vehicle (Yu et al., 2018). Strain time histories have given axle weights in model tests on simply supported and continuous beams (Hao et al., 2019), and the transverse load distribution coefficient has given vehicle weights on multi-T-girder bridges (Zuo et al., 2019).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Deflection influence lines have been identified from moving-vehicle records (Wang et al., 2026) and inverted for girder stiffness (Zhou et al., 2026), and influence lines have been used to estimate the boundary spring stiffness of a suspension-bridge girder (Lin et al., 2023). None of these studies gives closed-form conditions under which the integral of a single channel cannot observe the total load, or says how such conditions shift with uncertain boundary conditions; Zhou et al. (2025) optimized sensor positions numerically.</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prismatic two- and three-span girders, with a strain criterion, the zeros of the uniform-load moment, that also holds for haunched girders, and two indicators that need no reference rigidity. The zero-moment points and moment parameters are classical; the contribution is their reading as blind and near-blind loci of the weighing integral. At mid-span of two equal spans, strain influence lines cancel less than deflection influence lines: the cancellation ratio, the net influence area divided by its positive part, is</w:t>
      </w:r>
      <w:r>
        <w:t xml:space="preserve"> </w:t>
      </w:r>
      <m:oMath>
        <m:sSub>
          <m:e>
            <m:r>
              <m:t>R</m:t>
            </m:r>
          </m:e>
          <m:sub>
            <m:r>
              <m:t>ε</m:t>
            </m:r>
          </m:sub>
        </m:sSub>
        <m:r>
          <m:rPr>
            <m:sty m:val="p"/>
          </m:rPr>
          <m:t>=</m:t>
        </m:r>
        <m:r>
          <m:t>0.667</m:t>
        </m:r>
      </m:oMath>
      <w:r>
        <w:t xml:space="preserve"> </w:t>
      </w:r>
      <w:r>
        <w:t xml:space="preserve">for strain against</w:t>
      </w:r>
      <w:r>
        <w:t xml:space="preserve"> </w:t>
      </w:r>
      <m:oMath>
        <m:sSub>
          <m:e>
            <m:r>
              <m:t>R</m:t>
            </m:r>
          </m:e>
          <m:sub>
            <m:r>
              <m:t>w</m:t>
            </m:r>
          </m:sub>
        </m:sSub>
        <m:r>
          <m:rPr>
            <m:sty m:val="p"/>
          </m:rPr>
          <m:t>=</m:t>
        </m:r>
        <m:r>
          <m:t>0.571</m:t>
        </m:r>
      </m:oMath>
      <w:r>
        <w:t xml:space="preserve"> </w:t>
      </w:r>
      <w:r>
        <w:t xml:space="preserve">for deflection. Near a zero of the uniform-load moment the order reverses, and every continuous girder has strain blind points. (ii) We apply extreme-point optimal design (Elfving, 1952) to obtain a placement rule: for position-independent noise, optimal sensors lie at the extremes of the uniform-load response. On one day of public moving-truck records, GLS weights built from vehicle-free noise raised the out-of-sample error above that of the gauge average (20.4 % against 11.9 % of gross weight); these records test the noise model behind the rule rather than weighing performance. (iii) We show that, for a symmetric girder with equal piers, the integral constant depends on pier stiffness through a linear-fractional (Möbius) law. On an in-service box girder, two static readings leave the constant of a side-span deflection gauge uncertain by a factor of 6.6 at a two-standard-deviation tolerance, while at the design pier stiffness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max</m:t>
                        </m:r>
                      </m:sub>
                    </m:sSub>
                  </m:sup>
                  <m:e>
                    <m:sSub>
                      <m:e>
                        <m:r>
                          <m:t>y</m:t>
                        </m:r>
                      </m:e>
                      <m:sub>
                        <m:r>
                          <m:t>m</m:t>
                        </m:r>
                      </m:sub>
                    </m:sSub>
                  </m:e>
                </m:nary>
                <m:r>
                  <m:t> </m:t>
                </m:r>
                <m:r>
                  <m:rPr>
                    <m:sty m:val="p"/>
                  </m:rPr>
                  <m:t>d</m:t>
                </m:r>
                <m:r>
                  <m:t>x</m:t>
                </m:r>
                <m:r>
                  <m:rPr>
                    <m:sty m:val="p"/>
                  </m:rPr>
                  <m:t>=</m:t>
                </m:r>
                <m:sSub>
                  <m:e>
                    <m:r>
                      <m:t>P</m:t>
                    </m:r>
                  </m:e>
                  <m:sub>
                    <m:r>
                      <m:rPr>
                        <m:sty m:val="p"/>
                      </m:rPr>
                      <m:t>tot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max</m:t>
            </m:r>
          </m:sub>
        </m:sSub>
      </m:oMath>
      <w:r>
        <w:t xml:space="preserve"> </w:t>
      </w:r>
      <w:r>
        <w:t xml:space="preserve">is the largest axle offset,</w:t>
      </w:r>
      <w:r>
        <w:t xml:space="preserve"> </w:t>
      </w:r>
      <m:oMath>
        <m:sSub>
          <m:e>
            <m:r>
              <m:t>P</m:t>
            </m:r>
          </m:e>
          <m:sub>
            <m:r>
              <m:rPr>
                <m:sty m:val="p"/>
              </m:rPr>
              <m:t>tot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A channel observes the total load where</w:t>
      </w:r>
      <w:r>
        <w:t xml:space="preserve"> </w:t>
      </w:r>
      <m:oMath>
        <m:sSub>
          <m:e>
            <m:r>
              <m:t>C</m:t>
            </m:r>
          </m:e>
          <m:sub>
            <m:r>
              <m:t>m</m:t>
            </m:r>
          </m:sub>
        </m:sSub>
        <m:r>
          <m:rPr>
            <m:sty m:val="p"/>
          </m:rPr>
          <m:t>≠</m:t>
        </m:r>
        <m:r>
          <m:t>0</m:t>
        </m:r>
      </m:oMath>
      <w:r>
        <w:t xml:space="preserve">, a scalar notion narrower than state-space observability.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acc>
          <m:accPr>
            <m:chr m:val="̂"/>
          </m:accPr>
          <m:e>
            <m:r>
              <m:t>P</m:t>
            </m:r>
          </m:e>
        </m:acc>
        <m:r>
          <m:rPr>
            <m:sty m:val="p"/>
          </m:rPr>
          <m:t>=</m:t>
        </m:r>
        <m:r>
          <m:t>J</m:t>
        </m:r>
        <m:r>
          <m:rPr>
            <m:sty m:val="p"/>
          </m:rPr>
          <m:t>/</m:t>
        </m:r>
        <m:r>
          <m:t>C</m:t>
        </m:r>
      </m:oMath>
      <w:r>
        <w:t xml:space="preserve"> </w:t>
      </w:r>
      <w:r>
        <w:t xml:space="preserve">of</w:t>
      </w:r>
      <w:r>
        <w:t xml:space="preserve"> </w:t>
      </w:r>
      <m:oMath>
        <m:sSub>
          <m:e>
            <m:r>
              <m:t>P</m:t>
            </m:r>
          </m:e>
          <m:sub>
            <m:r>
              <m:rPr>
                <m:sty m:val="p"/>
              </m:rPr>
              <m:t>tot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Equation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and 4 test these assumptions, and Section 6 discusses their limits.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span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span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main</m:t>
            </m:r>
          </m:sub>
        </m:sSub>
        <m:r>
          <m:rPr>
            <m:sty m:val="p"/>
          </m:rPr>
          <m:t>/</m:t>
        </m:r>
        <m:sSub>
          <m:e>
            <m:r>
              <m:t>L</m:t>
            </m:r>
          </m:e>
          <m:sub>
            <m:r>
              <m:rPr>
                <m:sty m:val="p"/>
              </m:rPr>
              <m:t>side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side</m:t>
            </m:r>
          </m:sub>
        </m:sSub>
      </m:oMath>
      <w:r>
        <w:t xml:space="preserve"> </w:t>
      </w:r>
      <w:r>
        <w:t xml:space="preserve">of rigidity</w:t>
      </w:r>
      <w:r>
        <w:t xml:space="preserve"> </w:t>
      </w:r>
      <m:oMath>
        <m:r>
          <m:t>E</m:t>
        </m:r>
        <m:sSub>
          <m:e>
            <m:r>
              <m:t>I</m:t>
            </m:r>
          </m:e>
          <m:sub>
            <m:r>
              <m:rPr>
                <m:sty m:val="p"/>
              </m:rPr>
              <m:t>side</m:t>
            </m:r>
          </m:sub>
        </m:sSub>
      </m:oMath>
      <w:r>
        <w:t xml:space="preserve">, main span</w:t>
      </w:r>
      <w:r>
        <w:t xml:space="preserve"> </w:t>
      </w:r>
      <m:oMath>
        <m:sSub>
          <m:e>
            <m:r>
              <m:t>L</m:t>
            </m:r>
          </m:e>
          <m:sub>
            <m:r>
              <m:rPr>
                <m:sty m:val="p"/>
              </m:rPr>
              <m:t>main</m:t>
            </m:r>
          </m:sub>
        </m:sSub>
        <m:r>
          <m:rPr>
            <m:sty m:val="p"/>
          </m:rPr>
          <m:t>=</m:t>
        </m:r>
        <m:r>
          <m:t>β</m:t>
        </m:r>
        <m:sSub>
          <m:e>
            <m:r>
              <m:t>L</m:t>
            </m:r>
          </m:e>
          <m:sub>
            <m:r>
              <m:rPr>
                <m:sty m:val="p"/>
              </m:rPr>
              <m:t>side</m:t>
            </m:r>
          </m:sub>
        </m:sSub>
      </m:oMath>
      <w:r>
        <w:t xml:space="preserve"> </w:t>
      </w:r>
      <w:r>
        <w:t xml:space="preserve">of rigidity</w:t>
      </w:r>
      <w:r>
        <w:t xml:space="preserve"> </w:t>
      </w:r>
      <m:oMath>
        <m:r>
          <m:t>E</m:t>
        </m:r>
        <m:sSub>
          <m:e>
            <m:r>
              <m:t>I</m:t>
            </m:r>
          </m:e>
          <m:sub>
            <m:r>
              <m:rPr>
                <m:sty m:val="p"/>
              </m:rPr>
              <m:t>main</m:t>
            </m:r>
          </m:sub>
        </m:sSub>
        <m:r>
          <m:rPr>
            <m:sty m:val="p"/>
          </m:rPr>
          <m:t>=</m:t>
        </m:r>
        <m:r>
          <m:t>γ</m:t>
        </m:r>
        <m:r>
          <m:t>E</m:t>
        </m:r>
        <m:sSub>
          <m:e>
            <m:r>
              <m:t>I</m:t>
            </m:r>
          </m:e>
          <m:sub>
            <m:r>
              <m:rPr>
                <m:sty m:val="p"/>
              </m:rPr>
              <m:t>side</m:t>
            </m:r>
          </m:sub>
        </m:sSub>
      </m:oMath>
      <w:r>
        <w:t xml:space="preserve">, and side-span sensor at</w:t>
      </w:r>
      <w:r>
        <w:t xml:space="preserve"> </w:t>
      </w:r>
      <m:oMath>
        <m:r>
          <m:t>ξ</m:t>
        </m:r>
        <m:sSub>
          <m:e>
            <m:r>
              <m:t>L</m:t>
            </m:r>
          </m:e>
          <m:sub>
            <m:r>
              <m:rPr>
                <m:sty m:val="p"/>
              </m:rPr>
              <m:t>side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crit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crit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Mây Bridge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crit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ref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ref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this threshold is a design convention.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ref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 </w:t>
      </w:r>
      <w:r>
        <w:t xml:space="preserve">(cf. the comparison of net and absolute areas by Deng et al., 2025).</w:t>
      </w:r>
      <w:r>
        <w:t xml:space="preserve"> </w:t>
      </w:r>
      <m:oMath>
        <m:r>
          <m:t>R</m:t>
        </m:r>
      </m:oMath>
      <w:r>
        <w:t xml:space="preserve"> </w:t>
      </w:r>
      <w:r>
        <w:t xml:space="preserve">is defined for</w:t>
      </w:r>
      <w:r>
        <w:t xml:space="preserve"> </w:t>
      </w:r>
      <m:oMath>
        <m:r>
          <m:t>C</m:t>
        </m:r>
        <m:r>
          <m:rPr>
            <m:sty m:val="p"/>
          </m:rPr>
          <m:t>&gt;</m:t>
        </m:r>
        <m:r>
          <m:t>0</m:t>
        </m:r>
      </m:oMath>
      <w:r>
        <w:t xml:space="preserve"> </w:t>
      </w:r>
      <w:r>
        <w:t xml:space="preserve">(for</w:t>
      </w:r>
      <w:r>
        <w:t xml:space="preserve"> </w:t>
      </w:r>
      <m:oMath>
        <m:r>
          <m:t>C</m:t>
        </m:r>
        <m:r>
          <m:rPr>
            <m:sty m:val="p"/>
          </m:rPr>
          <m:t>&lt;</m:t>
        </m:r>
        <m:r>
          <m:t>0</m:t>
        </m:r>
      </m:oMath>
      <w:r>
        <w:t xml:space="preserve">,</w:t>
      </w:r>
      <w:r>
        <w:t xml:space="preserve"> </w:t>
      </w:r>
      <m:oMath>
        <m:sSup>
          <m:e>
            <m:r>
              <m:t>A</m:t>
            </m:r>
          </m:e>
          <m:sup>
            <m:r>
              <m:rPr>
                <m:sty m:val="p"/>
              </m:rPr>
              <m:t>+</m:t>
            </m:r>
          </m:sup>
        </m:sSup>
      </m:oMath>
      <w:r>
        <w:t xml:space="preserve"> </w:t>
      </w:r>
      <w:r>
        <w:t xml:space="preserve">and</w:t>
      </w:r>
      <w:r>
        <w:t xml:space="preserve"> </w:t>
      </w:r>
      <m:oMath>
        <m:sSup>
          <m:e>
            <m:r>
              <m:t>A</m:t>
            </m:r>
          </m:e>
          <m:sup>
            <m:r>
              <m:rPr>
                <m:sty m:val="p"/>
              </m:rPr>
              <m:t>−</m:t>
            </m:r>
          </m:sup>
        </m:sSup>
      </m:oMath>
      <w:r>
        <w:t xml:space="preserve"> </w:t>
      </w:r>
      <w:r>
        <w:t xml:space="preserve">change roles); it equals 1 for a simply supported span and 0 at a blind configuration, so a small indicator with</w:t>
      </w:r>
      <w:r>
        <w:t xml:space="preserve"> </w:t>
      </w:r>
      <m:oMath>
        <m:r>
          <m:t>R</m:t>
        </m:r>
      </m:oMath>
      <w:r>
        <w:t xml:space="preserve"> </w:t>
      </w:r>
      <w:r>
        <w:t xml:space="preserve">near 1 indicates restraint rather than cancellation. At mid-span of two equal spans, strain influence lines cancel less than deflection influence lines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but near a zero of</w:t>
      </w:r>
      <w:r>
        <w:t xml:space="preserve"> </w:t>
      </w:r>
      <m:oMath>
        <m:sSub>
          <m:e>
            <m:r>
              <m:t>M</m:t>
            </m:r>
          </m:e>
          <m:sub>
            <m:r>
              <m:t>q</m:t>
            </m:r>
          </m:sub>
        </m:sSub>
      </m:oMath>
      <w:r>
        <w:t xml:space="preserve"> </w:t>
      </w:r>
      <w:r>
        <w:t xml:space="preserve">the order reverses.</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tot</m:t>
            </m:r>
          </m:sub>
        </m:sSub>
      </m:oMath>
      <w:r>
        <w:t xml:space="preserve"> </w:t>
      </w:r>
      <w:r>
        <w:t xml:space="preserve">to the integral over a record of length</w:t>
      </w:r>
      <w:r>
        <w:t xml:space="preserve"> </w:t>
      </w:r>
      <m:oMath>
        <m:sSub>
          <m:e>
            <m:r>
              <m:t>L</m:t>
            </m:r>
          </m:e>
          <m:sub>
            <m:r>
              <m:rPr>
                <m:sty m:val="p"/>
              </m:rPr>
              <m:t>tot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tot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tot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Var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Var</m:t>
                </m:r>
                <m:r>
                  <m:t> </m:t>
                </m:r>
                <m:sSub>
                  <m:e>
                    <m:acc>
                      <m:accPr>
                        <m:chr m:val="̂"/>
                      </m:accPr>
                      <m:e>
                        <m:r>
                          <m:t>P</m:t>
                        </m:r>
                      </m:e>
                    </m:acc>
                  </m:e>
                  <m:sub>
                    <m:r>
                      <m:rPr>
                        <m:sty m:val="p"/>
                      </m:rPr>
                      <m:t>zs</m:t>
                    </m:r>
                  </m:sub>
                </m:sSub>
                <m:r>
                  <m:rPr>
                    <m:sty m:val="p"/>
                  </m:rPr>
                  <m:t>=</m:t>
                </m:r>
                <m:f>
                  <m:fPr>
                    <m:type m:val="bar"/>
                  </m:fPr>
                  <m:num>
                    <m:sSup>
                      <m:e>
                        <m:r>
                          <m:t>σ</m:t>
                        </m:r>
                      </m:e>
                      <m:sup>
                        <m:r>
                          <m:t>2</m:t>
                        </m:r>
                      </m:sup>
                    </m:sSup>
                    <m:r>
                      <m:t>Δ</m:t>
                    </m:r>
                    <m:r>
                      <m:t>x</m:t>
                    </m:r>
                    <m:r>
                      <m:t> </m:t>
                    </m:r>
                    <m:sSub>
                      <m:e>
                        <m:r>
                          <m:t>L</m:t>
                        </m:r>
                      </m:e>
                      <m:sub>
                        <m:r>
                          <m:rPr>
                            <m:sty m:val="p"/>
                          </m:rPr>
                          <m:t>tot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tot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Var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as in extreme-point optimal design (Elfving, 1952),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extreme of largest</w:t>
      </w:r>
      <w:r>
        <w:t xml:space="preserve"> </w:t>
      </w:r>
      <m:oMath>
        <m:d>
          <m:dPr>
            <m:begChr m:val="|"/>
            <m:endChr m:val="|"/>
            <m:sepChr m:val=""/>
            <m:grow/>
          </m:dPr>
          <m:e>
            <m:r>
              <m:t>C</m:t>
            </m:r>
          </m:e>
        </m:d>
      </m:oMath>
      <w:r>
        <w:t xml:space="preserve">;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Identifiability is meant here in the sense of Katafygiotis and Beck (1998), and the Fisher-information criteria used for sensor placement (Udwadia, 1994; Papadimitriou, 2004) are applied in Section 5.3 to the single scalar</w:t>
      </w:r>
      <w:r>
        <w:t xml:space="preserve"> </w:t>
      </w:r>
      <m:oMath>
        <m:r>
          <m:t>C</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Equation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side</m:t>
                        </m:r>
                      </m:sub>
                    </m:sSub>
                  </m:num>
                  <m:den>
                    <m:r>
                      <m:t>E</m:t>
                    </m:r>
                    <m:sSub>
                      <m:e>
                        <m:r>
                          <m:t>I</m:t>
                        </m:r>
                      </m:e>
                      <m:sub>
                        <m:r>
                          <m:rPr>
                            <m:sty m:val="p"/>
                          </m:rPr>
                          <m:t>side</m:t>
                        </m:r>
                      </m:sub>
                    </m:sSub>
                  </m:den>
                </m:f>
                <m:r>
                  <m:rPr>
                    <m:sty m:val="p"/>
                  </m:rPr>
                  <m:t>.</m:t>
                </m:r>
              </m:oMath>
            </m:oMathPara>
          </w:p>
        </w:tc>
        <w:tc>
          <w:tcPr>
            <w:tcW w:type="dxa" w:w="907"/>
            <w:vAlign w:val="center"/>
          </w:tcPr>
          <w:p>
            <w:pPr>
              <w:jc w:val="right"/>
            </w:pPr>
            <w:r>
              <w:t xml:space="preserve">(16)</w:t>
            </w:r>
          </w:p>
        </w:tc>
      </w:tr>
    </w:tbl>
    <w:p>
      <w:pPr>
        <w:pStyle w:val="BodyText"/>
      </w:pPr>
      <w:r>
        <w:t xml:space="preserve">Equation (16) replaces</w:t>
      </w:r>
      <w:r>
        <w:t xml:space="preserve"> </w:t>
      </w:r>
      <m:oMath>
        <m:sSub>
          <m:e>
            <m:r>
              <m:t>μ</m:t>
            </m:r>
          </m:e>
          <m:sub>
            <m:r>
              <m:rPr>
                <m:sty m:val="p"/>
              </m:rPr>
              <m:t>3</m:t>
            </m:r>
            <m:r>
              <m:rPr>
                <m:sty m:val="p"/>
              </m:rPr>
              <m:t>span</m:t>
            </m:r>
          </m:sub>
        </m:sSub>
      </m:oMath>
      <w:r>
        <w:t xml:space="preserve"> </w:t>
      </w:r>
      <w:r>
        <w:t xml:space="preserve">in Eq. (5). In the main span the end-moment parameter becomes</w:t>
      </w:r>
      <w:r>
        <w:t xml:space="preserve"> </w:t>
      </w:r>
      <m:oMath>
        <m:sSub>
          <m:e>
            <m:acc>
              <m:accPr>
                <m:chr m:val="‾"/>
              </m:accPr>
              <m:e>
                <m:r>
                  <m:t>M</m:t>
                </m:r>
              </m:e>
            </m:acc>
          </m:e>
          <m:sub>
            <m:r>
              <m:rPr>
                <m:sty m:val="p"/>
              </m:rPr>
              <m:t>main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90</m:t>
        </m:r>
        <m:r>
          <m:rPr>
            <m:sty m:val="p"/>
          </m:rPr>
          <m:t>/</m:t>
        </m:r>
        <m:r>
          <m:t>55</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International Organization of Legal Metrology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4147199" cy="431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4147199" cy="431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12 gauges, but only ch11 shows equal constants for both trucks within ±10 % (Fig. 5a); with 12 tests at the 5 % level, one gauge passing this ±10 % check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(90 % CI 0.76–1.27, used for the equivalence test), so it is a coarse check of linearity and processing. A speed effect was neither resolved nor excluded (Supplementary Fig. S9).</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runs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The st36-to-st40 ratio also changes with the lane, by about 2.5 standard errors. Both observations make a spread of gauge factors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S7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(8 on day 2,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Mean-weight predictor (mean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w:t>
      </w:r>
      <m:oMath>
        <m:r>
          <m:t>L</m:t>
        </m:r>
      </m:oMath>
      <w:r>
        <w:t xml:space="preserve"> </w:t>
      </w:r>
      <w:r>
        <w:t xml:space="preserve">(22 m) from T8, and at N7, mid main span. Each section has six readings (three points across, central and eccentric arrangements), with means of 5.55 mm at N8 and 15.43 mm at N7 (Supplementary Tables S10, S11 and 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Figure 6 shows the indicators along the girder.</w:t>
      </w:r>
    </w:p>
    <w:p>
      <w:pPr>
        <w:pStyle w:val="Figure"/>
      </w:pPr>
      <w:r>
        <w:drawing>
          <wp:inline>
            <wp:extent cx="4117024" cy="431999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4117024" cy="431999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Mây Bridge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Dots in (b): strain blind points (zeros of the uniform-load moment). Dotted lines: gauges N7 and N8 (0.4</w:t>
      </w:r>
      <m:oMath>
        <m:r>
          <m:t>L</m:t>
        </m:r>
      </m:oMath>
      <w:r>
        <w:t xml:space="preserve">) and the mid side-span position.</w:t>
      </w:r>
    </w:p>
    <w:bookmarkEnd w:id="51"/>
    <w:bookmarkStart w:id="55" w:name="what-the-static-data-identify"/>
    <w:p>
      <w:pPr>
        <w:pStyle w:val="Heading3"/>
      </w:pPr>
      <w:r>
        <w:t xml:space="preserve">5.2. What the static data identify</w:t>
      </w:r>
    </w:p>
    <w:p>
      <w:pPr>
        <w:pStyle w:val="FirstParagraph"/>
      </w:pPr>
      <w:r>
        <w:t xml:space="preserve">Because of a model-form misfit and the Möbius law of Eq. (15), the static data leave the constant of the side-span gauge N8 uncertain by a factor of 6.6 at the tolerance defined below, whereas that of the main-span gauge N7 is bounded within a factor of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Mây Bridge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haunch length</w:t>
      </w:r>
      <w:r>
        <w:t xml:space="preserve"> </w:t>
      </w:r>
      <m:oMath>
        <m:sSub>
          <m:e>
            <m:r>
              <m:t>L</m:t>
            </m:r>
          </m:e>
          <m:sub>
            <m:r>
              <m:rPr>
                <m:sty m:val="p"/>
              </m:rPr>
              <m:t>v</m:t>
            </m:r>
          </m:sub>
        </m:sSub>
      </m:oMath>
      <w:r>
        <w:t xml:space="preserve">, haunch exponent, rigid pier zone)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using the pooled standard error,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S12).</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(the upper end requires</w:t>
      </w:r>
      <w:r>
        <w:t xml:space="preserve"> </w:t>
      </w:r>
      <m:oMath>
        <m:r>
          <m:t>α</m:t>
        </m:r>
        <m:r>
          <m:rPr>
            <m:sty m:val="p"/>
          </m:rPr>
          <m:t>≈</m:t>
        </m:r>
        <m:r>
          <m:t>0.5</m:t>
        </m:r>
      </m:oMath>
      <w:r>
        <w:t xml:space="preserve">; Table 3, note b),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In the base model,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Mây Bridge gauges;</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the haunch-length variants (</w:t>
      </w:r>
      <m:oMath>
        <m:sSub>
          <m:e>
            <m:r>
              <m:t>L</m:t>
            </m:r>
          </m:e>
          <m:sub>
            <m:r>
              <m:rPr>
                <m:sty m:val="p"/>
              </m:rPr>
              <m:t>v</m:t>
            </m:r>
          </m:sub>
        </m:sSub>
      </m:oMath>
      <w:r>
        <w:t xml:space="preserve"> </w:t>
      </w:r>
      <w:r>
        <w:t xml:space="preserve">= 40–45 m).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mid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quarter to one third of that at mid-span, and one fifth at the pier face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with the ranking by</w:t>
      </w:r>
      <w:r>
        <w:t xml:space="preserve"> </w:t>
      </w:r>
      <m:oMath>
        <m:sSub>
          <m:e>
            <m:r>
              <m:t>N</m:t>
            </m:r>
          </m:e>
          <m:sub>
            <m:r>
              <m:t>M</m:t>
            </m:r>
          </m:sub>
        </m:sSub>
      </m:oMath>
      <w:r>
        <w:t xml:space="preserve">.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in variance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and the zero-sum estimator;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the design pier stiffness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Equation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For position-independent noise,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Mây Bridge admissible set, with</w:t>
      </w:r>
      <w:r>
        <w:t xml:space="preserve"> </w:t>
      </w:r>
      <m:oMath>
        <m:sSub>
          <m:e>
            <m:r>
              <m:t>L</m:t>
            </m:r>
          </m:e>
          <m:sub>
            <m:r>
              <m:rPr>
                <m:sty m:val="p"/>
              </m:rPr>
              <m:t>tot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influence-line BWIM, which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no deflection channel and no gauge at a zero-moment point, so weight discrimination, the strain and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a mid-span gauge on two spans of equal rigidity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For position-independent noise,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For a symmetric girder with equal piers, the constant is a linear-fractional (Möbius) function of the scaled pier stiffness. On a 55 + 90 + 55 m box girder, two static readings leave the constant of the side-span deflection gauge uncertain by a factor of 6.6 at a two-standard-deviation tolerance, whereas the main-span constant is bounded within a factor of 1.5; at the design pier stiffness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gauge-average constants were consistent with invariance and superposition within the 10–27 % that the noise resolves, although four day-1 gauges without axle spikes differed by 22–26 % between trucks, with speed confounded; each lane and deck gauge needed its own constant. On one day, GLS weights from vehicle-free noise were worse out of sample than the gauge average (20.4 % against 11.9 %), consistent with the much lower correlation of crossing residuals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(HUCE consultancy) for permission to use the acceptance-test data of the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Investigation, Data curation,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Mây Bridge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Mây Bridge load test was performed by an author of this paper, and the authors are permitted to publish the processed data. The laboratory and Mây Bridge data, the analysis scripts with the console output of each run, and the derived data behind every figure and table are provided as Supplementary Material.</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Agüero-Barrantes P, Lobo Aguilar S and Christenson RE (2021) Sparse sensing bridge weigh-in-motion for single-span bridges. Métodos y Materiales 11: 43–53. DOI: 10.15517/mym.v11i0.46400.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Elfving G (1952) Optimum allocation in linear regression theory. Annals of Mathematical Statistics 23(2): 255–262. DOI: 10.1214/aoms/1177729442.</w:t>
      </w:r>
    </w:p>
    <w:p>
      <w:pPr>
        <w:pStyle w:val="BodyText"/>
        <w:ind w:left="425" w:hanging="425"/>
        <w:jc w:val="left"/>
      </w:pPr>
      <w:r>
        <w:t xml:space="preserve">Fan Y, Zhu J, Pei J, Li Z and Wu Y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Hao T, Xie Z and Yu M (2019) The identification technology of vehicle weight based on bridge strain time-history curve. Advances in Structural Engineering 22(7): 1606–1616. DOI: 10.1177/1369433218823487.</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Katafygiotis LS and Beck JL (1998) Updating models and their uncertainties. II: Model identifiability. Journal of Engineering Mechanics 124(4): 463–467. DOI: 10.1061/(ASCE)0733-9399(1998)124:4(463).</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Lin SW, Du YL, Yi TH and Yang DH (2023) Influence lines-based model updating of suspension bridges considering boundary conditions. Advances in Structural Engineering 26(2): 316–328. DOI: 10.1177/13694332221126374.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Papadimitriou C (2004) Optimal sensor placement methodology for parametric identification of structural systems. Journal of Sound and Vibration 278(4–5): 923–947. DOI: 10.1016/j.jsv.2003.10.063.</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Udwadia FE (1994) Methodology for optimum sensor locations for parameter identification in dynamic systems. Journal of Engineering Mechanics 120(2): 368–390. DOI: 10.1061/(ASCE)0733-9399(1994)120:2(368).</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Wang C, Zhang WS, Pan X, He WY and Ren WX (2026) Deflection influence line identification under moving vehicle based on variational modal decomposition and B-spline basis function. Advances in Structural Engineering 29(4): 779–792. DOI: 10.1177/13694332251363355.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Yang C and Zhang Y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2026(1): 1361157. DOI: 10.1155/stc/1361157.</w:t>
      </w:r>
    </w:p>
    <w:p>
      <w:pPr>
        <w:pStyle w:val="BodyText"/>
        <w:ind w:left="425" w:hanging="425"/>
        <w:jc w:val="left"/>
      </w:pPr>
      <w:r>
        <w:t xml:space="preserve">Zhu J, Wang C, Qi T and Zhou Z (2022) Vehicle load identification on orthotropic steel box beam bridge based on the strain response area. Applied Sciences 12(23): 12394. DOI: 10.3390/app122312394.</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p>
      <w:pPr>
        <w:pStyle w:val="BodyText"/>
        <w:ind w:left="425" w:hanging="425"/>
        <w:jc w:val="left"/>
      </w:pPr>
      <w:r>
        <w:t xml:space="preserve">Zuo XH, He WY and Ren WX (2019) Vehicle weight identification for a bridge with multi-T-girders based on load transverse distribution coefficient. Advances in Structural Engineering 22(16): 3435–3443. DOI: 10.1177/1369433219854548.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2026-10-19T17:29:48Z</dcterms:created>
  <dcterms:modified xsi:type="dcterms:W3CDTF">2026-10-19T17:29:48Z</dcterms:modified>
</cp:coreProperties>
</file>

<file path=docProps/custom.xml><?xml version="1.0" encoding="utf-8"?>
<Properties xmlns="http://schemas.openxmlformats.org/officeDocument/2006/custom-properties" xmlns:vt="http://schemas.openxmlformats.org/officeDocument/2006/docPropsVTypes"/>
</file>