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Observability and sensor layout for influence-area load monitoring of continuous girder bridges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892"/>
        <w:gridCol w:w="6177"/>
      </w:tblGrid>
      <w:tr>
        <w:trPr>
          <w:tblHeader w:val="true"/>
          <w:tblHeader w:val="true"/>
          <w:cantSplit/>
        </w:trPr>
        <w:tc>
          <w:tcPr>
            <w:tcW w:type="dxa" w:w="2892"/>
            <w:tcBorders>
              <w:top w:val="nil"/>
              <w:left w:val="nil"/>
              <w:bottom w:val="single" w:sz="6" w:space="0" w:color="000000"/>
              <w:right w:val="nil"/>
            </w:tcBorders>
          </w:tcPr>
          <w:p>
            <w:pPr>
              <w:pStyle w:val="Compact"/>
              <w:jc w:val="left"/>
            </w:pPr>
            <w:r>
              <w:t xml:space="preserve">Symbol</w:t>
            </w:r>
          </w:p>
        </w:tc>
        <w:tc>
          <w:tcPr>
            <w:tcW w:type="dxa" w:w="6177"/>
            <w:tcBorders>
              <w:top w:val="nil"/>
              <w:left w:val="nil"/>
              <w:bottom w:val="single" w:sz="6" w:space="0" w:color="000000"/>
              <w:right w:val="nil"/>
            </w:tcBorders>
          </w:tcPr>
          <w:p>
            <w:pPr>
              <w:pStyle w:val="Compact"/>
              <w:jc w:val="left"/>
            </w:pPr>
            <w:r>
              <w:t xml:space="preserve">Meaning</w:t>
            </w:r>
          </w:p>
        </w:tc>
      </w:tr>
      <w:tr>
        <w:trPr>
          <w:cantSplit/>
        </w:trPr>
        <w:tc>
          <w:tcPr>
            <w:tcW w:type="dxa" w:w="2892"/>
          </w:tcPr>
          <w:p>
            <w:pPr>
              <w:pStyle w:val="Compact"/>
              <w:jc w:val="left"/>
            </w:pPr>
            <m:oMath>
              <m:sSup>
                <m:e>
                  <m:r>
                    <m:t>A</m:t>
                  </m:r>
                </m:e>
                <m:sup>
                  <m:r>
                    <m:rPr>
                      <m:sty m:val="p"/>
                    </m:rPr>
                    <m:t>+</m:t>
                  </m:r>
                </m:sup>
              </m:sSup>
            </m:oMath>
          </w:p>
        </w:tc>
        <w:tc>
          <w:tcPr>
            <w:tcW w:type="dxa" w:w="6177"/>
          </w:tcPr>
          <w:p>
            <w:pPr>
              <w:pStyle w:val="Compact"/>
              <w:jc w:val="left"/>
            </w:pPr>
            <w:r>
              <w:t xml:space="preserve">positive part of the area under an influence line</w:t>
            </w:r>
          </w:p>
        </w:tc>
      </w:tr>
      <w:tr>
        <w:trPr>
          <w:cantSplit/>
        </w:trPr>
        <w:tc>
          <w:tcPr>
            <w:tcW w:type="dxa" w:w="2892"/>
          </w:tcPr>
          <w:p>
            <w:pPr>
              <w:pStyle w:val="Compact"/>
              <w:jc w:val="left"/>
            </w:pPr>
            <m:oMath>
              <m:r>
                <m:t>a</m:t>
              </m:r>
            </m:oMath>
          </w:p>
        </w:tc>
        <w:tc>
          <w:tcPr>
            <w:tcW w:type="dxa" w:w="6177"/>
          </w:tcPr>
          <w:p>
            <w:pPr>
              <w:pStyle w:val="Compact"/>
              <w:jc w:val="left"/>
            </w:pPr>
            <w:r>
              <w:t xml:space="preserve">vector of channel weights of a multi-channel estimator</w:t>
            </w:r>
          </w:p>
        </w:tc>
      </w:tr>
      <w:tr>
        <w:trPr>
          <w:cantSplit/>
        </w:trPr>
        <w:tc>
          <w:tcPr>
            <w:tcW w:type="dxa" w:w="2892"/>
          </w:tcPr>
          <w:p>
            <w:pPr>
              <w:pStyle w:val="Compact"/>
              <w:jc w:val="left"/>
            </w:pPr>
            <m:oMath>
              <m:r>
                <m:t>b</m:t>
              </m:r>
            </m:oMath>
          </w:p>
        </w:tc>
        <w:tc>
          <w:tcPr>
            <w:tcW w:type="dxa" w:w="6177"/>
          </w:tcPr>
          <w:p>
            <w:pPr>
              <w:pStyle w:val="Compact"/>
              <w:jc w:val="left"/>
            </w:pPr>
            <w:r>
              <w:t xml:space="preserve">relative bias of the load caused by a residual offset, Eq. (12)</w:t>
            </w:r>
          </w:p>
        </w:tc>
      </w:tr>
      <w:tr>
        <w:trPr>
          <w:cantSplit/>
        </w:trPr>
        <w:tc>
          <w:tcPr>
            <w:tcW w:type="dxa" w:w="2892"/>
          </w:tcPr>
          <w:p>
            <w:pPr>
              <w:pStyle w:val="Compact"/>
              <w:jc w:val="left"/>
            </w:pPr>
            <m:oMath>
              <m:sSub>
                <m:e>
                  <m:r>
                    <m:t>B</m:t>
                  </m:r>
                </m:e>
                <m:sub>
                  <m:r>
                    <m:t>m</m:t>
                  </m:r>
                </m:sub>
              </m:sSub>
            </m:oMath>
          </w:p>
        </w:tc>
        <w:tc>
          <w:tcPr>
            <w:tcW w:type="dxa" w:w="6177"/>
          </w:tcPr>
          <w:p>
            <w:pPr>
              <w:pStyle w:val="Compact"/>
              <w:jc w:val="left"/>
            </w:pPr>
            <w:r>
              <w:t xml:space="preserve">boundary sensitivity</w:t>
            </w:r>
            <w:r>
              <w:t xml:space="preserve"> </w:t>
            </w:r>
            <m:oMath>
              <m:r>
                <m:rPr>
                  <m:sty m:val="p"/>
                </m:rPr>
                <m:t>|</m:t>
              </m:r>
              <m:r>
                <m:rPr>
                  <m:sty m:val="p"/>
                </m:rPr>
                <m:t>∂</m:t>
              </m:r>
              <m:r>
                <m:rPr>
                  <m:sty m:val="p"/>
                </m:rPr>
                <m:t>ln</m:t>
              </m:r>
              <m:sSub>
                <m:e>
                  <m:r>
                    <m:t>C</m:t>
                  </m:r>
                </m:e>
                <m:sub>
                  <m:r>
                    <m:t>m</m:t>
                  </m:r>
                </m:sub>
              </m:sSub>
              <m:r>
                <m:rPr>
                  <m:sty m:val="p"/>
                </m:rPr>
                <m:t>/</m:t>
              </m:r>
              <m:r>
                <m:rPr>
                  <m:sty m:val="p"/>
                </m:rPr>
                <m:t>∂</m:t>
              </m:r>
              <m:r>
                <m:rPr>
                  <m:sty m:val="p"/>
                </m:rPr>
                <m:t>ln</m:t>
              </m:r>
              <m:r>
                <m:t>κ</m:t>
              </m:r>
              <m:r>
                <m:rPr>
                  <m:sty m:val="p"/>
                </m:rPr>
                <m:t>|</m:t>
              </m:r>
            </m:oMath>
          </w:p>
        </w:tc>
      </w:tr>
      <w:tr>
        <w:trPr>
          <w:cantSplit/>
        </w:trPr>
        <w:tc>
          <w:tcPr>
            <w:tcW w:type="dxa" w:w="289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6177"/>
          </w:tcPr>
          <w:p>
            <w:pPr>
              <w:pStyle w:val="Compact"/>
              <w:jc w:val="left"/>
            </w:pPr>
            <w:r>
              <w:t xml:space="preserve">integral constant for pinned and for fixed piers at</w:t>
            </w:r>
            <w:r>
              <w:t xml:space="preserve"> </w:t>
            </w:r>
            <m:oMath>
              <m:r>
                <m:t>α</m:t>
              </m:r>
              <m:r>
                <m:rPr>
                  <m:sty m:val="p"/>
                </m:rPr>
                <m:t>=</m:t>
              </m:r>
              <m:r>
                <m:t>1</m:t>
              </m:r>
            </m:oMath>
            <w:r>
              <w:t xml:space="preserve">, Eq. (15)</w:t>
            </w:r>
          </w:p>
        </w:tc>
      </w:tr>
      <w:tr>
        <w:trPr>
          <w:cantSplit/>
        </w:trPr>
        <w:tc>
          <w:tcPr>
            <w:tcW w:type="dxa" w:w="2892"/>
          </w:tcPr>
          <w:p>
            <w:pPr>
              <w:pStyle w:val="Compact"/>
              <w:jc w:val="left"/>
            </w:pPr>
            <m:oMath>
              <m:sSub>
                <m:e>
                  <m:r>
                    <m:t>C</m:t>
                  </m:r>
                </m:e>
                <m:sub>
                  <m:r>
                    <m:t>m</m:t>
                  </m:r>
                </m:sub>
              </m:sSub>
            </m:oMath>
          </w:p>
        </w:tc>
        <w:tc>
          <w:tcPr>
            <w:tcW w:type="dxa" w:w="617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289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6177"/>
          </w:tcPr>
          <w:p>
            <w:pPr>
              <w:pStyle w:val="Compact"/>
              <w:jc w:val="left"/>
            </w:pPr>
            <w:r>
              <w:t xml:space="preserve">integral constant of a strain, rotation and shear channel</w:t>
            </w:r>
          </w:p>
        </w:tc>
      </w:tr>
      <w:tr>
        <w:trPr>
          <w:cantSplit/>
        </w:trPr>
        <w:tc>
          <w:tcPr>
            <w:tcW w:type="dxa" w:w="2892"/>
          </w:tcPr>
          <w:p>
            <w:pPr>
              <w:pStyle w:val="Compact"/>
              <w:jc w:val="left"/>
            </w:pPr>
            <m:oMath>
              <m:r>
                <m:t>c</m:t>
              </m:r>
            </m:oMath>
          </w:p>
        </w:tc>
        <w:tc>
          <w:tcPr>
            <w:tcW w:type="dxa" w:w="6177"/>
          </w:tcPr>
          <w:p>
            <w:pPr>
              <w:pStyle w:val="Compact"/>
              <w:jc w:val="left"/>
            </w:pPr>
            <w:r>
              <w:t xml:space="preserve">distance of the gauged fiber from the neutral axis (m)</w:t>
            </w:r>
          </w:p>
        </w:tc>
      </w:tr>
      <w:tr>
        <w:trPr>
          <w:cantSplit/>
        </w:trPr>
        <w:tc>
          <w:tcPr>
            <w:tcW w:type="dxa" w:w="2892"/>
          </w:tcPr>
          <w:p>
            <w:pPr>
              <w:pStyle w:val="Compact"/>
              <w:jc w:val="left"/>
            </w:pPr>
            <m:oMath>
              <m:sSub>
                <m:e>
                  <m:r>
                    <m:t>d</m:t>
                  </m:r>
                </m:e>
                <m:sub>
                  <m:r>
                    <m:t>i</m:t>
                  </m:r>
                </m:sub>
              </m:sSub>
            </m:oMath>
          </w:p>
        </w:tc>
        <w:tc>
          <w:tcPr>
            <w:tcW w:type="dxa" w:w="6177"/>
          </w:tcPr>
          <w:p>
            <w:pPr>
              <w:pStyle w:val="Compact"/>
              <w:jc w:val="left"/>
            </w:pPr>
            <w:r>
              <w:t xml:space="preserve">distance of axle</w:t>
            </w:r>
            <w:r>
              <w:t xml:space="preserve"> </w:t>
            </w:r>
            <m:oMath>
              <m:r>
                <m:t>i</m:t>
              </m:r>
            </m:oMath>
            <w:r>
              <w:t xml:space="preserve"> </w:t>
            </w:r>
            <w:r>
              <w:t xml:space="preserve">behind the first axle (m)</w:t>
            </w:r>
          </w:p>
        </w:tc>
      </w:tr>
      <w:tr>
        <w:trPr>
          <w:cantSplit/>
        </w:trPr>
        <w:tc>
          <w:tcPr>
            <w:tcW w:type="dxa" w:w="2892"/>
          </w:tcPr>
          <w:p>
            <w:pPr>
              <w:pStyle w:val="Compact"/>
              <w:jc w:val="left"/>
            </w:pPr>
            <m:oMath>
              <m:r>
                <m:t>E</m:t>
              </m:r>
              <m:r>
                <m:t>I</m:t>
              </m:r>
            </m:oMath>
            <w:r>
              <w:t xml:space="preserve">,</w:t>
            </w:r>
            <w:r>
              <w:t xml:space="preserve"> </w:t>
            </w:r>
            <m:oMath>
              <m:r>
                <m:t>E</m:t>
              </m:r>
              <m:sSub>
                <m:e>
                  <m:r>
                    <m:t>I</m:t>
                  </m:r>
                </m:e>
                <m:sub>
                  <m:r>
                    <m:rPr>
                      <m:sty m:val="p"/>
                    </m:rPr>
                    <m:t>mid</m:t>
                  </m:r>
                </m:sub>
              </m:sSub>
            </m:oMath>
            <w:r>
              <w:t xml:space="preserve">,</w:t>
            </w:r>
            <w:r>
              <w:t xml:space="preserve"> </w:t>
            </w:r>
            <m:oMath>
              <m:r>
                <m:t>E</m:t>
              </m:r>
              <m:sSub>
                <m:e>
                  <m:r>
                    <m:t>I</m:t>
                  </m:r>
                </m:e>
                <m:sub>
                  <m:r>
                    <m:rPr>
                      <m:sty m:val="p"/>
                    </m:rPr>
                    <m:t>ref</m:t>
                  </m:r>
                </m:sub>
              </m:sSub>
            </m:oMath>
          </w:p>
        </w:tc>
        <w:tc>
          <w:tcPr>
            <w:tcW w:type="dxa" w:w="6177"/>
          </w:tcPr>
          <w:p>
            <w:pPr>
              <w:pStyle w:val="Compact"/>
              <w:jc w:val="left"/>
            </w:pPr>
            <w:r>
              <w:t xml:space="preserve">flexural rigidity;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2892"/>
          </w:tcPr>
          <w:p>
            <w:pPr>
              <w:pStyle w:val="Compact"/>
              <w:jc w:val="left"/>
            </w:pPr>
            <m:oMath>
              <m:sSub>
                <m:e>
                  <m:r>
                    <m:t>F</m:t>
                  </m:r>
                </m:e>
                <m:sub>
                  <m:r>
                    <m:t>A</m:t>
                  </m:r>
                </m:sub>
              </m:sSub>
            </m:oMath>
          </w:p>
        </w:tc>
        <w:tc>
          <w:tcPr>
            <w:tcW w:type="dxa" w:w="6177"/>
          </w:tcPr>
          <w:p>
            <w:pPr>
              <w:pStyle w:val="Compact"/>
              <w:jc w:val="left"/>
            </w:pPr>
            <w:r>
              <w:t xml:space="preserve">end-support reaction (kN)</w:t>
            </w:r>
          </w:p>
        </w:tc>
      </w:tr>
      <w:tr>
        <w:trPr>
          <w:cantSplit/>
        </w:trPr>
        <w:tc>
          <w:tcPr>
            <w:tcW w:type="dxa" w:w="2892"/>
          </w:tcPr>
          <w:p>
            <w:pPr>
              <w:pStyle w:val="Compact"/>
              <w:jc w:val="left"/>
            </w:pPr>
            <m:oMath>
              <m:sSub>
                <m:e>
                  <m:r>
                    <m:t>f</m:t>
                  </m:r>
                </m:e>
                <m:sub>
                  <m:r>
                    <m:t>1</m:t>
                  </m:r>
                </m:sub>
              </m:sSub>
            </m:oMath>
            <w:r>
              <w:t xml:space="preserve">,</w:t>
            </w:r>
            <w:r>
              <w:t xml:space="preserve"> </w:t>
            </w:r>
            <m:oMath>
              <m:sSub>
                <m:e>
                  <m:r>
                    <m:t>T</m:t>
                  </m:r>
                </m:e>
                <m:sub>
                  <m:r>
                    <m:t>1</m:t>
                  </m:r>
                </m:sub>
              </m:sSub>
            </m:oMath>
          </w:p>
        </w:tc>
        <w:tc>
          <w:tcPr>
            <w:tcW w:type="dxa" w:w="6177"/>
          </w:tcPr>
          <w:p>
            <w:pPr>
              <w:pStyle w:val="Compact"/>
              <w:jc w:val="left"/>
            </w:pPr>
            <w:r>
              <w:t xml:space="preserve">fundamental frequency and period of the girder</w:t>
            </w:r>
          </w:p>
        </w:tc>
      </w:tr>
      <w:tr>
        <w:trPr>
          <w:cantSplit/>
        </w:trPr>
        <w:tc>
          <w:tcPr>
            <w:tcW w:type="dxa" w:w="2892"/>
          </w:tcPr>
          <w:p>
            <w:pPr>
              <w:pStyle w:val="Compact"/>
              <w:jc w:val="left"/>
            </w:pPr>
            <m:oMath>
              <m:r>
                <m:t>g</m:t>
              </m:r>
              <m:d>
                <m:dPr>
                  <m:begChr m:val="("/>
                  <m:endChr m:val=")"/>
                  <m:sepChr m:val=""/>
                  <m:grow/>
                </m:dPr>
                <m:e>
                  <m:r>
                    <m:t>x</m:t>
                  </m:r>
                </m:e>
              </m:d>
            </m:oMath>
          </w:p>
        </w:tc>
        <w:tc>
          <w:tcPr>
            <w:tcW w:type="dxa" w:w="6177"/>
          </w:tcPr>
          <w:p>
            <w:pPr>
              <w:pStyle w:val="Compact"/>
              <w:jc w:val="left"/>
            </w:pPr>
            <w:r>
              <w:t xml:space="preserve">weighting function applied along a record</w:t>
            </w:r>
          </w:p>
        </w:tc>
      </w:tr>
      <w:tr>
        <w:trPr>
          <w:cantSplit/>
        </w:trPr>
        <w:tc>
          <w:tcPr>
            <w:tcW w:type="dxa" w:w="2892"/>
          </w:tcPr>
          <w:p>
            <w:pPr>
              <w:pStyle w:val="Compact"/>
              <w:jc w:val="left"/>
            </w:pPr>
            <m:oMath>
              <m:r>
                <m:t>h</m:t>
              </m:r>
            </m:oMath>
          </w:p>
        </w:tc>
        <w:tc>
          <w:tcPr>
            <w:tcW w:type="dxa" w:w="6177"/>
          </w:tcPr>
          <w:p>
            <w:pPr>
              <w:pStyle w:val="Compact"/>
              <w:jc w:val="left"/>
            </w:pPr>
            <w:r>
              <w:t xml:space="preserve">girder depth (m)</w:t>
            </w:r>
          </w:p>
        </w:tc>
      </w:tr>
      <w:tr>
        <w:trPr>
          <w:cantSplit/>
        </w:trPr>
        <w:tc>
          <w:tcPr>
            <w:tcW w:type="dxa" w:w="2892"/>
          </w:tcPr>
          <w:p>
            <w:pPr>
              <w:pStyle w:val="Compact"/>
              <w:jc w:val="left"/>
            </w:pPr>
            <m:oMath>
              <m:r>
                <m:t>I</m:t>
              </m:r>
            </m:oMath>
          </w:p>
        </w:tc>
        <w:tc>
          <w:tcPr>
            <w:tcW w:type="dxa" w:w="6177"/>
          </w:tcPr>
          <w:p>
            <w:pPr>
              <w:pStyle w:val="Compact"/>
              <w:jc w:val="left"/>
            </w:pPr>
            <w:r>
              <w:t xml:space="preserve">second moment of area</w:t>
            </w:r>
          </w:p>
        </w:tc>
      </w:tr>
      <w:tr>
        <w:trPr>
          <w:cantSplit/>
        </w:trPr>
        <w:tc>
          <w:tcPr>
            <w:tcW w:type="dxa" w:w="2892"/>
          </w:tcPr>
          <w:p>
            <w:pPr>
              <w:pStyle w:val="Compact"/>
              <w:jc w:val="left"/>
            </w:pPr>
            <m:oMath>
              <m:sSub>
                <m:e>
                  <m:r>
                    <m:t>J</m:t>
                  </m:r>
                </m:e>
                <m:sub>
                  <m:r>
                    <m:t>m</m:t>
                  </m:r>
                </m:sub>
              </m:sSub>
            </m:oMath>
          </w:p>
        </w:tc>
        <w:tc>
          <w:tcPr>
            <w:tcW w:type="dxa" w:w="617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2892"/>
          </w:tcPr>
          <w:p>
            <w:pPr>
              <w:pStyle w:val="Compact"/>
              <w:jc w:val="left"/>
            </w:pPr>
            <m:oMath>
              <m:r>
                <m:t>k</m:t>
              </m:r>
            </m:oMath>
            <w:r>
              <w:t xml:space="preserve">,</w:t>
            </w:r>
            <w:r>
              <w:t xml:space="preserve"> </w:t>
            </w:r>
            <m:oMath>
              <m:sSub>
                <m:e>
                  <m:r>
                    <m:t>k</m:t>
                  </m:r>
                </m:e>
                <m:sub>
                  <m:r>
                    <m:t>g</m:t>
                  </m:r>
                </m:sub>
              </m:sSub>
            </m:oMath>
          </w:p>
        </w:tc>
        <w:tc>
          <w:tcPr>
            <w:tcW w:type="dxa" w:w="6177"/>
          </w:tcPr>
          <w:p>
            <w:pPr>
              <w:pStyle w:val="Compact"/>
              <w:jc w:val="left"/>
            </w:pPr>
            <w:r>
              <w:t xml:space="preserve">rotational stiffness of a monolithic pier; girder stiffness against antisymmetric pier rotation (kN m/rad)</w:t>
            </w:r>
          </w:p>
        </w:tc>
      </w:tr>
      <w:tr>
        <w:trPr>
          <w:cantSplit/>
        </w:trPr>
        <w:tc>
          <w:tcPr>
            <w:tcW w:type="dxa" w:w="2892"/>
          </w:tcPr>
          <w:p>
            <w:pPr>
              <w:pStyle w:val="Compact"/>
              <w:jc w:val="left"/>
            </w:pPr>
            <m:oMath>
              <m:acc>
                <m:accPr>
                  <m:chr m:val="̂"/>
                </m:accPr>
                <m:e>
                  <m:r>
                    <m:t>k</m:t>
                  </m:r>
                </m:e>
              </m:acc>
            </m:oMath>
          </w:p>
        </w:tc>
        <w:tc>
          <w:tcPr>
            <w:tcW w:type="dxa" w:w="6177"/>
          </w:tcPr>
          <w:p>
            <w:pPr>
              <w:pStyle w:val="Compact"/>
              <w:jc w:val="left"/>
            </w:pPr>
            <w:r>
              <w:t xml:space="preserve">pier stiffness relative to the side-span rigidity,</w:t>
            </w:r>
            <w:r>
              <w:t xml:space="preserve"> </w:t>
            </w:r>
            <m:oMath>
              <m:r>
                <m:t>k</m:t>
              </m:r>
              <m:sSub>
                <m:e>
                  <m:r>
                    <m:t>L</m:t>
                  </m:r>
                </m:e>
                <m:sub>
                  <m:r>
                    <m:rPr>
                      <m:sty m:val="p"/>
                    </m:rPr>
                    <m:t>side</m:t>
                  </m:r>
                </m:sub>
              </m:sSub>
              <m:r>
                <m:rPr>
                  <m:sty m:val="p"/>
                </m:rPr>
                <m:t>/</m:t>
              </m:r>
              <m:r>
                <m:t>E</m:t>
              </m:r>
              <m:sSub>
                <m:e>
                  <m:r>
                    <m:t>I</m:t>
                  </m:r>
                </m:e>
                <m:sub>
                  <m:r>
                    <m:rPr>
                      <m:sty m:val="p"/>
                    </m:rPr>
                    <m:t>side</m:t>
                  </m:r>
                </m:sub>
              </m:sSub>
            </m:oMath>
          </w:p>
        </w:tc>
      </w:tr>
      <w:tr>
        <w:trPr>
          <w:cantSplit/>
        </w:trPr>
        <w:tc>
          <w:tcPr>
            <w:tcW w:type="dxa" w:w="2892"/>
          </w:tcPr>
          <w:p>
            <w:pPr>
              <w:pStyle w:val="Compact"/>
              <w:jc w:val="left"/>
            </w:pPr>
            <m:oMath>
              <m:sSub>
                <m:e>
                  <m:r>
                    <m:t>K</m:t>
                  </m:r>
                </m:e>
                <m:sub>
                  <m:r>
                    <m:t>g</m:t>
                  </m:r>
                </m:sub>
              </m:sSub>
            </m:oMath>
            <w:r>
              <w:t xml:space="preserve">,</w:t>
            </w:r>
            <w:r>
              <w:t xml:space="preserve"> </w:t>
            </w:r>
            <m:oMath>
              <m:sSub>
                <m:e>
                  <m:r>
                    <m:t>K</m:t>
                  </m:r>
                </m:e>
                <m:sub>
                  <m:r>
                    <m:t>p</m:t>
                  </m:r>
                </m:sub>
              </m:sSub>
            </m:oMath>
          </w:p>
        </w:tc>
        <w:tc>
          <w:tcPr>
            <w:tcW w:type="dxa" w:w="6177"/>
          </w:tcPr>
          <w:p>
            <w:pPr>
              <w:pStyle w:val="Compact"/>
              <w:jc w:val="left"/>
            </w:pPr>
            <w:r>
              <w:t xml:space="preserve">girder and pier parts of the stiffness matrix</w:t>
            </w:r>
          </w:p>
        </w:tc>
      </w:tr>
      <w:tr>
        <w:trPr>
          <w:cantSplit/>
        </w:trPr>
        <w:tc>
          <w:tcPr>
            <w:tcW w:type="dxa" w:w="2892"/>
          </w:tcPr>
          <w:p>
            <w:pPr>
              <w:pStyle w:val="Compact"/>
              <w:jc w:val="left"/>
            </w:pPr>
            <m:oMath>
              <m:r>
                <m:t>L</m:t>
              </m:r>
            </m:oMath>
          </w:p>
        </w:tc>
        <w:tc>
          <w:tcPr>
            <w:tcW w:type="dxa" w:w="6177"/>
          </w:tcPr>
          <w:p>
            <w:pPr>
              <w:pStyle w:val="Compact"/>
              <w:jc w:val="left"/>
            </w:pPr>
            <w:r>
              <w:t xml:space="preserve">length of the span containing the sensor, including the span of the laboratory beam (m)</w:t>
            </w:r>
          </w:p>
        </w:tc>
      </w:tr>
      <w:tr>
        <w:trPr>
          <w:cantSplit/>
        </w:trPr>
        <w:tc>
          <w:tcPr>
            <w:tcW w:type="dxa" w:w="2892"/>
          </w:tcPr>
          <w:p>
            <w:pPr>
              <w:pStyle w:val="Compact"/>
              <w:jc w:val="left"/>
            </w:pPr>
            <m:oMath>
              <m:sSub>
                <m:e>
                  <m:r>
                    <m:t>L</m:t>
                  </m:r>
                </m:e>
                <m:sub>
                  <m:r>
                    <m:t>p</m:t>
                  </m:r>
                </m:sub>
              </m:sSub>
            </m:oMath>
          </w:p>
        </w:tc>
        <w:tc>
          <w:tcPr>
            <w:tcW w:type="dxa" w:w="6177"/>
          </w:tcPr>
          <w:p>
            <w:pPr>
              <w:pStyle w:val="Compact"/>
              <w:jc w:val="left"/>
            </w:pPr>
            <w:r>
              <w:t xml:space="preserve">length of the loaded path (m)</w:t>
            </w:r>
          </w:p>
        </w:tc>
      </w:tr>
      <w:tr>
        <w:trPr>
          <w:cantSplit/>
        </w:trPr>
        <w:tc>
          <w:tcPr>
            <w:tcW w:type="dxa" w:w="2892"/>
          </w:tcPr>
          <w:p>
            <w:pPr>
              <w:pStyle w:val="Compact"/>
              <w:jc w:val="left"/>
            </w:pPr>
            <m:oMath>
              <m:sSub>
                <m:e>
                  <m:r>
                    <m:t>L</m:t>
                  </m:r>
                </m:e>
                <m:sub>
                  <m:r>
                    <m:rPr>
                      <m:sty m:val="p"/>
                    </m:rPr>
                    <m:t>tot</m:t>
                  </m:r>
                </m:sub>
              </m:sSub>
            </m:oMath>
          </w:p>
        </w:tc>
        <w:tc>
          <w:tcPr>
            <w:tcW w:type="dxa" w:w="6177"/>
          </w:tcPr>
          <w:p>
            <w:pPr>
              <w:pStyle w:val="Compact"/>
              <w:jc w:val="left"/>
            </w:pPr>
            <w:r>
              <w:t xml:space="preserve">length of the integration record (m)</w:t>
            </w:r>
          </w:p>
        </w:tc>
      </w:tr>
      <w:tr>
        <w:trPr>
          <w:cantSplit/>
        </w:trPr>
        <w:tc>
          <w:tcPr>
            <w:tcW w:type="dxa" w:w="2892"/>
          </w:tcPr>
          <w:p>
            <w:pPr>
              <w:pStyle w:val="Compact"/>
              <w:jc w:val="left"/>
            </w:pPr>
            <m:oMath>
              <m:sSub>
                <m:e>
                  <m:r>
                    <m:t>M</m:t>
                  </m:r>
                </m:e>
                <m:sub>
                  <m:r>
                    <m:t>q</m:t>
                  </m:r>
                </m:sub>
              </m:sSub>
            </m:oMath>
          </w:p>
        </w:tc>
        <w:tc>
          <w:tcPr>
            <w:tcW w:type="dxa" w:w="617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617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2892"/>
          </w:tcPr>
          <w:p>
            <w:pPr>
              <w:pStyle w:val="Compact"/>
              <w:jc w:val="left"/>
            </w:pPr>
            <m:oMath>
              <m:sSub>
                <m:e>
                  <m:r>
                    <m:t>N</m:t>
                  </m:r>
                </m:e>
                <m:sub>
                  <m:r>
                    <m:t>w</m:t>
                  </m:r>
                </m:sub>
              </m:sSub>
            </m:oMath>
            <w:r>
              <w:t xml:space="preserve">,</w:t>
            </w:r>
            <w:r>
              <w:t xml:space="preserve"> </w:t>
            </w:r>
            <m:oMath>
              <m:sSub>
                <m:e>
                  <m:r>
                    <m:t>N</m:t>
                  </m:r>
                </m:e>
                <m:sub>
                  <m:r>
                    <m:t>M</m:t>
                  </m:r>
                </m:sub>
              </m:sSub>
            </m:oMath>
          </w:p>
        </w:tc>
        <w:tc>
          <w:tcPr>
            <w:tcW w:type="dxa" w:w="6177"/>
          </w:tcPr>
          <w:p>
            <w:pPr>
              <w:pStyle w:val="Compact"/>
              <w:jc w:val="left"/>
            </w:pPr>
            <w:r>
              <w:t xml:space="preserve">deflection and strain (moment) indicators, Eqs. (10) and (9)</w:t>
            </w:r>
          </w:p>
        </w:tc>
      </w:tr>
      <w:tr>
        <w:trPr>
          <w:cantSplit/>
        </w:trPr>
        <w:tc>
          <w:tcPr>
            <w:tcW w:type="dxa" w:w="289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6177"/>
          </w:tcPr>
          <w:p>
            <w:pPr>
              <w:pStyle w:val="Compact"/>
              <w:jc w:val="left"/>
            </w:pPr>
            <w:r>
              <w:t xml:space="preserve">rotation, shear and end-reaction indicators (Section 2.2, Section S3)</w:t>
            </w:r>
          </w:p>
        </w:tc>
      </w:tr>
      <w:tr>
        <w:trPr>
          <w:cantSplit/>
        </w:trPr>
        <w:tc>
          <w:tcPr>
            <w:tcW w:type="dxa" w:w="2892"/>
          </w:tcPr>
          <w:p>
            <w:pPr>
              <w:pStyle w:val="Compact"/>
              <w:jc w:val="left"/>
            </w:pPr>
            <m:oMath>
              <m:sSub>
                <m:e>
                  <m:r>
                    <m:t>P</m:t>
                  </m:r>
                </m:e>
                <m:sub>
                  <m:r>
                    <m:rPr>
                      <m:sty m:val="p"/>
                    </m:rPr>
                    <m:t>tot</m:t>
                  </m:r>
                </m:sub>
              </m:sSub>
            </m:oMath>
            <w:r>
              <w:t xml:space="preserve">,</w:t>
            </w:r>
            <w:r>
              <w:t xml:space="preserve"> </w:t>
            </w:r>
            <m:oMath>
              <m:sSub>
                <m:e>
                  <m:r>
                    <m:t>P</m:t>
                  </m:r>
                </m:e>
                <m:sub>
                  <m:r>
                    <m:t>0</m:t>
                  </m:r>
                </m:sub>
              </m:sSub>
            </m:oMath>
          </w:p>
        </w:tc>
        <w:tc>
          <w:tcPr>
            <w:tcW w:type="dxa" w:w="6177"/>
          </w:tcPr>
          <w:p>
            <w:pPr>
              <w:pStyle w:val="Compact"/>
              <w:jc w:val="left"/>
            </w:pPr>
            <w:r>
              <w:t xml:space="preserve">total load of a crossing; weighed reference load (kN)</w:t>
            </w:r>
          </w:p>
        </w:tc>
      </w:tr>
      <w:tr>
        <w:trPr>
          <w:cantSplit/>
        </w:trPr>
        <w:tc>
          <w:tcPr>
            <w:tcW w:type="dxa" w:w="289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6177"/>
          </w:tcPr>
          <w:p>
            <w:pPr>
              <w:pStyle w:val="Compact"/>
              <w:jc w:val="left"/>
            </w:pPr>
            <w:r>
              <w:t xml:space="preserve">load and record integral of a target crossing; record integral of the reference crossing</w:t>
            </w:r>
          </w:p>
        </w:tc>
      </w:tr>
      <w:tr>
        <w:trPr>
          <w:cantSplit/>
        </w:trPr>
        <w:tc>
          <w:tcPr>
            <w:tcW w:type="dxa" w:w="2892"/>
          </w:tcPr>
          <w:p>
            <w:pPr>
              <w:pStyle w:val="Compact"/>
              <w:jc w:val="left"/>
            </w:pPr>
            <m:oMath>
              <m:sSub>
                <m:e>
                  <m:r>
                    <m:t>P</m:t>
                  </m:r>
                </m:e>
                <m:sub>
                  <m:r>
                    <m:t>δ</m:t>
                  </m:r>
                </m:sub>
              </m:sSub>
            </m:oMath>
          </w:p>
        </w:tc>
        <w:tc>
          <w:tcPr>
            <w:tcW w:type="dxa" w:w="6177"/>
          </w:tcPr>
          <w:p>
            <w:pPr>
              <w:pStyle w:val="Compact"/>
              <w:jc w:val="left"/>
            </w:pPr>
            <w:r>
              <w:t xml:space="preserve">offset-equivalent load</w:t>
            </w:r>
            <w:r>
              <w:t xml:space="preserve"> </w:t>
            </w:r>
            <m:oMath>
              <m:sSub>
                <m:e>
                  <m:r>
                    <m:t>δ</m:t>
                  </m:r>
                </m:e>
                <m:sub>
                  <m:r>
                    <m:t>0</m:t>
                  </m:r>
                </m:sub>
              </m:sSub>
              <m:sSub>
                <m:e>
                  <m:r>
                    <m:t>L</m:t>
                  </m:r>
                </m:e>
                <m:sub>
                  <m:r>
                    <m:rPr>
                      <m:sty m:val="p"/>
                    </m:rPr>
                    <m:t>tot</m:t>
                  </m:r>
                </m:sub>
              </m:sSub>
              <m:r>
                <m:rPr>
                  <m:sty m:val="p"/>
                </m:rPr>
                <m:t>/</m:t>
              </m:r>
              <m:r>
                <m:t>C</m:t>
              </m:r>
            </m:oMath>
            <w:r>
              <w:t xml:space="preserve"> </w:t>
            </w:r>
            <w:r>
              <w:t xml:space="preserve">(kN)</w:t>
            </w:r>
          </w:p>
        </w:tc>
      </w:tr>
      <w:tr>
        <w:trPr>
          <w:cantSplit/>
        </w:trPr>
        <w:tc>
          <w:tcPr>
            <w:tcW w:type="dxa" w:w="2892"/>
          </w:tcPr>
          <w:p>
            <w:pPr>
              <w:pStyle w:val="Compact"/>
              <w:jc w:val="left"/>
            </w:pPr>
            <m:oMath>
              <m:r>
                <m:t>R</m:t>
              </m:r>
            </m:oMath>
          </w:p>
        </w:tc>
        <w:tc>
          <w:tcPr>
            <w:tcW w:type="dxa" w:w="6177"/>
          </w:tcPr>
          <w:p>
            <w:pPr>
              <w:pStyle w:val="Compact"/>
              <w:jc w:val="left"/>
            </w:pPr>
            <w:r>
              <w:t xml:space="preserve">cancellation ratio</w:t>
            </w:r>
            <w:r>
              <w:t xml:space="preserve"> </w:t>
            </w:r>
            <m:oMath>
              <m:r>
                <m:t>C</m:t>
              </m:r>
              <m:r>
                <m:rPr>
                  <m:sty m:val="p"/>
                </m:rPr>
                <m:t>/</m:t>
              </m:r>
              <m:sSup>
                <m:e>
                  <m:r>
                    <m:t>A</m:t>
                  </m:r>
                </m:e>
                <m:sup>
                  <m:r>
                    <m:rPr>
                      <m:sty m:val="p"/>
                    </m:rPr>
                    <m:t>+</m:t>
                  </m:r>
                </m:sup>
              </m:sSup>
            </m:oMath>
          </w:p>
        </w:tc>
      </w:tr>
      <w:tr>
        <w:trPr>
          <w:cantSplit/>
        </w:trPr>
        <w:tc>
          <w:tcPr>
            <w:tcW w:type="dxa" w:w="2892"/>
          </w:tcPr>
          <w:p>
            <w:pPr>
              <w:pStyle w:val="Compact"/>
              <w:jc w:val="left"/>
            </w:pPr>
            <m:oMath>
              <m:sSub>
                <m:e>
                  <m:r>
                    <m:t>r</m:t>
                  </m:r>
                </m:e>
                <m:sub>
                  <m:r>
                    <m:t>87</m:t>
                  </m:r>
                </m:sub>
              </m:sSub>
            </m:oMath>
          </w:p>
        </w:tc>
        <w:tc>
          <w:tcPr>
            <w:tcW w:type="dxa" w:w="617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2892"/>
          </w:tcPr>
          <w:p>
            <w:pPr>
              <w:pStyle w:val="Compact"/>
              <w:jc w:val="left"/>
            </w:pPr>
            <m:oMath>
              <m:sSub>
                <m:e>
                  <m:r>
                    <m:t>S</m:t>
                  </m:r>
                </m:e>
                <m:sub>
                  <m:r>
                    <m:t>α</m:t>
                  </m:r>
                </m:sub>
              </m:sSub>
            </m:oMath>
            <w:r>
              <w:t xml:space="preserve">,</w:t>
            </w:r>
            <w:r>
              <w:t xml:space="preserve"> </w:t>
            </w:r>
            <m:oMath>
              <m:sSub>
                <m:e>
                  <m:r>
                    <m:t>S</m:t>
                  </m:r>
                </m:e>
                <m:sub>
                  <m:r>
                    <m:t>k</m:t>
                  </m:r>
                </m:sub>
              </m:sSub>
            </m:oMath>
          </w:p>
        </w:tc>
        <w:tc>
          <w:tcPr>
            <w:tcW w:type="dxa" w:w="6177"/>
          </w:tcPr>
          <w:p>
            <w:pPr>
              <w:pStyle w:val="Compact"/>
              <w:jc w:val="left"/>
            </w:pPr>
            <w:r>
              <w:t xml:space="preserve">logarithmic sensitivities</w:t>
            </w:r>
            <w:r>
              <w:t xml:space="preserve"> </w:t>
            </w:r>
            <m:oMath>
              <m:r>
                <m:rPr>
                  <m:sty m:val="p"/>
                </m:rPr>
                <m:t>∂</m:t>
              </m:r>
              <m:r>
                <m:rPr>
                  <m:sty m:val="p"/>
                </m:rPr>
                <m:t>ln</m:t>
              </m:r>
              <m:sSub>
                <m:e>
                  <m:r>
                    <m:t>C</m:t>
                  </m:r>
                </m:e>
                <m:sub>
                  <m:r>
                    <m:t>m</m:t>
                  </m:r>
                </m:sub>
              </m:sSub>
              <m:r>
                <m:rPr>
                  <m:sty m:val="p"/>
                </m:rPr>
                <m:t>/</m:t>
              </m:r>
              <m:r>
                <m:rPr>
                  <m:sty m:val="p"/>
                </m:rPr>
                <m:t>∂</m:t>
              </m:r>
              <m:r>
                <m:rPr>
                  <m:sty m:val="p"/>
                </m:rPr>
                <m:t>ln</m:t>
              </m:r>
              <m:r>
                <m:t>α</m:t>
              </m:r>
            </m:oMath>
            <w:r>
              <w:t xml:space="preserve">,</w:t>
            </w:r>
            <w:r>
              <w:t xml:space="preserve"> </w:t>
            </w:r>
            <m:oMath>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(Section S5)</w:t>
            </w:r>
          </w:p>
        </w:tc>
      </w:tr>
      <w:tr>
        <w:trPr>
          <w:cantSplit/>
        </w:trPr>
        <w:tc>
          <w:tcPr>
            <w:tcW w:type="dxa" w:w="2892"/>
          </w:tcPr>
          <w:p>
            <w:pPr>
              <w:pStyle w:val="Compact"/>
              <w:jc w:val="left"/>
            </w:pPr>
            <m:oMath>
              <m:sSub>
                <m:e>
                  <m:r>
                    <m:t>t</m:t>
                  </m:r>
                </m:e>
                <m:sub>
                  <m:r>
                    <m:rPr>
                      <m:sty m:val="p"/>
                    </m:rPr>
                    <m:t>cr</m:t>
                  </m:r>
                </m:sub>
              </m:sSub>
            </m:oMath>
          </w:p>
        </w:tc>
        <w:tc>
          <w:tcPr>
            <w:tcW w:type="dxa" w:w="6177"/>
          </w:tcPr>
          <w:p>
            <w:pPr>
              <w:pStyle w:val="Compact"/>
              <w:jc w:val="left"/>
            </w:pPr>
            <w:r>
              <w:t xml:space="preserve">duration of a crossing (s)</w:t>
            </w:r>
          </w:p>
        </w:tc>
      </w:tr>
      <w:tr>
        <w:trPr>
          <w:cantSplit/>
        </w:trPr>
        <w:tc>
          <w:tcPr>
            <w:tcW w:type="dxa" w:w="2892"/>
          </w:tcPr>
          <w:p>
            <w:pPr>
              <w:pStyle w:val="Compact"/>
              <w:jc w:val="left"/>
            </w:pPr>
            <m:oMath>
              <m:r>
                <m:t>w</m:t>
              </m:r>
            </m:oMath>
            <w:r>
              <w:t xml:space="preserve">,</w:t>
            </w:r>
            <w:r>
              <w:t xml:space="preserve"> </w:t>
            </w:r>
            <m:oMath>
              <m:sSub>
                <m:e>
                  <m:r>
                    <m:t>w</m:t>
                  </m:r>
                </m:e>
                <m:sub>
                  <m:r>
                    <m:t>q</m:t>
                  </m:r>
                </m:sub>
              </m:sSub>
            </m:oMath>
          </w:p>
        </w:tc>
        <w:tc>
          <w:tcPr>
            <w:tcW w:type="dxa" w:w="617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2892"/>
          </w:tcPr>
          <w:p>
            <w:pPr>
              <w:pStyle w:val="Compact"/>
              <w:jc w:val="left"/>
            </w:pPr>
            <m:oMath>
              <m:r>
                <m:t>α</m:t>
              </m:r>
            </m:oMath>
          </w:p>
        </w:tc>
        <w:tc>
          <w:tcPr>
            <w:tcW w:type="dxa" w:w="6177"/>
          </w:tcPr>
          <w:p>
            <w:pPr>
              <w:pStyle w:val="Compact"/>
              <w:jc w:val="left"/>
            </w:pPr>
            <w:r>
              <w:t xml:space="preserve">ratio of effective to design girder rigidity</w:t>
            </w:r>
          </w:p>
        </w:tc>
      </w:tr>
      <w:tr>
        <w:trPr>
          <w:cantSplit/>
        </w:trPr>
        <w:tc>
          <w:tcPr>
            <w:tcW w:type="dxa" w:w="2892"/>
          </w:tcPr>
          <w:p>
            <w:pPr>
              <w:pStyle w:val="Compact"/>
              <w:jc w:val="left"/>
            </w:pPr>
            <m:oMath>
              <m:r>
                <m:t>β</m:t>
              </m:r>
            </m:oMath>
          </w:p>
        </w:tc>
        <w:tc>
          <w:tcPr>
            <w:tcW w:type="dxa" w:w="6177"/>
          </w:tcPr>
          <w:p>
            <w:pPr>
              <w:pStyle w:val="Compact"/>
              <w:jc w:val="left"/>
            </w:pPr>
            <w:r>
              <w:t xml:space="preserve">main-to-side span ratio</w:t>
            </w:r>
            <w:r>
              <w:t xml:space="preserve"> </w:t>
            </w:r>
            <m:oMath>
              <m:sSub>
                <m:e>
                  <m:r>
                    <m:t>L</m:t>
                  </m:r>
                </m:e>
                <m:sub>
                  <m:r>
                    <m:rPr>
                      <m:sty m:val="p"/>
                    </m:rPr>
                    <m:t>main</m:t>
                  </m:r>
                </m:sub>
              </m:sSub>
              <m:r>
                <m:rPr>
                  <m:sty m:val="p"/>
                </m:rPr>
                <m:t>/</m:t>
              </m:r>
              <m:sSub>
                <m:e>
                  <m:r>
                    <m:t>L</m:t>
                  </m:r>
                </m:e>
                <m:sub>
                  <m:r>
                    <m:rPr>
                      <m:sty m:val="p"/>
                    </m:rPr>
                    <m:t>side</m:t>
                  </m:r>
                </m:sub>
              </m:sSub>
            </m:oMath>
            <w:r>
              <w:t xml:space="preserve"> </w:t>
            </w:r>
            <w:r>
              <w:t xml:space="preserve">(three spans)</w:t>
            </w:r>
          </w:p>
        </w:tc>
      </w:tr>
      <w:tr>
        <w:trPr>
          <w:cantSplit/>
        </w:trPr>
        <w:tc>
          <w:tcPr>
            <w:tcW w:type="dxa" w:w="2892"/>
          </w:tcPr>
          <w:p>
            <w:pPr>
              <w:pStyle w:val="Compact"/>
              <w:jc w:val="left"/>
            </w:pPr>
            <m:oMath>
              <m:r>
                <m:t>γ</m:t>
              </m:r>
            </m:oMath>
          </w:p>
        </w:tc>
        <w:tc>
          <w:tcPr>
            <w:tcW w:type="dxa" w:w="617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rPr>
                    <m:t>main</m:t>
                  </m:r>
                </m:sub>
              </m:sSub>
              <m:r>
                <m:rPr>
                  <m:sty m:val="p"/>
                </m:rPr>
                <m:t>/</m:t>
              </m:r>
              <m:r>
                <m:t>E</m:t>
              </m:r>
              <m:sSub>
                <m:e>
                  <m:r>
                    <m:t>I</m:t>
                  </m:r>
                </m:e>
                <m:sub>
                  <m:r>
                    <m:rPr>
                      <m:sty m:val="p"/>
                    </m:rPr>
                    <m:t>side</m:t>
                  </m:r>
                </m:sub>
              </m:sSub>
            </m:oMath>
            <w:r>
              <w:t xml:space="preserve"> </w:t>
            </w:r>
            <w:r>
              <w:t xml:space="preserve">(three spans)</w:t>
            </w:r>
          </w:p>
        </w:tc>
      </w:tr>
      <w:tr>
        <w:trPr>
          <w:cantSplit/>
        </w:trPr>
        <w:tc>
          <w:tcPr>
            <w:tcW w:type="dxa" w:w="2892"/>
          </w:tcPr>
          <w:p>
            <w:pPr>
              <w:pStyle w:val="Compact"/>
              <w:jc w:val="left"/>
            </w:pPr>
            <m:oMath>
              <m:sSub>
                <m:e>
                  <m:r>
                    <m:t>δ</m:t>
                  </m:r>
                </m:e>
                <m:sub>
                  <m:r>
                    <m:t>0</m:t>
                  </m:r>
                </m:sub>
              </m:sSub>
            </m:oMath>
          </w:p>
        </w:tc>
        <w:tc>
          <w:tcPr>
            <w:tcW w:type="dxa" w:w="6177"/>
          </w:tcPr>
          <w:p>
            <w:pPr>
              <w:pStyle w:val="Compact"/>
              <w:jc w:val="left"/>
            </w:pPr>
            <w:r>
              <w:t xml:space="preserve">residual zero offset after re-zeroing before and after a crossing, in the units of the channel (mm for deflection)</w:t>
            </w:r>
          </w:p>
        </w:tc>
      </w:tr>
      <w:tr>
        <w:trPr>
          <w:cantSplit/>
        </w:trPr>
        <w:tc>
          <w:tcPr>
            <w:tcW w:type="dxa" w:w="2892"/>
          </w:tcPr>
          <w:p>
            <w:pPr>
              <w:pStyle w:val="Compact"/>
              <w:jc w:val="left"/>
            </w:pPr>
            <m:oMath>
              <m:r>
                <m:t>ζ</m:t>
              </m:r>
            </m:oMath>
          </w:p>
        </w:tc>
        <w:tc>
          <w:tcPr>
            <w:tcW w:type="dxa" w:w="6177"/>
          </w:tcPr>
          <w:p>
            <w:pPr>
              <w:pStyle w:val="Compact"/>
              <w:jc w:val="left"/>
            </w:pPr>
            <w:r>
              <w:t xml:space="preserve">position in the main span from the pier, as a fraction of the main span</w:t>
            </w:r>
          </w:p>
        </w:tc>
      </w:tr>
      <w:tr>
        <w:trPr>
          <w:cantSplit/>
        </w:trPr>
        <w:tc>
          <w:tcPr>
            <w:tcW w:type="dxa" w:w="2892"/>
          </w:tcPr>
          <w:p>
            <w:pPr>
              <w:pStyle w:val="Compact"/>
              <w:jc w:val="left"/>
            </w:pPr>
            <m:oMath>
              <m:sSub>
                <m:e>
                  <m:r>
                    <m:t>η</m:t>
                  </m:r>
                </m:e>
                <m:sub>
                  <m:r>
                    <m:t>m</m:t>
                  </m:r>
                </m:sub>
              </m:sSub>
            </m:oMath>
          </w:p>
        </w:tc>
        <w:tc>
          <w:tcPr>
            <w:tcW w:type="dxa" w:w="6177"/>
          </w:tcPr>
          <w:p>
            <w:pPr>
              <w:pStyle w:val="Compact"/>
              <w:jc w:val="left"/>
            </w:pPr>
            <w:r>
              <w:t xml:space="preserve">influence line of the channel at</w:t>
            </w:r>
            <w:r>
              <w:t xml:space="preserve"> </w:t>
            </w:r>
            <m:oMath>
              <m:r>
                <m:t>m</m:t>
              </m:r>
            </m:oMath>
          </w:p>
        </w:tc>
      </w:tr>
      <w:tr>
        <w:trPr>
          <w:cantSplit/>
        </w:trPr>
        <w:tc>
          <w:tcPr>
            <w:tcW w:type="dxa" w:w="2892"/>
          </w:tcPr>
          <w:p>
            <w:pPr>
              <w:pStyle w:val="Compact"/>
              <w:jc w:val="left"/>
            </w:pPr>
            <m:oMath>
              <m:r>
                <m:t>κ</m:t>
              </m:r>
            </m:oMath>
          </w:p>
        </w:tc>
        <w:tc>
          <w:tcPr>
            <w:tcW w:type="dxa" w:w="617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2892"/>
          </w:tcPr>
          <w:p>
            <w:pPr>
              <w:pStyle w:val="Compact"/>
              <w:jc w:val="left"/>
            </w:pPr>
            <m:oMath>
              <m:r>
                <m:t>λ</m:t>
              </m:r>
            </m:oMath>
          </w:p>
        </w:tc>
        <w:tc>
          <w:tcPr>
            <w:tcW w:type="dxa" w:w="617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w:t>
            </w:r>
          </w:p>
        </w:tc>
      </w:tr>
      <w:tr>
        <w:trPr>
          <w:cantSplit/>
        </w:trPr>
        <w:tc>
          <w:tcPr>
            <w:tcW w:type="dxa" w:w="2892"/>
          </w:tcPr>
          <w:p>
            <w:pPr>
              <w:pStyle w:val="Compact"/>
              <w:jc w:val="left"/>
            </w:pPr>
            <m:oMath>
              <m:r>
                <m:t>μ</m:t>
              </m:r>
            </m:oMath>
          </w:p>
        </w:tc>
        <w:tc>
          <w:tcPr>
            <w:tcW w:type="dxa" w:w="617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rPr>
                    <m:t>side</m:t>
                  </m:r>
                </m:sub>
              </m:sSub>
            </m:oMath>
            <w:r>
              <w:t xml:space="preserve"> </w:t>
            </w:r>
            <w:r>
              <w:t xml:space="preserve">(three spans); Eqs. (4), (16)</w:t>
            </w:r>
          </w:p>
        </w:tc>
      </w:tr>
      <w:tr>
        <w:trPr>
          <w:cantSplit/>
        </w:trPr>
        <w:tc>
          <w:tcPr>
            <w:tcW w:type="dxa" w:w="2892"/>
          </w:tcPr>
          <w:p>
            <w:pPr>
              <w:pStyle w:val="Compact"/>
              <w:jc w:val="left"/>
            </w:pPr>
            <m:oMath>
              <m:sSup>
                <m:e>
                  <m:r>
                    <m:t>r</m:t>
                  </m:r>
                </m:e>
                <m:sup>
                  <m:r>
                    <m:t>2</m:t>
                  </m:r>
                </m:sup>
              </m:sSup>
            </m:oMath>
          </w:p>
        </w:tc>
        <w:tc>
          <w:tcPr>
            <w:tcW w:type="dxa" w:w="6177"/>
          </w:tcPr>
          <w:p>
            <w:pPr>
              <w:pStyle w:val="Compact"/>
              <w:jc w:val="left"/>
            </w:pPr>
            <w:r>
              <w:t xml:space="preserve">coefficient of determination</w:t>
            </w:r>
          </w:p>
        </w:tc>
      </w:tr>
      <w:tr>
        <w:trPr>
          <w:cantSplit/>
        </w:trPr>
        <w:tc>
          <w:tcPr>
            <w:tcW w:type="dxa" w:w="2892"/>
          </w:tcPr>
          <w:p>
            <w:pPr>
              <w:pStyle w:val="Compact"/>
              <w:jc w:val="left"/>
            </w:pPr>
            <m:oMath>
              <m:r>
                <m:t>ρ</m:t>
              </m:r>
            </m:oMath>
          </w:p>
        </w:tc>
        <w:tc>
          <w:tcPr>
            <w:tcW w:type="dxa" w:w="6177"/>
          </w:tcPr>
          <w:p>
            <w:pPr>
              <w:pStyle w:val="Compact"/>
              <w:jc w:val="left"/>
            </w:pPr>
            <w:r>
              <w:t xml:space="preserve">common-mode fraction of the offset or noise between channels</w:t>
            </w:r>
          </w:p>
        </w:tc>
      </w:tr>
      <w:tr>
        <w:trPr>
          <w:cantSplit/>
        </w:trPr>
        <w:tc>
          <w:tcPr>
            <w:tcW w:type="dxa" w:w="2892"/>
          </w:tcPr>
          <w:p>
            <w:pPr>
              <w:pStyle w:val="Compact"/>
              <w:jc w:val="left"/>
            </w:pPr>
            <m:oMath>
              <m:r>
                <m:t>Σ</m:t>
              </m:r>
            </m:oMath>
          </w:p>
        </w:tc>
        <w:tc>
          <w:tcPr>
            <w:tcW w:type="dxa" w:w="6177"/>
          </w:tcPr>
          <w:p>
            <w:pPr>
              <w:pStyle w:val="Compact"/>
              <w:jc w:val="left"/>
            </w:pPr>
            <w:r>
              <w:t xml:space="preserve">covariance matrix of the channel integrals</w:t>
            </w:r>
          </w:p>
        </w:tc>
      </w:tr>
      <w:tr>
        <w:trPr>
          <w:cantSplit/>
        </w:trPr>
        <w:tc>
          <w:tcPr>
            <w:tcW w:type="dxa" w:w="2892"/>
          </w:tcPr>
          <w:p>
            <w:pPr>
              <w:pStyle w:val="Compact"/>
              <w:jc w:val="left"/>
            </w:pPr>
            <m:oMath>
              <m:r>
                <m:t>σ</m:t>
              </m:r>
            </m:oMath>
            <w:r>
              <w:t xml:space="preserve">,</w:t>
            </w:r>
            <w:r>
              <w:t xml:space="preserve"> </w:t>
            </w:r>
            <m:oMath>
              <m:r>
                <m:t>Δ</m:t>
              </m:r>
              <m:r>
                <m:t>x</m:t>
              </m:r>
            </m:oMath>
          </w:p>
        </w:tc>
        <w:tc>
          <w:tcPr>
            <w:tcW w:type="dxa" w:w="6177"/>
          </w:tcPr>
          <w:p>
            <w:pPr>
              <w:pStyle w:val="Compact"/>
              <w:jc w:val="left"/>
            </w:pPr>
            <w:r>
              <w:t xml:space="preserve">standard deviation of the white noise of a record; sampling interval along the record</w:t>
            </w:r>
          </w:p>
        </w:tc>
      </w:tr>
      <w:tr>
        <w:trPr>
          <w:cantSplit/>
        </w:trPr>
        <w:tc>
          <w:tcPr>
            <w:tcW w:type="dxa" w:w="2892"/>
          </w:tcPr>
          <w:p>
            <w:pPr>
              <w:pStyle w:val="Compact"/>
              <w:jc w:val="left"/>
            </w:pPr>
            <m:oMath>
              <m:sSub>
                <m:e>
                  <m:r>
                    <m:t>σ</m:t>
                  </m:r>
                </m:e>
                <m:sub>
                  <m:r>
                    <m:t>P</m:t>
                  </m:r>
                  <m:r>
                    <m:rPr>
                      <m:sty m:val="p"/>
                    </m:rPr>
                    <m:t>,</m:t>
                  </m:r>
                  <m:r>
                    <m:rPr>
                      <m:sty m:val="p"/>
                    </m:rPr>
                    <m:t>noise</m:t>
                  </m:r>
                </m:sub>
              </m:sSub>
            </m:oMath>
          </w:p>
        </w:tc>
        <w:tc>
          <w:tcPr>
            <w:tcW w:type="dxa" w:w="6177"/>
          </w:tcPr>
          <w:p>
            <w:pPr>
              <w:pStyle w:val="Compact"/>
              <w:jc w:val="left"/>
            </w:pPr>
            <w:r>
              <w:t xml:space="preserve">standard deviation of the load estimate caused by white noise</w:t>
            </w:r>
          </w:p>
        </w:tc>
      </w:tr>
      <w:tr>
        <w:trPr>
          <w:cantSplit/>
        </w:trPr>
        <w:tc>
          <w:tcPr>
            <w:tcW w:type="dxa" w:w="2892"/>
          </w:tcPr>
          <w:p>
            <w:pPr>
              <w:pStyle w:val="Compact"/>
              <w:jc w:val="left"/>
            </w:pPr>
            <m:oMath>
              <m:r>
                <m:t>τ</m:t>
              </m:r>
            </m:oMath>
          </w:p>
        </w:tc>
        <w:tc>
          <w:tcPr>
            <w:tcW w:type="dxa" w:w="6177"/>
          </w:tcPr>
          <w:p>
            <w:pPr>
              <w:pStyle w:val="Compact"/>
              <w:jc w:val="left"/>
            </w:pPr>
            <w:r>
              <w:t xml:space="preserve">tolerance on the static misfit of a gauge</w:t>
            </w:r>
          </w:p>
        </w:tc>
      </w:tr>
      <w:tr>
        <w:trPr>
          <w:cantSplit/>
        </w:trPr>
        <w:tc>
          <w:tcPr>
            <w:tcW w:type="dxa" w:w="2892"/>
          </w:tcPr>
          <w:p>
            <w:pPr>
              <w:pStyle w:val="Compact"/>
              <w:jc w:val="left"/>
            </w:pPr>
            <m:oMath>
              <m:r>
                <m:t>ξ</m:t>
              </m:r>
            </m:oMath>
          </w:p>
        </w:tc>
        <w:tc>
          <w:tcPr>
            <w:tcW w:type="dxa" w:w="6177"/>
          </w:tcPr>
          <w:p>
            <w:pPr>
              <w:pStyle w:val="Compact"/>
              <w:jc w:val="left"/>
            </w:pPr>
            <w:r>
              <w:t xml:space="preserve">sensor position as a fraction of its span</w:t>
            </w:r>
          </w:p>
        </w:tc>
      </w:tr>
      <w:tr>
        <w:trPr>
          <w:cantSplit/>
        </w:trPr>
        <w:tc>
          <w:tcPr>
            <w:tcW w:type="dxa" w:w="2892"/>
          </w:tcPr>
          <w:p>
            <w:pPr>
              <w:pStyle w:val="Compact"/>
              <w:jc w:val="left"/>
            </w:pPr>
            <w:r>
              <w:t xml:space="preserve">BPM</w:t>
            </w:r>
          </w:p>
        </w:tc>
        <w:tc>
          <w:tcPr>
            <w:tcW w:type="dxa" w:w="6177"/>
          </w:tcPr>
          <w:p>
            <w:pPr>
              <w:pStyle w:val="Compact"/>
              <w:jc w:val="left"/>
            </w:pPr>
            <w:r>
              <w:t xml:space="preserve">beam-property method: load = record integral / modeled constant</w:t>
            </w:r>
          </w:p>
        </w:tc>
      </w:tr>
      <w:tr>
        <w:trPr>
          <w:cantSplit/>
        </w:trPr>
        <w:tc>
          <w:tcPr>
            <w:tcW w:type="dxa" w:w="2892"/>
          </w:tcPr>
          <w:p>
            <w:pPr>
              <w:pStyle w:val="Compact"/>
              <w:jc w:val="left"/>
            </w:pPr>
            <w:r>
              <w:t xml:space="preserve">SLM</w:t>
            </w:r>
          </w:p>
        </w:tc>
        <w:tc>
          <w:tcPr>
            <w:tcW w:type="dxa" w:w="6177"/>
          </w:tcPr>
          <w:p>
            <w:pPr>
              <w:pStyle w:val="Compact"/>
              <w:jc w:val="left"/>
            </w:pPr>
            <w:r>
              <w:t xml:space="preserve">standard-load method: constant taken from a crossing of known weight</w:t>
            </w:r>
          </w:p>
        </w:tc>
      </w:tr>
      <w:tr>
        <w:trPr>
          <w:cantSplit/>
        </w:trPr>
        <w:tc>
          <w:tcPr>
            <w:tcW w:type="dxa" w:w="2892"/>
          </w:tcPr>
          <w:p>
            <w:pPr>
              <w:pStyle w:val="Compact"/>
              <w:jc w:val="left"/>
            </w:pPr>
            <w:r>
              <w:t xml:space="preserve">WIM, BWIM, NOR</w:t>
            </w:r>
          </w:p>
        </w:tc>
        <w:tc>
          <w:tcPr>
            <w:tcW w:type="dxa" w:w="6177"/>
          </w:tcPr>
          <w:p>
            <w:pPr>
              <w:pStyle w:val="Compact"/>
              <w:jc w:val="left"/>
            </w:pPr>
            <w:r>
              <w:t xml:space="preserve">weigh-in-motion; bridge weigh-in-motion; Nothing-on-Road (no sensors on the road surface)</w:t>
            </w:r>
          </w:p>
        </w:tc>
      </w:tr>
      <w:tr>
        <w:trPr>
          <w:cantSplit/>
        </w:trPr>
        <w:tc>
          <w:tcPr>
            <w:tcW w:type="dxa" w:w="2892"/>
          </w:tcPr>
          <w:p>
            <w:pPr>
              <w:pStyle w:val="Compact"/>
              <w:jc w:val="left"/>
            </w:pPr>
            <w:r>
              <w:t xml:space="preserve">CI, CV, MAE, SD</w:t>
            </w:r>
          </w:p>
        </w:tc>
        <w:tc>
          <w:tcPr>
            <w:tcW w:type="dxa" w:w="6177"/>
          </w:tcPr>
          <w:p>
            <w:pPr>
              <w:pStyle w:val="Compact"/>
              <w:jc w:val="left"/>
            </w:pPr>
            <w:r>
              <w:t xml:space="preserve">confidence interval; coefficient of variation; mean absolute error; standard deviation</w:t>
            </w:r>
          </w:p>
        </w:tc>
      </w:tr>
      <w:tr>
        <w:trPr>
          <w:cantSplit/>
        </w:trPr>
        <w:tc>
          <w:tcPr>
            <w:tcW w:type="dxa" w:w="2892"/>
          </w:tcPr>
          <w:p>
            <w:pPr>
              <w:pStyle w:val="Compact"/>
              <w:jc w:val="left"/>
            </w:pPr>
            <w:r>
              <w:t xml:space="preserve">FE</w:t>
            </w:r>
          </w:p>
        </w:tc>
        <w:tc>
          <w:tcPr>
            <w:tcW w:type="dxa" w:w="6177"/>
          </w:tcPr>
          <w:p>
            <w:pPr>
              <w:pStyle w:val="Compact"/>
              <w:jc w:val="left"/>
            </w:pPr>
            <w:r>
              <w:t xml:space="preserve">finite element</w:t>
            </w:r>
          </w:p>
        </w:tc>
      </w:tr>
      <w:tr>
        <w:trPr>
          <w:cantSplit/>
        </w:trPr>
        <w:tc>
          <w:tcPr>
            <w:tcW w:type="dxa" w:w="2892"/>
          </w:tcPr>
          <w:p>
            <w:pPr>
              <w:pStyle w:val="Compact"/>
              <w:jc w:val="left"/>
            </w:pPr>
            <w:r>
              <w:t xml:space="preserve">GLS</w:t>
            </w:r>
          </w:p>
        </w:tc>
        <w:tc>
          <w:tcPr>
            <w:tcW w:type="dxa" w:w="6177"/>
          </w:tcPr>
          <w:p>
            <w:pPr>
              <w:pStyle w:val="Compact"/>
              <w:jc w:val="left"/>
            </w:pPr>
            <w:r>
              <w:t xml:space="preserve">generalized least squares</w:t>
            </w:r>
          </w:p>
        </w:tc>
      </w:tr>
      <w:tr>
        <w:trPr>
          <w:cantSplit/>
        </w:trPr>
        <w:tc>
          <w:tcPr>
            <w:tcW w:type="dxa" w:w="2892"/>
          </w:tcPr>
          <w:p>
            <w:pPr>
              <w:pStyle w:val="Compact"/>
              <w:jc w:val="left"/>
            </w:pPr>
            <w:r>
              <w:t xml:space="preserve">GUM</w:t>
            </w:r>
          </w:p>
        </w:tc>
        <w:tc>
          <w:tcPr>
            <w:tcW w:type="dxa" w:w="6177"/>
          </w:tcPr>
          <w:p>
            <w:pPr>
              <w:pStyle w:val="Compact"/>
              <w:jc w:val="left"/>
            </w:pPr>
            <w:r>
              <w:t xml:space="preserve">Guide to the Expression of Uncertainty in Measurement</w:t>
            </w:r>
          </w:p>
        </w:tc>
      </w:tr>
      <w:tr>
        <w:trPr>
          <w:cantSplit/>
        </w:trPr>
        <w:tc>
          <w:tcPr>
            <w:tcW w:type="dxa" w:w="2892"/>
          </w:tcPr>
          <w:p>
            <w:pPr>
              <w:pStyle w:val="Compact"/>
              <w:jc w:val="left"/>
            </w:pPr>
            <w:r>
              <w:t xml:space="preserve">GVW</w:t>
            </w:r>
          </w:p>
        </w:tc>
        <w:tc>
          <w:tcPr>
            <w:tcW w:type="dxa" w:w="6177"/>
          </w:tcPr>
          <w:p>
            <w:pPr>
              <w:pStyle w:val="Compact"/>
              <w:jc w:val="left"/>
            </w:pPr>
            <w:r>
              <w:t xml:space="preserve">gross vehicle weight</w:t>
            </w:r>
          </w:p>
        </w:tc>
      </w:tr>
      <w:tr>
        <w:trPr>
          <w:cantSplit/>
        </w:trPr>
        <w:tc>
          <w:tcPr>
            <w:tcW w:type="dxa" w:w="2892"/>
          </w:tcPr>
          <w:p>
            <w:pPr>
              <w:pStyle w:val="Compact"/>
              <w:jc w:val="left"/>
            </w:pPr>
            <w:r>
              <w:t xml:space="preserve">LOO, LOTO</w:t>
            </w:r>
          </w:p>
        </w:tc>
        <w:tc>
          <w:tcPr>
            <w:tcW w:type="dxa" w:w="6177"/>
          </w:tcPr>
          <w:p>
            <w:pPr>
              <w:pStyle w:val="Compact"/>
              <w:jc w:val="left"/>
            </w:pPr>
            <w:r>
              <w:t xml:space="preserve">leave-one-run-out and leave-one-truck-out cross-validation</w:t>
            </w:r>
          </w:p>
        </w:tc>
      </w:tr>
      <w:tr>
        <w:trPr>
          <w:cantSplit/>
        </w:trPr>
        <w:tc>
          <w:tcPr>
            <w:tcW w:type="dxa" w:w="2892"/>
          </w:tcPr>
          <w:p>
            <w:pPr>
              <w:pStyle w:val="Compact"/>
              <w:jc w:val="left"/>
            </w:pPr>
            <w:r>
              <w:t xml:space="preserve">TOST</w:t>
            </w:r>
          </w:p>
        </w:tc>
        <w:tc>
          <w:tcPr>
            <w:tcW w:type="dxa" w:w="6177"/>
          </w:tcPr>
          <w:p>
            <w:pPr>
              <w:pStyle w:val="Compact"/>
              <w:jc w:val="left"/>
            </w:pPr>
            <w:r>
              <w:t xml:space="preserve">two one-sided tests of equivalence</w:t>
            </w:r>
          </w:p>
        </w:tc>
      </w:tr>
      <w:tr>
        <w:trPr>
          <w:cantSplit/>
        </w:trPr>
        <w:tc>
          <w:tcPr>
            <w:tcW w:type="dxa" w:w="2892"/>
          </w:tcPr>
          <w:p>
            <w:pPr>
              <w:pStyle w:val="Compact"/>
              <w:jc w:val="left"/>
            </w:pPr>
            <w:r>
              <w:t xml:space="preserve">N7, N8</w:t>
            </w:r>
          </w:p>
        </w:tc>
        <w:tc>
          <w:tcPr>
            <w:tcW w:type="dxa" w:w="617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2892"/>
          </w:tcPr>
          <w:p>
            <w:pPr>
              <w:pStyle w:val="Compact"/>
              <w:jc w:val="left"/>
            </w:pPr>
            <w:r>
              <w:t xml:space="preserve">T5–T8</w:t>
            </w:r>
          </w:p>
        </w:tc>
        <w:tc>
          <w:tcPr>
            <w:tcW w:type="dxa" w:w="617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Eq. (7). 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The near-blind band at mid side span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For a sensor at</w:t>
      </w:r>
      <w:r>
        <w:t xml:space="preserve"> </w:t>
      </w:r>
      <m:oMath>
        <m:r>
          <m:t>ζ</m:t>
        </m:r>
        <m:r>
          <m:rPr>
            <m:sty m:val="p"/>
          </m:rPr>
          <m:t>=</m:t>
        </m:r>
        <m:r>
          <m:t>x</m:t>
        </m:r>
        <m:r>
          <m:rPr>
            <m:sty m:val="p"/>
          </m:rPr>
          <m:t>/</m:t>
        </m:r>
        <m:sSub>
          <m:e>
            <m:r>
              <m:t>L</m:t>
            </m:r>
          </m:e>
          <m:sub>
            <m:r>
              <m:rPr>
                <m:sty m:val="p"/>
              </m:rPr>
              <m:t>main</m:t>
            </m:r>
          </m:sub>
        </m:sSub>
      </m:oMath>
      <w:r>
        <w:t xml:space="preserve"> </w:t>
      </w:r>
      <w:r>
        <w:t xml:space="preserve">in the main span,</w:t>
      </w:r>
      <w:r>
        <w:t xml:space="preserve"> </w:t>
      </w:r>
      <m:oMath>
        <m:r>
          <m:t>192</m:t>
        </m:r>
        <m:r>
          <m:t>E</m:t>
        </m:r>
        <m:sSub>
          <m:e>
            <m:r>
              <m:t>I</m:t>
            </m:r>
          </m:e>
          <m:sub>
            <m:r>
              <m:rPr>
                <m:sty m:val="p"/>
              </m:rPr>
              <m:t>main</m:t>
            </m:r>
          </m:sub>
        </m:sSub>
        <m:sSub>
          <m:e>
            <m:r>
              <m:t>C</m:t>
            </m:r>
          </m:e>
          <m:sub>
            <m:r>
              <m:t>m</m:t>
            </m:r>
          </m:sub>
        </m:sSub>
        <m:r>
          <m:rPr>
            <m:sty m:val="p"/>
          </m:rPr>
          <m:t>/</m:t>
        </m:r>
        <m:sSubSup>
          <m:e>
            <m:r>
              <m:t>L</m:t>
            </m:r>
          </m:e>
          <m:sub>
            <m:r>
              <m:rPr>
                <m:sty m:val="p"/>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sty m:val="p"/>
              </m:rPr>
              <m:t>*</m:t>
            </m:r>
          </m:sup>
        </m:sSup>
      </m:oMath>
      <w:r>
        <w:t xml:space="preserve"> </w:t>
      </w:r>
      <w:r>
        <w:t xml:space="preserve">and deflection indicator</w:t>
      </w:r>
      <w:r>
        <w:t xml:space="preserve"> </w:t>
      </w:r>
      <m:oMath>
        <m:sSub>
          <m:e>
            <m:r>
              <m:t>N</m:t>
            </m:r>
          </m:e>
          <m:sub>
            <m:r>
              <m:t>w</m:t>
            </m:r>
          </m:sub>
        </m:sSub>
      </m:oMath>
      <w:r>
        <w:t xml:space="preserve"> </w:t>
      </w:r>
      <w:r>
        <w:t xml:space="preserve">(Eq. (10);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sty m:val="p"/>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(9)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(16) and the main-span values from</w:t>
      </w:r>
      <w:r>
        <w:t xml:space="preserve"> </w:t>
      </w:r>
      <m:oMath>
        <m:sSub>
          <m:e>
            <m:acc>
              <m:accPr>
                <m:chr m:val="‾"/>
              </m:accPr>
              <m:e>
                <m:r>
                  <m:t>M</m:t>
                </m:r>
              </m:e>
            </m:acc>
          </m:e>
          <m:sub>
            <m:r>
              <m:rPr>
                <m:sty m:val="p"/>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For one channel, Eq. (13)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(14) is only about 5 × 10⁻⁶ of</w:t>
      </w:r>
      <w:r>
        <w:t xml:space="preserve"> </w:t>
      </w:r>
      <m:oMath>
        <m:sSubSup>
          <m:e>
            <m:r>
              <m:t>δ</m:t>
            </m:r>
          </m:e>
          <m:sub>
            <m:r>
              <m:t>0</m:t>
            </m:r>
          </m:sub>
          <m:sup>
            <m:r>
              <m:t>2</m:t>
            </m:r>
          </m:sup>
        </m:sSubSup>
        <m:sSubSup>
          <m:e>
            <m:r>
              <m:t>L</m:t>
            </m:r>
          </m:e>
          <m:sub>
            <m:r>
              <m:rPr>
                <m:sty m:val="p"/>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(14)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(13) and (14)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rPr>
          <m:t>ln</m:t>
        </m:r>
        <m:sSub>
          <m:e>
            <m:r>
              <m:t>C</m:t>
            </m:r>
          </m:e>
          <m:sub>
            <m:r>
              <m:t>m</m:t>
            </m:r>
          </m:sub>
        </m:sSub>
        <m:r>
          <m:rPr>
            <m:sty m:val="p"/>
          </m:rPr>
          <m:t>/</m:t>
        </m:r>
        <m:r>
          <m:rPr>
            <m:sty m:val="p"/>
          </m:rPr>
          <m:t>∂</m:t>
        </m:r>
        <m:r>
          <m:rPr>
            <m:sty m:val="p"/>
          </m:rPr>
          <m:t>ln</m:t>
        </m:r>
        <m:r>
          <m:t>α</m:t>
        </m:r>
      </m:oMath>
      <w:r>
        <w:t xml:space="preserve"> </w:t>
      </w:r>
      <w:r>
        <w:t xml:space="preserve">and</w:t>
      </w:r>
      <w:r>
        <w:t xml:space="preserve"> </w:t>
      </w:r>
      <m:oMath>
        <m:sSub>
          <m:e>
            <m:r>
              <m:t>S</m:t>
            </m:r>
          </m:e>
          <m:sub>
            <m:r>
              <m:t>k</m:t>
            </m:r>
          </m:sub>
        </m:sSub>
        <m:r>
          <m:rPr>
            <m:sty m:val="p"/>
          </m:rPr>
          <m:t>=</m:t>
        </m:r>
        <m:r>
          <m:rPr>
            <m:sty m:val="p"/>
          </m:rPr>
          <m:t>∂</m:t>
        </m:r>
        <m:r>
          <m:rPr>
            <m:sty m:val="p"/>
          </m:rPr>
          <m:t>ln</m:t>
        </m:r>
        <m:sSub>
          <m:e>
            <m:r>
              <m:t>C</m:t>
            </m:r>
          </m:e>
          <m:sub>
            <m:r>
              <m:t>m</m:t>
            </m:r>
          </m:sub>
        </m:sSub>
        <m:r>
          <m:rPr>
            <m:sty m:val="p"/>
          </m:rPr>
          <m:t>/</m:t>
        </m:r>
        <m:r>
          <m:rPr>
            <m:sty m:val="p"/>
          </m:rPr>
          <m:t>∂</m:t>
        </m:r>
        <m:r>
          <m:rPr>
            <m:sty m:val="p"/>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symmetric and antisymmetric pier-rotation patterns, the uniform load excites only the antisymmetric one, and the Sherman–Morrison formula gives the linear-fractional (Möbius) law of Eq. (15) with</w:t>
      </w:r>
      <w:r>
        <w:t xml:space="preserve"> </w:t>
      </w:r>
      <m:oMath>
        <m:r>
          <m:t>1</m:t>
        </m:r>
        <m:r>
          <m:rPr>
            <m:sty m:val="p"/>
          </m:rPr>
          <m:t>/</m:t>
        </m:r>
        <m:sSub>
          <m:e>
            <m:r>
              <m:t>k</m:t>
            </m:r>
          </m:e>
          <m:sub>
            <m:r>
              <m:t>g</m:t>
            </m:r>
          </m:sub>
        </m:sSub>
      </m:oMath>
      <w:r>
        <w:t xml:space="preserve"> </w:t>
      </w:r>
      <w:r>
        <w:t xml:space="preserve">the antisymmetric pier flexibility of the girder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(16)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antisymmetric pier stiffness</w:t>
      </w:r>
      <w:r>
        <w:t xml:space="preserve"> </w:t>
      </w:r>
      <m:oMath>
        <m:sSub>
          <m:e>
            <m:r>
              <m:t>k</m:t>
            </m:r>
          </m:e>
          <m:sub>
            <m:r>
              <m:t>g</m:t>
            </m:r>
          </m:sub>
        </m:sSub>
        <m:sSub>
          <m:e>
            <m:r>
              <m:t>L</m:t>
            </m:r>
          </m:e>
          <m:sub>
            <m:r>
              <m:rPr>
                <m:sty m:val="p"/>
              </m:rPr>
              <m:t>side</m:t>
            </m:r>
          </m:sub>
        </m:sSub>
        <m:r>
          <m:rPr>
            <m:sty m:val="p"/>
          </m:rPr>
          <m:t>/</m:t>
        </m:r>
        <m:r>
          <m:t>E</m:t>
        </m:r>
        <m:sSub>
          <m:e>
            <m:r>
              <m:t>I</m:t>
            </m:r>
          </m:e>
          <m:sub>
            <m:r>
              <m:rPr>
                <m:sty m:val="p"/>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symmetric pattern, which Eq. (15)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Table S3 compares the identified total loads with direct weighing, and Table S4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S4).</w:t>
      </w:r>
    </w:p>
    <w:p>
      <w:pPr>
        <w:pStyle w:val="BodyText"/>
        <w:keepNext/>
      </w:pPr>
      <w:r>
        <w:rPr>
          <w:bCs/>
          <w:b/>
        </w:rPr>
        <w:t xml:space="preserve">Table S3.</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S4.</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S5). The first truck ran at 10.4–12.8 m/s and the second at 19.1–19.8 m/s, so speed and truck are confounded. Day-2 speeds were 13–28 m/s; no speed effect was resolved (+6 % per 10 m/s, 95 % CI −23 to +35 %), but the confidence interval of the slope is too wide to call the constant speed-independent (Fig. S9). Equivalence was tested by two one-sided tests (TOST; Table S6).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w:t>
      </w:r>
    </w:p>
    <w:p>
      <w:pPr>
        <w:pStyle w:val="BodyText"/>
      </w:pPr>
      <w:r>
        <w:t xml:space="preserve">Estimators. Table S7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S8 and Fig. S11 give the correlations behind this result, and Table S9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 mean absolute error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S5.</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S6.</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S5)</w:t>
            </w:r>
          </w:p>
        </w:tc>
      </w:tr>
    </w:tbl>
    <w:p>
      <w:pPr>
        <w:pStyle w:val="BodyText"/>
        <w:keepNext/>
      </w:pPr>
      <w:r>
        <w:rPr>
          <w:bCs/>
          <w:b/>
        </w:rPr>
        <w:t xml:space="preserve">Table S7.</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S8.</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S9.</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S10). Mitutoyo dial gauges, mounted on independent frames fixed to the ground, read the peak deflection under central and eccentric transverse positions at three measuring points across each section (Table S11). The longitudinal truck positions are given as drawings in the test report and are not tabulated.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Admissible sets (Table S12). The conclusions depend on the tolerance.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w:t>
      </w:r>
    </w:p>
    <w:p>
      <w:pPr>
        <w:pStyle w:val="BodyText"/>
      </w:pPr>
      <w:r>
        <w:t xml:space="preserve">Frequencies. The measured vertical frequencies (3.43–3.64 Hz; Table S13)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that the first and third frequencies would give (Section 5.3) assumes a measurement that was not made.</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rigidity factor</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sty m:val="p"/>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w:t>
      </w:r>
    </w:p>
    <w:p>
      <w:pPr>
        <w:pStyle w:val="BodyText"/>
      </w:pPr>
      <w:r>
        <w:t xml:space="preserve">Indicators and channels (Table S14). Going from pinned to fixed piers multiplies the N8 constant by 14.0 but reduces the N7 constant to 0.59 of its pinned value. A strain gauge at mid side span would be practically blind under calibration A (</w:t>
      </w:r>
      <m:oMath>
        <m:sSub>
          <m:e>
            <m:r>
              <m:t>N</m:t>
            </m:r>
          </m:e>
          <m:sub>
            <m:r>
              <m:t>M</m:t>
            </m:r>
          </m:sub>
        </m:sSub>
        <m:r>
          <m:rPr>
            <m:sty m:val="p"/>
          </m:rPr>
          <m:t>=</m:t>
        </m:r>
        <m:r>
          <m:t>0.048</m:t>
        </m:r>
      </m:oMath>
      <w:r>
        <w:t xml:space="preserve">) and would change sign with pinned piers. A rotation reading at the end bearing T8 adds little, because its sensitivity duplicates that of N8. At calibration B the two-reading Fisher matrix is singular, so the deflections alone cannot bound</w:t>
      </w:r>
      <w:r>
        <w:t xml:space="preserve"> </w:t>
      </w:r>
      <m:oMath>
        <m:r>
          <m:rPr>
            <m:sty m:val="p"/>
          </m:rPr>
          <m:t>ln</m:t>
        </m:r>
        <m:sSub>
          <m:e>
            <m:r>
              <m:t>C</m:t>
            </m:r>
          </m:e>
          <m:sub>
            <m:r>
              <m:t>8</m:t>
            </m:r>
          </m:sub>
        </m:sSub>
      </m:oMath>
      <w:r>
        <w:t xml:space="preserve"> </w:t>
      </w:r>
      <w:r>
        <w:t xml:space="preserve">(Section S5).</w:t>
      </w:r>
    </w:p>
    <w:p>
      <w:pPr>
        <w:pStyle w:val="BodyText"/>
        <w:keepNext/>
      </w:pPr>
      <w:r>
        <w:rPr>
          <w:bCs/>
          <w:b/>
        </w:rPr>
        <w:t xml:space="preserve">Table S10.</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S11.</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S12.</w:t>
      </w:r>
      <w:r>
        <w:t xml:space="preserve"> </w:t>
      </w:r>
      <w:r>
        <w:t xml:space="preserve">Admissible set of the Mây Bridge model against the tolerance</w:t>
      </w:r>
      <w:r>
        <w:t xml:space="preserve"> </w:t>
      </w:r>
      <m:oMath>
        <m:r>
          <m:t>τ</m:t>
        </m:r>
      </m:oMath>
      <w:r>
        <w:t xml:space="preserve"> </w:t>
      </w:r>
      <w:r>
        <w:t xml:space="preserve">on the misfit of each gauge.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38"/>
        <w:gridCol w:w="1290"/>
        <w:gridCol w:w="1188"/>
        <w:gridCol w:w="1358"/>
        <w:gridCol w:w="1766"/>
        <w:gridCol w:w="1426"/>
      </w:tblGrid>
      <w:tr>
        <w:trPr>
          <w:tblHeader w:val="true"/>
          <w:tblHeader w:val="true"/>
          <w:cantSplit/>
        </w:trPr>
        <w:tc>
          <w:tcPr>
            <w:tcW w:type="dxa" w:w="2038"/>
            <w:tcBorders>
              <w:top w:val="nil"/>
              <w:left w:val="nil"/>
              <w:bottom w:val="single" w:sz="6" w:space="0" w:color="000000"/>
              <w:right w:val="nil"/>
            </w:tcBorders>
          </w:tcPr>
          <w:p>
            <w:pPr>
              <w:pStyle w:val="Compact"/>
              <w:jc w:val="left"/>
            </w:pPr>
            <w:r>
              <w:t xml:space="preserve">Tolerance, prior</w:t>
            </w:r>
          </w:p>
        </w:tc>
        <w:tc>
          <w:tcPr>
            <w:tcW w:type="dxa" w:w="1290"/>
            <w:tcBorders>
              <w:top w:val="nil"/>
              <w:left w:val="nil"/>
              <w:bottom w:val="single" w:sz="6" w:space="0" w:color="000000"/>
              <w:right w:val="nil"/>
            </w:tcBorders>
          </w:tcPr>
          <w:p>
            <w:pPr>
              <w:pStyle w:val="Compact"/>
              <w:jc w:val="left"/>
            </w:pPr>
            <m:oMath>
              <m:r>
                <m:t>κ</m:t>
              </m:r>
            </m:oMath>
            <w:r>
              <w:t xml:space="preserve"> </w:t>
            </w:r>
            <w:r>
              <w:t xml:space="preserve">(kN m/rad)</w:t>
            </w:r>
          </w:p>
        </w:tc>
        <w:tc>
          <w:tcPr>
            <w:tcW w:type="dxa" w:w="1188"/>
            <w:tcBorders>
              <w:top w:val="nil"/>
              <w:left w:val="nil"/>
              <w:bottom w:val="single" w:sz="6" w:space="0" w:color="000000"/>
              <w:right w:val="nil"/>
            </w:tcBorders>
          </w:tcPr>
          <w:p>
            <w:pPr>
              <w:pStyle w:val="Compact"/>
              <w:jc w:val="right"/>
            </w:pPr>
            <m:oMath>
              <m:r>
                <m:t>α</m:t>
              </m:r>
            </m:oMath>
          </w:p>
        </w:tc>
        <w:tc>
          <w:tcPr>
            <w:tcW w:type="dxa" w:w="1358"/>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rPr>
                    <m:t>mid</m:t>
                  </m:r>
                </m:sub>
              </m:sSub>
            </m:oMath>
          </w:p>
        </w:tc>
        <w:tc>
          <w:tcPr>
            <w:tcW w:type="dxa" w:w="1766"/>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rPr>
                    <m:t>mid</m:t>
                  </m:r>
                </m:sub>
              </m:sSub>
            </m:oMath>
          </w:p>
        </w:tc>
        <w:tc>
          <w:tcPr>
            <w:tcW w:type="dxa" w:w="1426"/>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r>
      <w:tr>
        <w:trPr>
          <w:cantSplit/>
        </w:trPr>
        <w:tc>
          <w:tcPr>
            <w:tcW w:type="dxa" w:w="2038"/>
          </w:tcPr>
          <w:p>
            <w:pPr>
              <w:pStyle w:val="Compact"/>
              <w:jc w:val="left"/>
            </w:pPr>
            <m:oMath>
              <m:r>
                <m:t>τ</m:t>
              </m:r>
            </m:oMath>
            <w:r>
              <w:t xml:space="preserve"> </w:t>
            </w:r>
            <w:r>
              <w:t xml:space="preserve">= 3 %</w:t>
            </w:r>
          </w:p>
        </w:tc>
        <w:tc>
          <w:tcPr>
            <w:tcW w:type="dxa" w:w="1290"/>
          </w:tcPr>
          <w:p>
            <w:pPr>
              <w:pStyle w:val="Compact"/>
              <w:jc w:val="left"/>
            </w:pPr>
            <w:r>
              <w:t xml:space="preserve">1.0–3.0 × 10⁸</w:t>
            </w:r>
          </w:p>
        </w:tc>
        <w:tc>
          <w:tcPr>
            <w:tcW w:type="dxa" w:w="1188"/>
          </w:tcPr>
          <w:p>
            <w:pPr>
              <w:pStyle w:val="Compact"/>
              <w:jc w:val="right"/>
            </w:pPr>
            <w:r>
              <w:t xml:space="preserve">0.64–0.80</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4 %</w:t>
            </w:r>
          </w:p>
        </w:tc>
        <w:tc>
          <w:tcPr>
            <w:tcW w:type="dxa" w:w="1290"/>
          </w:tcPr>
          <w:p>
            <w:pPr>
              <w:pStyle w:val="Compact"/>
              <w:jc w:val="left"/>
            </w:pPr>
            <w:r>
              <w:t xml:space="preserve">4.2 × 10⁷–2.0 × 10⁹</w:t>
            </w:r>
          </w:p>
        </w:tc>
        <w:tc>
          <w:tcPr>
            <w:tcW w:type="dxa" w:w="1188"/>
          </w:tcPr>
          <w:p>
            <w:pPr>
              <w:pStyle w:val="Compact"/>
              <w:jc w:val="right"/>
            </w:pPr>
            <w:r>
              <w:t xml:space="preserve">0.54–0.98</w:t>
            </w:r>
          </w:p>
        </w:tc>
        <w:tc>
          <w:tcPr>
            <w:tcW w:type="dxa" w:w="1358"/>
          </w:tcPr>
          <w:p>
            <w:pPr>
              <w:pStyle w:val="Compact"/>
              <w:jc w:val="right"/>
            </w:pPr>
            <w:r>
              <w:t xml:space="preserve">–</w:t>
            </w:r>
          </w:p>
        </w:tc>
        <w:tc>
          <w:tcPr>
            <w:tcW w:type="dxa" w:w="1766"/>
          </w:tcPr>
          <w:p>
            <w:pPr>
              <w:pStyle w:val="Compact"/>
              <w:jc w:val="right"/>
            </w:pPr>
            <w:r>
              <w:t xml:space="preserve">–</w:t>
            </w:r>
          </w:p>
        </w:tc>
        <w:tc>
          <w:tcPr>
            <w:tcW w:type="dxa" w:w="1426"/>
          </w:tcPr>
          <w:p>
            <w:pPr>
              <w:pStyle w:val="Compact"/>
              <w:jc w:val="right"/>
            </w:pPr>
            <w:r>
              <w:t xml:space="preserve">–</w:t>
            </w:r>
          </w:p>
        </w:tc>
      </w:tr>
      <w:tr>
        <w:trPr>
          <w:cantSplit/>
        </w:trPr>
        <w:tc>
          <w:tcPr>
            <w:tcW w:type="dxa" w:w="2038"/>
          </w:tcPr>
          <w:p>
            <w:pPr>
              <w:pStyle w:val="Compact"/>
              <w:jc w:val="left"/>
            </w:pPr>
            <m:oMath>
              <m:r>
                <m:t>τ</m:t>
              </m:r>
            </m:oMath>
            <w:r>
              <w:t xml:space="preserve"> </w:t>
            </w:r>
            <w:r>
              <w:t xml:space="preserve">= 5.3 %</w:t>
            </w:r>
          </w:p>
        </w:tc>
        <w:tc>
          <w:tcPr>
            <w:tcW w:type="dxa" w:w="1290"/>
          </w:tcPr>
          <w:p>
            <w:pPr>
              <w:pStyle w:val="Compact"/>
              <w:jc w:val="left"/>
            </w:pPr>
            <w:r>
              <w:t xml:space="preserve">≥ 1.8 × 10⁷</w:t>
            </w:r>
          </w:p>
        </w:tc>
        <w:tc>
          <w:tcPr>
            <w:tcW w:type="dxa" w:w="1188"/>
          </w:tcPr>
          <w:p>
            <w:pPr>
              <w:pStyle w:val="Compact"/>
              <w:jc w:val="right"/>
            </w:pPr>
            <w:r>
              <w:t xml:space="preserve">0.51–1.15</w:t>
            </w:r>
          </w:p>
        </w:tc>
        <w:tc>
          <w:tcPr>
            <w:tcW w:type="dxa" w:w="1358"/>
          </w:tcPr>
          <w:p>
            <w:pPr>
              <w:pStyle w:val="Compact"/>
              <w:jc w:val="right"/>
            </w:pPr>
            <w:r>
              <w:t xml:space="preserve">0.14–0.42</w:t>
            </w:r>
          </w:p>
        </w:tc>
        <w:tc>
          <w:tcPr>
            <w:tcW w:type="dxa" w:w="1766"/>
          </w:tcPr>
          <w:p>
            <w:pPr>
              <w:pStyle w:val="Compact"/>
              <w:jc w:val="right"/>
            </w:pPr>
            <w:r>
              <w:t xml:space="preserve">0.12–0.82</w:t>
            </w:r>
          </w:p>
        </w:tc>
        <w:tc>
          <w:tcPr>
            <w:tcW w:type="dxa" w:w="1426"/>
          </w:tcPr>
          <w:p>
            <w:pPr>
              <w:pStyle w:val="Compact"/>
              <w:jc w:val="right"/>
            </w:pPr>
            <w:r>
              <w:t xml:space="preserve">3.0 × 10⁻⁵–2.0 × 10⁻⁴</w:t>
            </w:r>
          </w:p>
        </w:tc>
      </w:tr>
      <w:tr>
        <w:trPr>
          <w:cantSplit/>
        </w:trPr>
        <w:tc>
          <w:tcPr>
            <w:tcW w:type="dxa" w:w="2038"/>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1290"/>
          </w:tcPr>
          <w:p>
            <w:pPr>
              <w:pStyle w:val="Compact"/>
              <w:jc w:val="left"/>
            </w:pPr>
            <w:r>
              <w:t xml:space="preserve">–</w:t>
            </w:r>
          </w:p>
        </w:tc>
        <w:tc>
          <w:tcPr>
            <w:tcW w:type="dxa" w:w="1188"/>
          </w:tcPr>
          <w:p>
            <w:pPr>
              <w:pStyle w:val="Compact"/>
              <w:jc w:val="right"/>
            </w:pPr>
            <w:r>
              <w:t xml:space="preserve">–</w:t>
            </w:r>
          </w:p>
        </w:tc>
        <w:tc>
          <w:tcPr>
            <w:tcW w:type="dxa" w:w="1358"/>
          </w:tcPr>
          <w:p>
            <w:pPr>
              <w:pStyle w:val="Compact"/>
              <w:jc w:val="right"/>
            </w:pPr>
            <w:r>
              <w:t xml:space="preserve">0.14–0.27</w:t>
            </w:r>
          </w:p>
        </w:tc>
        <w:tc>
          <w:tcPr>
            <w:tcW w:type="dxa" w:w="1766"/>
          </w:tcPr>
          <w:p>
            <w:pPr>
              <w:pStyle w:val="Compact"/>
              <w:jc w:val="right"/>
            </w:pPr>
            <w:r>
              <w:t xml:space="preserve">0.12–0.30</w:t>
            </w:r>
          </w:p>
        </w:tc>
        <w:tc>
          <w:tcPr>
            <w:tcW w:type="dxa" w:w="1426"/>
          </w:tcPr>
          <w:p>
            <w:pPr>
              <w:pStyle w:val="Compact"/>
              <w:jc w:val="right"/>
            </w:pPr>
            <w:r>
              <w:t xml:space="preserve">–</w:t>
            </w:r>
          </w:p>
        </w:tc>
      </w:tr>
    </w:tbl>
    <w:p>
      <w:pPr>
        <w:pStyle w:val="BodyText"/>
        <w:keepNext/>
      </w:pPr>
      <w:r>
        <w:rPr>
          <w:bCs/>
          <w:b/>
        </w:rPr>
        <w:t xml:space="preserve">Table S13.</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S14.</w:t>
      </w:r>
      <w:r>
        <w:t xml:space="preserve"> </w:t>
      </w:r>
      <w:r>
        <w:t xml:space="preserve">Deflection indicator</w:t>
      </w:r>
      <w:r>
        <w:t xml:space="preserve"> </w:t>
      </w:r>
      <m:oMath>
        <m:sSub>
          <m:e>
            <m:r>
              <m:t>N</m:t>
            </m:r>
          </m:e>
          <m:sub>
            <m:r>
              <m:t>w</m:t>
            </m:r>
          </m:sub>
        </m:sSub>
      </m:oMath>
      <w:r>
        <w:t xml:space="preserve"> </w:t>
      </w:r>
      <w:r>
        <w:t xml:space="preserve">(Eq. (10)), cancellation ratio</w:t>
      </w:r>
      <w:r>
        <w:t xml:space="preserve"> </w:t>
      </w:r>
      <m:oMath>
        <m:r>
          <m:t>R</m:t>
        </m:r>
      </m:oMath>
      <w:r>
        <w:t xml:space="preserve"> </w:t>
      </w:r>
      <w:r>
        <w:t xml:space="preserve">(Eq. (11))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rPr>
              <m:t>ref</m:t>
            </m:r>
          </m:sub>
        </m:sSub>
      </m:oMath>
      <w:r>
        <w:t xml:space="preserve"> </w:t>
      </w:r>
      <w:r>
        <w:t xml:space="preserve">= design</w:t>
      </w:r>
      <w:r>
        <w:t xml:space="preserve"> </w:t>
      </w:r>
      <m:oMath>
        <m:r>
          <m:t>E</m:t>
        </m:r>
        <m:sSub>
          <m:e>
            <m:r>
              <m:t>I</m:t>
            </m:r>
          </m:e>
          <m:sub>
            <m:r>
              <m:rPr>
                <m:sty m:val="p"/>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pinned-pier and fixed-pier rows give the extreme values over the haunch-length variants (</w:t>
      </w:r>
      <m:oMath>
        <m:sSub>
          <m:e>
            <m:r>
              <m:t>L</m:t>
            </m:r>
          </m:e>
          <m:sub>
            <m:r>
              <m:rPr>
                <m:sty m:val="p"/>
              </m:rPr>
              <m:t>v</m:t>
            </m:r>
          </m:sub>
        </m:sSub>
      </m:oMath>
      <w:r>
        <w:t xml:space="preserve"> </w:t>
      </w:r>
      <w:r>
        <w:t xml:space="preserve">= 40–45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0.023</w:t>
            </w:r>
          </w:p>
        </w:tc>
        <w:tc>
          <w:tcPr>
            <w:tcW w:type="dxa" w:w="1330"/>
          </w:tcPr>
          <w:p>
            <w:pPr>
              <w:pStyle w:val="Compact"/>
              <w:jc w:val="right"/>
            </w:pPr>
            <w:r>
              <w:t xml:space="preserve">−0.066</w:t>
            </w:r>
          </w:p>
        </w:tc>
        <w:tc>
          <w:tcPr>
            <w:tcW w:type="dxa" w:w="1204"/>
          </w:tcPr>
          <w:p>
            <w:pPr>
              <w:pStyle w:val="Compact"/>
              <w:jc w:val="right"/>
            </w:pPr>
            <w:r>
              <w:t xml:space="preserve">0.263</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0.446</w:t>
            </w:r>
          </w:p>
        </w:tc>
        <w:tc>
          <w:tcPr>
            <w:tcW w:type="dxa" w:w="1330"/>
          </w:tcPr>
          <w:p>
            <w:pPr>
              <w:pStyle w:val="Compact"/>
              <w:jc w:val="right"/>
            </w:pPr>
            <w:r>
              <w:t xml:space="preserve">0.375</w:t>
            </w:r>
          </w:p>
        </w:tc>
        <w:tc>
          <w:tcPr>
            <w:tcW w:type="dxa" w:w="1204"/>
          </w:tcPr>
          <w:p>
            <w:pPr>
              <w:pStyle w:val="Compact"/>
              <w:jc w:val="right"/>
            </w:pPr>
            <w:r>
              <w:t xml:space="preserve">0.145</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(12),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S15 evaluates Eq. (12) for the Mây Bridge gauges over the admissible set, with</w:t>
      </w:r>
      <w:r>
        <w:t xml:space="preserve"> </w:t>
      </w:r>
      <m:oMath>
        <m:sSub>
          <m:e>
            <m:r>
              <m:t>L</m:t>
            </m:r>
          </m:e>
          <m:sub>
            <m:r>
              <m:rPr>
                <m:sty m:val="p"/>
              </m:rPr>
              <m:t>tot</m:t>
            </m:r>
          </m:sub>
        </m:sSub>
        <m:r>
          <m:rPr>
            <m:sty m:val="p"/>
          </m:rPr>
          <m:t>=</m:t>
        </m:r>
        <m:r>
          <m:t>200</m:t>
        </m:r>
      </m:oMath>
      <w:r>
        <w:t xml:space="preserve"> </w:t>
      </w:r>
      <w:r>
        <w:t xml:space="preserve">m and a truck of the mean weighed gross weight, 25.06 t. The smaller offsets in Table S15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S16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S15.</w:t>
      </w:r>
      <w:r>
        <w:t xml:space="preserve"> </w:t>
      </w:r>
      <w:r>
        <w:t xml:space="preserve">Bias of a single-channel estimate caused by a residual offset</w:t>
      </w:r>
      <w:r>
        <w:t xml:space="preserve"> </w:t>
      </w:r>
      <m:oMath>
        <m:sSub>
          <m:e>
            <m:r>
              <m:t>δ</m:t>
            </m:r>
          </m:e>
          <m:sub>
            <m:r>
              <m:t>0</m:t>
            </m:r>
          </m:sub>
        </m:sSub>
      </m:oMath>
      <w:r>
        <w:t xml:space="preserve">, Eq. (12), for a 25.06 t truck;</w:t>
      </w:r>
      <w:r>
        <w:t xml:space="preserve"> </w:t>
      </w:r>
      <m:oMath>
        <m:sSub>
          <m:e>
            <m:r>
              <m:t>L</m:t>
            </m:r>
          </m:e>
          <m:sub>
            <m:r>
              <m:rPr>
                <m:sty m:val="p"/>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3.3–5.0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82–543 %</w:t>
            </w:r>
          </w:p>
        </w:tc>
        <w:tc>
          <w:tcPr>
            <w:tcW w:type="dxa" w:w="1361"/>
          </w:tcPr>
          <w:p>
            <w:pPr>
              <w:pStyle w:val="Compact"/>
              <w:jc w:val="right"/>
            </w:pPr>
            <w:r>
              <w:t xml:space="preserve">206–1356 %</w:t>
            </w:r>
          </w:p>
        </w:tc>
      </w:tr>
    </w:tbl>
    <w:p>
      <w:pPr>
        <w:pStyle w:val="BodyText"/>
        <w:keepNext/>
      </w:pPr>
      <w:r>
        <w:rPr>
          <w:bCs/>
          <w:b/>
        </w:rPr>
        <w:t xml:space="preserve">Table S16.</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S15;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1–2 %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(4)–(9)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(15)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Combine channels by GLS or zero-sum weights only after estimating</w:t>
      </w:r>
      <w:r>
        <w:t xml:space="preserve"> </w:t>
      </w:r>
      <m:oMath>
        <m:r>
          <m:t>Σ</m:t>
        </m:r>
      </m:oMath>
      <w:r>
        <w:t xml:space="preserve"> </w:t>
      </w:r>
      <w:r>
        <w:t xml:space="preserve">from the residuals of calibration crossings and checking it out of sample against the gauge average; covariances from vehicle-free windows alone can mislead.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(12), for the residual offset that the instrumentation achieves after re-zeroing, and compare it with the lightest vehicle to be screened. Check</w:t>
      </w:r>
      <w:r>
        <w:t xml:space="preserve"> </w:t>
      </w:r>
      <m:oMath>
        <m:sSub>
          <m:e>
            <m:r>
              <m:t>t</m:t>
            </m:r>
          </m:e>
          <m:sub>
            <m:r>
              <m:rPr>
                <m:sty m:val="p"/>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2026-10-19T17:29:51Z</dcterms:created>
  <dcterms:modified xsi:type="dcterms:W3CDTF">2026-10-19T17:29:51Z</dcterms:modified>
</cp:coreProperties>
</file>

<file path=docProps/custom.xml><?xml version="1.0" encoding="utf-8"?>
<Properties xmlns="http://schemas.openxmlformats.org/officeDocument/2006/custom-properties" xmlns:vt="http://schemas.openxmlformats.org/officeDocument/2006/docPropsVTypes"/>
</file>