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[NEED VALUE: date]</w:t>
      </w:r>
    </w:p>
    <w:p>
      <w:pPr>
        <w:pStyle w:val="BodyText"/>
      </w:pPr>
      <w:r>
        <w:t xml:space="preserve">Lucia Faravelli, Editor</w:t>
      </w:r>
      <w:r>
        <w:br/>
      </w:r>
      <w:r>
        <w:rPr>
          <w:iCs/>
          <w:i/>
        </w:rPr>
        <w:t xml:space="preserve">Structural Control and Health Monitoring</w:t>
      </w:r>
      <w:r>
        <w:br/>
      </w:r>
      <w:r>
        <w:t xml:space="preserve">Wiley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rPr>
          <w:bCs/>
          <w:b/>
        </w:rPr>
        <w:t xml:space="preserve">Submission of an original research article: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Total-load observability of continuous girder bridges from a single deflection channel: closed-form blind configurations, laboratory verification and sensor placement on an in-service box girder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We submit the above manuscript for consideration as a Research Article in</w:t>
      </w:r>
      <w:r>
        <w:t xml:space="preserve"> </w:t>
      </w:r>
      <w:r>
        <w:rPr>
          <w:iCs/>
          <w:i/>
        </w:rPr>
        <w:t xml:space="preserve">Structural Control and Health Monitoring</w:t>
      </w:r>
      <w:r>
        <w:t xml:space="preserve">.</w:t>
      </w:r>
    </w:p>
    <w:p>
      <w:pPr>
        <w:pStyle w:val="BodyText"/>
      </w:pPr>
      <w:r>
        <w:t xml:space="preserve">Influence-area bridge weigh-in-motion estimates the gross weight of a vehicle from the area under a single response record. On continuous girders the influence line changes sign over the interior supports, and the positive and negative areas partly cancel. The manuscript treats a question that comes before any weighing algorithm and is, in monitoring terms, a sensor-placement question: for a given continuous girder and sensor position, can one deflection channel observe the total load at all?</w:t>
      </w:r>
    </w:p>
    <w:p>
      <w:pPr>
        <w:pStyle w:val="BodyText"/>
      </w:pPr>
      <w:r>
        <w:t xml:space="preserve">The paper makes the following contributions.</w:t>
      </w:r>
    </w:p>
    <w:p>
      <w:pPr>
        <w:numPr>
          <w:ilvl w:val="0"/>
          <w:numId w:val="1001"/>
        </w:numPr>
        <w:pStyle w:val="BodyText"/>
      </w:pPr>
      <w:r>
        <w:t xml:space="preserve">By reciprocity, the constant that relates the deflection integral to the total load is the deflection at the sensor under a uniformly distributed unit load. The identity is classical; we use it to make the constant available from one static analysis or one static test, before installation. The influence-area idea and its calibration with a weighed vehicle are credited to Ojio and Yamada.</w:t>
      </w:r>
    </w:p>
    <w:p>
      <w:pPr>
        <w:numPr>
          <w:ilvl w:val="0"/>
          <w:numId w:val="1001"/>
        </w:numPr>
        <w:pStyle w:val="BodyText"/>
      </w:pPr>
      <w:r>
        <w:t xml:space="preserve">Closed forms of this constant for two-span beams with arbitrary span and stiffness ratios and for symmetric three-span beams, which locate the blind configurations exactly. For a three-span beam instrumented at mid side span with uniform rigidity, the blind main-to-side span ratio is 1.700594.</w:t>
      </w:r>
    </w:p>
    <w:p>
      <w:pPr>
        <w:numPr>
          <w:ilvl w:val="0"/>
          <w:numId w:val="1001"/>
        </w:numPr>
        <w:pStyle w:val="BodyText"/>
      </w:pPr>
      <w:r>
        <w:t xml:space="preserve">Three pre-installation indicators: the normalised constant, the cancellation ratio, and an offset-equivalent load that converts the residual baseline offset of the instrumentation into a load bias for a given gauge.</w:t>
      </w:r>
    </w:p>
    <w:p>
      <w:pPr>
        <w:numPr>
          <w:ilvl w:val="0"/>
          <w:numId w:val="1001"/>
        </w:numPr>
        <w:pStyle w:val="BodyText"/>
      </w:pPr>
      <w:r>
        <w:t xml:space="preserve">An application to the acceptance-test data of an in-service 55 + 90 + 55 m box girder. Two calibrations reproduce the measured deflections but give side-span gauge indices of 0.18 and 0.48, while the centre-span gauge stays at 0.21–0.23. A residual offset of 0.05 mm biases a 25.06 t truck (the mean of the weighed test trucks) by 35–93 % at the side-span gauge and by 10–11 % at the centre-span gauge. The design model therefore cannot supply the constant of a side-span gauge on such a girder.</w:t>
      </w:r>
    </w:p>
    <w:p>
      <w:pPr>
        <w:pStyle w:val="FirstParagraph"/>
      </w:pPr>
      <w:r>
        <w:t xml:space="preserve">The theory is verified against finite element evaluations and on a laboratory two-span steel beam with statically positioned loads, where two- and three-load groups were identified within 1.19 % and 0.70 % of direct weighing. The paper argues why the laboratory scale does not limit these identities and evaluates the scale-dependent terms at the scale of the bridge. The bridge data are static, so the integral identity itself is not validated on a continuous girder, and the manuscript says so.</w:t>
      </w:r>
    </w:p>
    <w:p>
      <w:pPr>
        <w:pStyle w:val="BodyText"/>
      </w:pPr>
      <w:r>
        <w:t xml:space="preserve">We believe the paper fits the journal’s interest in structural health monitoring theory, sensor technology, signal processing and measurements: it gives a closed-form observability and sensor-placement criterion for a monitoring channel, together with a measurement-error analysis for it. The journal has recently published work on deflection influence lines of continuous beam bridges, which we cite and distinguish.</w:t>
      </w:r>
    </w:p>
    <w:p>
      <w:pPr>
        <w:pStyle w:val="BodyText"/>
      </w:pPr>
      <w:r>
        <w:t xml:space="preserve">The manuscript is original, has not been published, and is not under consideration by any other journal. [NEED VALUE: two related papers by the authors are under review at</w:t>
      </w:r>
      <w:r>
        <w:t xml:space="preserve"> </w:t>
      </w:r>
      <w:r>
        <w:rPr>
          <w:iCs/>
          <w:i/>
        </w:rPr>
        <w:t xml:space="preserve">Structures</w:t>
      </w:r>
      <w:r>
        <w:t xml:space="preserve">; state here whether they share the laboratory rig, data or text with this manuscript and how they are cited, or confirm that there is no overlap.] All authors have approved the submission. Conflicts of interest, funding, data availability and the use of generative AI are declared in the manuscript.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Thai-Son Vu (corresponding author)</w:t>
      </w:r>
      <w:r>
        <w:br/>
      </w:r>
      <w:r>
        <w:t xml:space="preserve">Faculty of Bridge and Road Engineering, Hanoi University of Civil Engineering</w:t>
      </w:r>
      <w:r>
        <w:br/>
      </w:r>
      <w:r>
        <w:t xml:space="preserve">55 Giai Phong, Bach Mai ward, 11618 Ha Noi, Viet Nam</w:t>
      </w:r>
      <w:r>
        <w:br/>
      </w:r>
      <w:r>
        <w:t xml:space="preserve">E-mail: sonvt2@huce.edu.vn</w:t>
      </w:r>
    </w:p>
    <w:p>
      <w:pPr>
        <w:pStyle w:val="BodyText"/>
      </w:pPr>
      <w:r>
        <w:t xml:space="preserve">on behalf of Quoc-Bao Nguyen and Hung-Son Nguyen</w:t>
      </w:r>
    </w:p>
    <w:sectPr>
      <w:footerReference r:id="rId9" w:type="default"/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20" w:before="180" w:line="36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360" w:lineRule="auto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360" w:lineRule="auto"/>
      <w:jc w:val="center"/>
    </w:pPr>
    <w:rPr>
      <w:rFonts w:ascii="Times New Roman" w:cs="Times New Roman" w:eastAsia="Times New Roman" w:hAnsi="Times New Roman"/>
      <w:sz w:val="24"/>
    </w:rPr>
  </w:style>
  <w:style w:styleId="Date" w:type="paragraph">
    <w:name w:val="Date"/>
    <w:next w:val="BodyText"/>
    <w:qFormat/>
    <w:pPr>
      <w:keepNext/>
      <w:keepLines/>
      <w:spacing w:line="360" w:lineRule="auto"/>
      <w:jc w:val="center"/>
    </w:pPr>
    <w:rPr>
      <w:rFonts w:ascii="Times New Roman" w:cs="Times New Roman" w:eastAsia="Times New Roman" w:hAnsi="Times New Roman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360" w:lineRule="auto"/>
    </w:pPr>
    <w:rPr>
      <w:rFonts w:ascii="Times New Roman" w:cs="Times New Roman" w:eastAsia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360" w:lineRule="auto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360" w:lineRule="auto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360" w:lineRule="auto"/>
      <w:outlineLvl w:val="2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customStyle="1" w:styleId="Figureplaceholder" w:type="paragraph">
    <w:name w:val="Figure placeholder"/>
    <w:basedOn w:val="Normal"/>
    <w:pPr>
      <w:jc w:val="center"/>
    </w:pPr>
    <w:rPr>
      <w:i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2026-10-18T09:22:06Z</dcterms:created>
  <dcterms:modified xsi:type="dcterms:W3CDTF">2026-10-18T09:22:06Z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