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710bb0aadf6be62bad815c90603fd9c37413993"/>
    <w:p>
      <w:pPr>
        <w:pStyle w:val="Heading1"/>
      </w:pPr>
      <w:r>
        <w:t xml:space="preserve">Total-load observability of continuous girder bridges from a single deflection channel: closed-form blind configurations, laboratory verification and sensor placement on an in-service box girder</w:t>
      </w:r>
    </w:p>
    <w:p>
      <w:pPr>
        <w:pStyle w:val="FirstParagraph"/>
      </w:pPr>
      <w:r>
        <w:t xml:space="preserve">Quoc-Bao Nguyen</w:t>
      </w:r>
      <w:r>
        <w:rPr>
          <w:vertAlign w:val="superscript"/>
        </w:rPr>
        <w:t xml:space="preserve">a</w:t>
      </w:r>
      <w:r>
        <w:t xml:space="preserve">, Thai-Son Vu</w:t>
      </w:r>
      <w:r>
        <w:rPr>
          <w:vertAlign w:val="superscript"/>
        </w:rPr>
        <w:t xml:space="preserve">a,*</w:t>
      </w:r>
      <w:r>
        <w:t xml:space="preserve">, Hung-Son Nguyen</w:t>
      </w:r>
      <w:r>
        <w:rPr>
          <w:vertAlign w:val="superscript"/>
        </w:rPr>
        <w:t xml:space="preserve">a</w:t>
      </w:r>
    </w:p>
    <w:p>
      <w:pPr>
        <w:pStyle w:val="BodyText"/>
      </w:pPr>
      <w:r>
        <w:rPr>
          <w:vertAlign w:val="superscript"/>
        </w:rPr>
        <w:t xml:space="preserve">a</w:t>
      </w:r>
      <w:r>
        <w:t xml:space="preserve"> </w:t>
      </w:r>
      <w:r>
        <w:t xml:space="preserve">Faculty of Bridge and Road Engineering, Hanoi University of Civil Engineering, 55 Giai Phong, Bach Mai ward, 11618 Ha Noi, Viet Nam</w:t>
      </w:r>
    </w:p>
    <w:p>
      <w:pPr>
        <w:pStyle w:val="BodyText"/>
      </w:pPr>
      <w:r>
        <w:t xml:space="preserve">* Corresponding author: Thai-Son Vu. Tel.: +84 971 899 888. E-mail: sonvt2@huce.edu.vn</w:t>
      </w:r>
    </w:p>
    <w:p>
      <w:pPr>
        <w:pStyle w:val="BodyText"/>
      </w:pPr>
      <w:r>
        <w:t xml:space="preserve">E-mail addresses: baonq@huce.edu.vn (Q.-B. Nguyen), sonvt2@huce.edu.vn (T.-S. Vu), sonnh@huce.edu.vn (H.-S. Nguyen)</w:t>
      </w:r>
    </w:p>
    <w:bookmarkStart w:id="20" w:name="abstract"/>
    <w:p>
      <w:pPr>
        <w:pStyle w:val="Heading2"/>
      </w:pPr>
      <w:r>
        <w:t xml:space="preserve">Abstract</w:t>
      </w:r>
    </w:p>
    <w:p>
      <w:pPr>
        <w:pStyle w:val="FirstParagraph"/>
      </w:pPr>
      <w:r>
        <w:t xml:space="preserve">Influence-area bridge weigh-in-motion estimates gross vehicle weight from the area under one response record. On continuous girders the influence line changes sign, and a sensor may record almost no net area. This paper treats this as a sensor-placement question for structural health monitoring: where can one deflection channel observe the total load? For a linear-elastic beam the deflection integral over a complete crossing equals the total load times a constant</w:t>
      </w:r>
      <w:r>
        <w:t xml:space="preserve"> </w:t>
      </w:r>
      <m:oMath>
        <m:sSub>
          <m:e>
            <m:r>
              <m:t>C</m:t>
            </m:r>
          </m:e>
          <m:sub>
            <m:r>
              <m:t>m</m:t>
            </m:r>
          </m:sub>
        </m:sSub>
      </m:oMath>
      <w:r>
        <w:t xml:space="preserve">, which by reciprocity is the sensor deflection under a uniform unit load. This gives closed forms for two- and three-span beams. With uniform stiffness, a mid-span sensor on two spans is blind at the span ratio</w:t>
      </w:r>
      <w:r>
        <w:t xml:space="preserve"> </w:t>
      </w:r>
      <m:oMath>
        <m:d>
          <m:dPr>
            <m:begChr m:val="("/>
            <m:endChr m:val=")"/>
            <m:sepChr m:val=""/>
            <m:grow/>
          </m:dPr>
          <m:e>
            <m:r>
              <m:t>3</m:t>
            </m:r>
            <m:r>
              <m:rPr>
                <m:sty m:val="p"/>
              </m:rPr>
              <m:t>+</m:t>
            </m:r>
            <m:rad>
              <m:radPr>
                <m:degHide m:val="on"/>
              </m:radPr>
              <m:deg/>
              <m:e>
                <m:r>
                  <m:t>33</m:t>
                </m:r>
              </m:e>
            </m:rad>
          </m:e>
        </m:d>
        <m:r>
          <m:rPr>
            <m:sty m:val="p"/>
          </m:rPr>
          <m:t>/</m:t>
        </m:r>
        <m:r>
          <m:t>6</m:t>
        </m:r>
        <m:r>
          <m:rPr>
            <m:sty m:val="p"/>
          </m:rPr>
          <m:t>=</m:t>
        </m:r>
        <m:r>
          <m:t>1.45743</m:t>
        </m:r>
      </m:oMath>
      <w:r>
        <w:t xml:space="preserve">; a mid side-span sensor on a symmetric three-span beam is blind at</w:t>
      </w:r>
      <w:r>
        <w:t xml:space="preserve"> </w:t>
      </w:r>
      <m:oMath>
        <m:r>
          <m:t>β</m:t>
        </m:r>
        <m:r>
          <m:rPr>
            <m:sty m:val="p"/>
          </m:rPr>
          <m:t>=</m:t>
        </m:r>
        <m:r>
          <m:t>1.700594</m:t>
        </m:r>
      </m:oMath>
      <w:r>
        <w:t xml:space="preserve">, and the side-span blind locus ends at</w:t>
      </w:r>
      <w:r>
        <w:t xml:space="preserve"> </w:t>
      </w:r>
      <m:oMath>
        <m:r>
          <m:t>β</m:t>
        </m:r>
        <m:r>
          <m:rPr>
            <m:sty m:val="p"/>
          </m:rPr>
          <m:t>=</m:t>
        </m:r>
        <m:r>
          <m:t>2</m:t>
        </m:r>
        <m:r>
          <m:rPr>
            <m:sty m:val="p"/>
          </m:rPr>
          <m:t>cos</m:t>
        </m:r>
        <m:d>
          <m:dPr>
            <m:begChr m:val="("/>
            <m:endChr m:val=")"/>
            <m:sepChr m:val=""/>
            <m:grow/>
          </m:dPr>
          <m:e>
            <m:r>
              <m:t>π</m:t>
            </m:r>
            <m:r>
              <m:rPr>
                <m:sty m:val="p"/>
              </m:rPr>
              <m:t>/</m:t>
            </m:r>
            <m:r>
              <m:t>9</m:t>
            </m:r>
          </m:e>
        </m:d>
        <m:r>
          <m:rPr>
            <m:sty m:val="p"/>
          </m:rPr>
          <m:t>=</m:t>
        </m:r>
        <m:r>
          <m:t>1.879385</m:t>
        </m:r>
      </m:oMath>
      <w:r>
        <w:t xml:space="preserve">. Laboratory tests on a two-span steel beam identified two- and three-load groups within 1.19 % (beam-property method) and 0.70 % (standard-load method). On a 55 + 90 + 55 m box girder, two calibrations reproduce the acceptance-test deflections but give a side-span gauge index of 0.18 or 0.48, while the centre-span gauge stays at 0.21–0.23. A residual offset of 0.05 mm then biases a 25.06 t truck by 35–93 % at the side-span gauge and 10–11 % at the centre-span gauge. Side-span gauges on continuous girders therefore need</w:t>
      </w:r>
      <w:r>
        <w:t xml:space="preserve"> </w:t>
      </w:r>
      <m:oMath>
        <m:sSub>
          <m:e>
            <m:r>
              <m:t>C</m:t>
            </m:r>
          </m:e>
          <m:sub>
            <m:r>
              <m:t>m</m:t>
            </m:r>
          </m:sub>
        </m:sSub>
      </m:oMath>
      <w:r>
        <w:t xml:space="preserve"> </w:t>
      </w:r>
      <w:r>
        <w:t xml:space="preserve">from an in-situ identified model or a weighed-vehicle calibration, not from the design model.</w:t>
      </w:r>
    </w:p>
    <w:p>
      <w:pPr>
        <w:pStyle w:val="BodyText"/>
      </w:pPr>
      <w:r>
        <w:rPr>
          <w:bCs/>
          <w:b/>
        </w:rPr>
        <w:t xml:space="preserve">Keywords:</w:t>
      </w:r>
      <w:r>
        <w:t xml:space="preserve"> </w:t>
      </w:r>
      <w:r>
        <w:t xml:space="preserve">Structural health monitoring; Sensor placement; Bridge weigh-in-motion; Continuous girder; Deflection integral; Load observability</w:t>
      </w:r>
    </w:p>
    <w:bookmarkEnd w:id="20"/>
    <w:bookmarkStart w:id="21" w:name="nomenclature"/>
    <w:p>
      <w:pPr>
        <w:pStyle w:val="Heading2"/>
      </w:pPr>
      <w:r>
        <w:t xml:space="preserve">Nomenclature</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2616"/>
        <w:gridCol w:w="6453"/>
      </w:tblGrid>
      <w:tr>
        <w:trPr>
          <w:tblHeader w:val="true"/>
        </w:trPr>
        <w:tc>
          <w:tcPr>
            <w:tcW w:type="dxa" w:w="2616"/>
            <w:tcBorders>
              <w:top w:val="nil"/>
              <w:left w:val="nil"/>
              <w:bottom w:val="single" w:sz="6" w:space="0" w:color="000000"/>
              <w:right w:val="nil"/>
            </w:tcBorders>
          </w:tcPr>
          <w:p>
            <w:pPr>
              <w:pStyle w:val="Compact"/>
              <w:jc w:val="left"/>
            </w:pPr>
            <w:r>
              <w:t xml:space="preserve">Symbol</w:t>
            </w:r>
          </w:p>
        </w:tc>
        <w:tc>
          <w:tcPr>
            <w:tcW w:type="dxa" w:w="6453"/>
            <w:tcBorders>
              <w:top w:val="nil"/>
              <w:left w:val="nil"/>
              <w:bottom w:val="single" w:sz="6" w:space="0" w:color="000000"/>
              <w:right w:val="nil"/>
            </w:tcBorders>
          </w:tcPr>
          <w:p>
            <w:pPr>
              <w:pStyle w:val="Compact"/>
              <w:jc w:val="left"/>
            </w:pPr>
            <w:r>
              <w:t xml:space="preserve">Meaning</w:t>
            </w:r>
          </w:p>
        </w:tc>
      </w:tr>
      <w:tr>
        <w:tc>
          <w:tcPr>
            <w:tcW w:type="dxa" w:w="2616"/>
          </w:tcPr>
          <w:p>
            <w:pPr>
              <w:pStyle w:val="Compact"/>
              <w:jc w:val="left"/>
            </w:pPr>
            <m:oMath>
              <m:sSup>
                <m:e>
                  <m:r>
                    <m:t>A</m:t>
                  </m:r>
                </m:e>
                <m:sup>
                  <m:r>
                    <m:rPr>
                      <m:sty m:val="p"/>
                    </m:rPr>
                    <m:t>+</m:t>
                  </m:r>
                </m:sup>
              </m:sSup>
            </m:oMath>
            <w:r>
              <w:t xml:space="preserve">,</w:t>
            </w:r>
            <w:r>
              <w:t xml:space="preserve"> </w:t>
            </w:r>
            <m:oMath>
              <m:sSup>
                <m:e>
                  <m:r>
                    <m:t>A</m:t>
                  </m:r>
                </m:e>
                <m:sup>
                  <m:r>
                    <m:rPr>
                      <m:sty m:val="p"/>
                    </m:rPr>
                    <m:t>−</m:t>
                  </m:r>
                </m:sup>
              </m:sSup>
            </m:oMath>
          </w:p>
        </w:tc>
        <w:tc>
          <w:tcPr>
            <w:tcW w:type="dxa" w:w="6453"/>
          </w:tcPr>
          <w:p>
            <w:pPr>
              <w:pStyle w:val="Compact"/>
              <w:jc w:val="left"/>
            </w:pPr>
            <w:r>
              <w:t xml:space="preserve">positive and negative parts of the area under</w:t>
            </w:r>
            <w:r>
              <w:t xml:space="preserve"> </w:t>
            </w:r>
            <m:oMath>
              <m:sSub>
                <m:e>
                  <m:r>
                    <m:t>η</m:t>
                  </m:r>
                </m:e>
                <m:sub>
                  <m:r>
                    <m:t>m</m:t>
                  </m:r>
                </m:sub>
              </m:sSub>
            </m:oMath>
            <w:r>
              <w:t xml:space="preserve"> </w:t>
            </w:r>
            <w:r>
              <w:t xml:space="preserve">(mm²/N)</w:t>
            </w:r>
          </w:p>
        </w:tc>
      </w:tr>
      <w:tr>
        <w:tc>
          <w:tcPr>
            <w:tcW w:type="dxa" w:w="2616"/>
          </w:tcPr>
          <w:p>
            <w:pPr>
              <w:pStyle w:val="Compact"/>
              <w:jc w:val="left"/>
            </w:pPr>
            <m:oMath>
              <m:sSub>
                <m:e>
                  <m:r>
                    <m:t>C</m:t>
                  </m:r>
                </m:e>
                <m:sub>
                  <m:r>
                    <m:t>m</m:t>
                  </m:r>
                </m:sub>
              </m:sSub>
            </m:oMath>
          </w:p>
        </w:tc>
        <w:tc>
          <w:tcPr>
            <w:tcW w:type="dxa" w:w="6453"/>
          </w:tcPr>
          <w:p>
            <w:pPr>
              <w:pStyle w:val="Compact"/>
              <w:jc w:val="left"/>
            </w:pPr>
            <w:r>
              <w:t xml:space="preserve">invariance constant at sensor</w:t>
            </w:r>
            <w:r>
              <w:t xml:space="preserve"> </w:t>
            </w:r>
            <m:oMath>
              <m:r>
                <m:t>m</m:t>
              </m:r>
            </m:oMath>
            <w:r>
              <w:t xml:space="preserve">, the signed area under</w:t>
            </w:r>
            <w:r>
              <w:t xml:space="preserve"> </w:t>
            </w:r>
            <m:oMath>
              <m:sSub>
                <m:e>
                  <m:r>
                    <m:t>η</m:t>
                  </m:r>
                </m:e>
                <m:sub>
                  <m:r>
                    <m:t>m</m:t>
                  </m:r>
                </m:sub>
              </m:sSub>
            </m:oMath>
            <w:r>
              <w:t xml:space="preserve"> </w:t>
            </w:r>
            <w:r>
              <w:t xml:space="preserve">(mm²/N; in Section 4 m²/kN, 1 m²/kN = 10³ mm²/N)</w:t>
            </w:r>
          </w:p>
        </w:tc>
      </w:tr>
      <w:tr>
        <w:tc>
          <w:tcPr>
            <w:tcW w:type="dxa" w:w="2616"/>
          </w:tcPr>
          <w:p>
            <w:pPr>
              <w:pStyle w:val="Compact"/>
              <w:jc w:val="left"/>
            </w:pPr>
            <m:oMath>
              <m:r>
                <m:t>E</m:t>
              </m:r>
              <m:r>
                <m:t>I</m:t>
              </m:r>
            </m:oMath>
            <w:r>
              <w:t xml:space="preserve">,</w:t>
            </w:r>
            <w:r>
              <w:t xml:space="preserve"> </w:t>
            </w:r>
            <m:oMath>
              <m:r>
                <m:t>E</m:t>
              </m:r>
              <m:sSub>
                <m:e>
                  <m:r>
                    <m:t>I</m:t>
                  </m:r>
                </m:e>
                <m:sub>
                  <m:r>
                    <m:rPr>
                      <m:sty m:val="p"/>
                    </m:rPr>
                    <m:t>r</m:t>
                  </m:r>
                  <m:r>
                    <m:rPr>
                      <m:sty m:val="p"/>
                    </m:rPr>
                    <m:t>e</m:t>
                  </m:r>
                  <m:r>
                    <m:rPr>
                      <m:sty m:val="p"/>
                    </m:rPr>
                    <m:t>f</m:t>
                  </m:r>
                </m:sub>
              </m:sSub>
            </m:oMath>
          </w:p>
        </w:tc>
        <w:tc>
          <w:tcPr>
            <w:tcW w:type="dxa" w:w="6453"/>
          </w:tcPr>
          <w:p>
            <w:pPr>
              <w:pStyle w:val="Compact"/>
              <w:jc w:val="left"/>
            </w:pPr>
            <w:r>
              <w:t xml:space="preserve">flexural rigidity; reference rigidity used for normalisation (N mm²)</w:t>
            </w:r>
          </w:p>
        </w:tc>
      </w:tr>
      <w:tr>
        <w:tc>
          <w:tcPr>
            <w:tcW w:type="dxa" w:w="2616"/>
          </w:tcPr>
          <w:p>
            <w:pPr>
              <w:pStyle w:val="Compact"/>
              <w:jc w:val="left"/>
            </w:pPr>
            <m:oMath>
              <m:sSub>
                <m:e>
                  <m:r>
                    <m:t>I</m:t>
                  </m:r>
                </m:e>
                <m:sub>
                  <m:r>
                    <m:t>y</m:t>
                  </m:r>
                </m:sub>
              </m:sSub>
            </m:oMath>
            <w:r>
              <w:t xml:space="preserve">,</w:t>
            </w:r>
            <w:r>
              <w:t xml:space="preserve"> </w:t>
            </w:r>
            <m:oMath>
              <m:sSub>
                <m:e>
                  <m:r>
                    <m:t>I</m:t>
                  </m:r>
                </m:e>
                <m:sub>
                  <m:r>
                    <m:t>t</m:t>
                  </m:r>
                </m:sub>
              </m:sSub>
            </m:oMath>
          </w:p>
        </w:tc>
        <w:tc>
          <w:tcPr>
            <w:tcW w:type="dxa" w:w="6453"/>
          </w:tcPr>
          <w:p>
            <w:pPr>
              <w:pStyle w:val="Compact"/>
              <w:jc w:val="left"/>
            </w:pPr>
            <w:r>
              <w:t xml:space="preserve">deflection integral over a complete crossing in space (mm²) and in time,</w:t>
            </w:r>
            <w:r>
              <w:t xml:space="preserve"> </w:t>
            </w:r>
            <m:oMath>
              <m:sSub>
                <m:e>
                  <m:r>
                    <m:t>I</m:t>
                  </m:r>
                </m:e>
                <m:sub>
                  <m:r>
                    <m:t>t</m:t>
                  </m:r>
                </m:sub>
              </m:sSub>
              <m:r>
                <m:rPr>
                  <m:sty m:val="p"/>
                </m:rPr>
                <m:t>=</m:t>
              </m:r>
              <m:sSub>
                <m:e>
                  <m:r>
                    <m:t>I</m:t>
                  </m:r>
                </m:e>
                <m:sub>
                  <m:r>
                    <m:t>y</m:t>
                  </m:r>
                </m:sub>
              </m:sSub>
              <m:r>
                <m:rPr>
                  <m:sty m:val="p"/>
                </m:rPr>
                <m:t>/</m:t>
              </m:r>
              <m:r>
                <m:t>v</m:t>
              </m:r>
            </m:oMath>
            <w:r>
              <w:t xml:space="preserve"> </w:t>
            </w:r>
            <w:r>
              <w:t xml:space="preserve">(mm s)</w:t>
            </w:r>
          </w:p>
        </w:tc>
      </w:tr>
      <w:tr>
        <w:tc>
          <w:tcPr>
            <w:tcW w:type="dxa" w:w="2616"/>
          </w:tcPr>
          <w:p>
            <w:pPr>
              <w:pStyle w:val="Compact"/>
              <w:jc w:val="left"/>
            </w:pPr>
            <m:oMath>
              <m:r>
                <m:t>k</m:t>
              </m:r>
            </m:oMath>
          </w:p>
        </w:tc>
        <w:tc>
          <w:tcPr>
            <w:tcW w:type="dxa" w:w="6453"/>
          </w:tcPr>
          <w:p>
            <w:pPr>
              <w:pStyle w:val="Compact"/>
              <w:jc w:val="left"/>
            </w:pPr>
            <w:r>
              <w:t xml:space="preserve">rotational stiffness of a monolithic inner pier (kN m/rad)</w:t>
            </w:r>
          </w:p>
        </w:tc>
      </w:tr>
      <w:tr>
        <w:tc>
          <w:tcPr>
            <w:tcW w:type="dxa" w:w="2616"/>
          </w:tcPr>
          <w:p>
            <w:pPr>
              <w:pStyle w:val="Compact"/>
              <w:jc w:val="left"/>
            </w:pPr>
            <m:oMath>
              <m:sSub>
                <m:e>
                  <m:r>
                    <m:t>L</m:t>
                  </m:r>
                </m:e>
                <m:sub>
                  <m:r>
                    <m:t>1</m:t>
                  </m:r>
                </m:sub>
              </m:sSub>
            </m:oMath>
            <w:r>
              <w:t xml:space="preserve">,</w:t>
            </w:r>
            <w:r>
              <w:t xml:space="preserve"> </w:t>
            </w:r>
            <m:oMath>
              <m:sSub>
                <m:e>
                  <m:r>
                    <m:t>L</m:t>
                  </m:r>
                </m:e>
                <m:sub>
                  <m:r>
                    <m:t>2</m:t>
                  </m:r>
                </m:sub>
              </m:sSub>
            </m:oMath>
          </w:p>
        </w:tc>
        <w:tc>
          <w:tcPr>
            <w:tcW w:type="dxa" w:w="6453"/>
          </w:tcPr>
          <w:p>
            <w:pPr>
              <w:pStyle w:val="Compact"/>
              <w:jc w:val="left"/>
            </w:pPr>
            <w:r>
              <w:t xml:space="preserve">instrumented and adjacent span of a two-span beam (mm)</w:t>
            </w:r>
          </w:p>
        </w:tc>
      </w:tr>
      <w:tr>
        <w:tc>
          <w:tcPr>
            <w:tcW w:type="dxa" w:w="2616"/>
          </w:tcPr>
          <w:p>
            <w:pPr>
              <w:pStyle w:val="Compact"/>
              <w:jc w:val="left"/>
            </w:pPr>
            <m:oMath>
              <m:sSub>
                <m:e>
                  <m:r>
                    <m:t>L</m:t>
                  </m:r>
                </m:e>
                <m:sub>
                  <m:r>
                    <m:t>s</m:t>
                  </m:r>
                </m:sub>
              </m:sSub>
            </m:oMath>
            <w:r>
              <w:t xml:space="preserve">,</w:t>
            </w:r>
            <w:r>
              <w:t xml:space="preserve"> </w:t>
            </w:r>
            <m:oMath>
              <m:sSub>
                <m:e>
                  <m:r>
                    <m:t>L</m:t>
                  </m:r>
                </m:e>
                <m:sub>
                  <m:r>
                    <m:t>m</m:t>
                  </m:r>
                </m:sub>
              </m:sSub>
            </m:oMath>
          </w:p>
        </w:tc>
        <w:tc>
          <w:tcPr>
            <w:tcW w:type="dxa" w:w="6453"/>
          </w:tcPr>
          <w:p>
            <w:pPr>
              <w:pStyle w:val="Compact"/>
              <w:jc w:val="left"/>
            </w:pPr>
            <w:r>
              <w:t xml:space="preserve">side and main span of a symmetric three-span beam (m)</w:t>
            </w:r>
          </w:p>
        </w:tc>
      </w:tr>
      <w:tr>
        <w:tc>
          <w:tcPr>
            <w:tcW w:type="dxa" w:w="2616"/>
          </w:tcPr>
          <w:p>
            <w:pPr>
              <w:pStyle w:val="Compact"/>
              <w:jc w:val="left"/>
            </w:pPr>
            <m:oMath>
              <m:sSub>
                <m:e>
                  <m:r>
                    <m:t>L</m:t>
                  </m:r>
                </m:e>
                <m:sub>
                  <m:r>
                    <m:rPr>
                      <m:sty m:val="p"/>
                    </m:rPr>
                    <m:t>t</m:t>
                  </m:r>
                  <m:r>
                    <m:rPr>
                      <m:sty m:val="p"/>
                    </m:rPr>
                    <m:t>o</m:t>
                  </m:r>
                  <m:r>
                    <m:rPr>
                      <m:sty m:val="p"/>
                    </m:rPr>
                    <m:t>t</m:t>
                  </m:r>
                </m:sub>
              </m:sSub>
            </m:oMath>
          </w:p>
        </w:tc>
        <w:tc>
          <w:tcPr>
            <w:tcW w:type="dxa" w:w="6453"/>
          </w:tcPr>
          <w:p>
            <w:pPr>
              <w:pStyle w:val="Compact"/>
              <w:jc w:val="left"/>
            </w:pPr>
            <w:r>
              <w:t xml:space="preserve">length of the integration record (mm; m in Section 6.2 for the bridge)</w:t>
            </w:r>
          </w:p>
        </w:tc>
      </w:tr>
      <w:tr>
        <w:tc>
          <w:tcPr>
            <w:tcW w:type="dxa" w:w="2616"/>
          </w:tcPr>
          <w:p>
            <w:pPr>
              <w:pStyle w:val="Compact"/>
              <w:jc w:val="left"/>
            </w:pPr>
            <m:oMath>
              <m:sSub>
                <m:e>
                  <m:r>
                    <m:t>N</m:t>
                  </m:r>
                </m:e>
                <m:sub>
                  <m:r>
                    <m:t>m</m:t>
                  </m:r>
                </m:sub>
              </m:sSub>
            </m:oMath>
          </w:p>
        </w:tc>
        <w:tc>
          <w:tcPr>
            <w:tcW w:type="dxa" w:w="6453"/>
          </w:tcPr>
          <w:p>
            <w:pPr>
              <w:pStyle w:val="Compact"/>
              <w:jc w:val="left"/>
            </w:pPr>
            <w:r>
              <w:t xml:space="preserve">normalised indicator</w:t>
            </w:r>
            <w:r>
              <w:t xml:space="preserve"> </w:t>
            </w:r>
            <m:oMath>
              <m:r>
                <m:t>192</m:t>
              </m:r>
              <m:r>
                <m:t>E</m:t>
              </m:r>
              <m:sSub>
                <m:e>
                  <m:r>
                    <m:t>I</m:t>
                  </m:r>
                </m:e>
                <m:sub>
                  <m:r>
                    <m:rPr>
                      <m:sty m:val="p"/>
                    </m:rPr>
                    <m:t>r</m:t>
                  </m:r>
                  <m:r>
                    <m:rPr>
                      <m:sty m:val="p"/>
                    </m:rPr>
                    <m:t>e</m:t>
                  </m:r>
                  <m:r>
                    <m:rPr>
                      <m:sty m:val="p"/>
                    </m:rPr>
                    <m:t>f</m:t>
                  </m:r>
                </m:sub>
              </m:sSub>
              <m:sSub>
                <m:e>
                  <m:r>
                    <m:t>C</m:t>
                  </m:r>
                </m:e>
                <m:sub>
                  <m:r>
                    <m:t>m</m:t>
                  </m:r>
                </m:sub>
              </m:sSub>
              <m:r>
                <m:rPr>
                  <m:sty m:val="p"/>
                </m:rPr>
                <m:t>/</m:t>
              </m:r>
              <m:sSup>
                <m:e>
                  <m:r>
                    <m:t>L</m:t>
                  </m:r>
                </m:e>
                <m:sup>
                  <m:r>
                    <m:t>4</m:t>
                  </m:r>
                </m:sup>
              </m:sSup>
            </m:oMath>
          </w:p>
        </w:tc>
      </w:tr>
      <w:tr>
        <w:tc>
          <w:tcPr>
            <w:tcW w:type="dxa" w:w="2616"/>
          </w:tcPr>
          <w:p>
            <w:pPr>
              <w:pStyle w:val="Compact"/>
              <w:jc w:val="left"/>
            </w:pPr>
            <m:oMath>
              <m:sSub>
                <m:e>
                  <m:r>
                    <m:t>P</m:t>
                  </m:r>
                </m:e>
                <m:sub>
                  <m:r>
                    <m:rPr>
                      <m:sty m:val="p"/>
                    </m:rPr>
                    <m:t>t</m:t>
                  </m:r>
                  <m:r>
                    <m:rPr>
                      <m:sty m:val="p"/>
                    </m:rPr>
                    <m:t>o</m:t>
                  </m:r>
                  <m:r>
                    <m:rPr>
                      <m:sty m:val="p"/>
                    </m:rPr>
                    <m:t>t</m:t>
                  </m:r>
                </m:sub>
              </m:sSub>
            </m:oMath>
            <w:r>
              <w:t xml:space="preserve">,</w:t>
            </w:r>
            <w:r>
              <w:t xml:space="preserve"> </w:t>
            </w:r>
            <m:oMath>
              <m:sSub>
                <m:e>
                  <m:r>
                    <m:t>P</m:t>
                  </m:r>
                </m:e>
                <m:sub>
                  <m:r>
                    <m:t>0</m:t>
                  </m:r>
                </m:sub>
              </m:sSub>
            </m:oMath>
            <w:r>
              <w:t xml:space="preserve">,</w:t>
            </w:r>
            <w:r>
              <w:t xml:space="preserve"> </w:t>
            </w:r>
            <m:oMath>
              <m:sSub>
                <m:e>
                  <m:r>
                    <m:t>P</m:t>
                  </m:r>
                </m:e>
                <m:sub>
                  <m:r>
                    <m:t>t</m:t>
                  </m:r>
                </m:sub>
              </m:sSub>
            </m:oMath>
          </w:p>
        </w:tc>
        <w:tc>
          <w:tcPr>
            <w:tcW w:type="dxa" w:w="6453"/>
          </w:tcPr>
          <w:p>
            <w:pPr>
              <w:pStyle w:val="Compact"/>
              <w:jc w:val="left"/>
            </w:pPr>
            <w:r>
              <w:t xml:space="preserve">total load; reference load; unknown load (N)</w:t>
            </w:r>
          </w:p>
        </w:tc>
      </w:tr>
      <w:tr>
        <w:tc>
          <w:tcPr>
            <w:tcW w:type="dxa" w:w="2616"/>
          </w:tcPr>
          <w:p>
            <w:pPr>
              <w:pStyle w:val="Compact"/>
              <w:jc w:val="left"/>
            </w:pPr>
            <m:oMath>
              <m:sSub>
                <m:e>
                  <m:r>
                    <m:t>P</m:t>
                  </m:r>
                </m:e>
                <m:sub>
                  <m:r>
                    <m:t>ε</m:t>
                  </m:r>
                </m:sub>
              </m:sSub>
            </m:oMath>
          </w:p>
        </w:tc>
        <w:tc>
          <w:tcPr>
            <w:tcW w:type="dxa" w:w="6453"/>
          </w:tcPr>
          <w:p>
            <w:pPr>
              <w:pStyle w:val="Compact"/>
              <w:jc w:val="left"/>
            </w:pPr>
            <w:r>
              <w:t xml:space="preserve">offset-equivalent load</w:t>
            </w:r>
            <w:r>
              <w:t xml:space="preserve"> </w:t>
            </w:r>
            <m:oMath>
              <m:sSub>
                <m:e>
                  <m:r>
                    <m:t>ε</m:t>
                  </m:r>
                </m:e>
                <m:sub>
                  <m:r>
                    <m:t>0</m:t>
                  </m:r>
                </m:sub>
              </m:sSub>
              <m:sSub>
                <m:e>
                  <m:r>
                    <m:t>L</m:t>
                  </m:r>
                </m:e>
                <m:sub>
                  <m:r>
                    <m:rPr>
                      <m:sty m:val="p"/>
                    </m:rPr>
                    <m:t>t</m:t>
                  </m:r>
                  <m:r>
                    <m:rPr>
                      <m:sty m:val="p"/>
                    </m:rPr>
                    <m:t>o</m:t>
                  </m:r>
                  <m:r>
                    <m:rPr>
                      <m:sty m:val="p"/>
                    </m:rPr>
                    <m:t>t</m:t>
                  </m:r>
                </m:sub>
              </m:sSub>
              <m:r>
                <m:rPr>
                  <m:sty m:val="p"/>
                </m:rPr>
                <m:t>/</m:t>
              </m:r>
              <m:sSub>
                <m:e>
                  <m:r>
                    <m:t>C</m:t>
                  </m:r>
                </m:e>
                <m:sub>
                  <m:r>
                    <m:t>m</m:t>
                  </m:r>
                </m:sub>
              </m:sSub>
            </m:oMath>
            <w:r>
              <w:t xml:space="preserve"> </w:t>
            </w:r>
            <w:r>
              <w:t xml:space="preserve">(N; kN in Section 6.2)</w:t>
            </w:r>
          </w:p>
        </w:tc>
      </w:tr>
      <w:tr>
        <w:tc>
          <w:tcPr>
            <w:tcW w:type="dxa" w:w="2616"/>
          </w:tcPr>
          <w:p>
            <w:pPr>
              <w:pStyle w:val="Compact"/>
              <w:jc w:val="left"/>
            </w:pPr>
            <m:oMath>
              <m:sSub>
                <m:e>
                  <m:r>
                    <m:t>R</m:t>
                  </m:r>
                </m:e>
                <m:sub>
                  <m:r>
                    <m:t>m</m:t>
                  </m:r>
                </m:sub>
              </m:sSub>
            </m:oMath>
          </w:p>
        </w:tc>
        <w:tc>
          <w:tcPr>
            <w:tcW w:type="dxa" w:w="6453"/>
          </w:tcPr>
          <w:p>
            <w:pPr>
              <w:pStyle w:val="Compact"/>
              <w:jc w:val="left"/>
            </w:pPr>
            <w:r>
              <w:t xml:space="preserve">cancellation ratio</w:t>
            </w:r>
            <w:r>
              <w:t xml:space="preserve"> </w:t>
            </w:r>
            <m:oMath>
              <m:sSub>
                <m:e>
                  <m:r>
                    <m:t>C</m:t>
                  </m:r>
                </m:e>
                <m:sub>
                  <m:r>
                    <m:t>m</m:t>
                  </m:r>
                </m:sub>
              </m:sSub>
              <m:r>
                <m:rPr>
                  <m:sty m:val="p"/>
                </m:rPr>
                <m:t>/</m:t>
              </m:r>
              <m:sSup>
                <m:e>
                  <m:r>
                    <m:t>A</m:t>
                  </m:r>
                </m:e>
                <m:sup>
                  <m:r>
                    <m:rPr>
                      <m:sty m:val="p"/>
                    </m:rPr>
                    <m:t>+</m:t>
                  </m:r>
                </m:sup>
              </m:sSup>
            </m:oMath>
          </w:p>
        </w:tc>
      </w:tr>
      <w:tr>
        <w:tc>
          <w:tcPr>
            <w:tcW w:type="dxa" w:w="2616"/>
          </w:tcPr>
          <w:p>
            <w:pPr>
              <w:pStyle w:val="Compact"/>
              <w:jc w:val="left"/>
            </w:pPr>
            <m:oMath>
              <m:sSub>
                <m:e>
                  <m:r>
                    <m:t>T</m:t>
                  </m:r>
                </m:e>
                <m:sub>
                  <m:r>
                    <m:rPr>
                      <m:sty m:val="p"/>
                    </m:rPr>
                    <m:t>c</m:t>
                  </m:r>
                  <m:r>
                    <m:rPr>
                      <m:sty m:val="p"/>
                    </m:rPr>
                    <m:t>r</m:t>
                  </m:r>
                </m:sub>
              </m:sSub>
            </m:oMath>
            <w:r>
              <w:t xml:space="preserve">,</w:t>
            </w:r>
            <w:r>
              <w:t xml:space="preserve"> </w:t>
            </w:r>
            <m:oMath>
              <m:sSub>
                <m:e>
                  <m:r>
                    <m:t>T</m:t>
                  </m:r>
                </m:e>
                <m:sub>
                  <m:r>
                    <m:t>1</m:t>
                  </m:r>
                </m:sub>
              </m:sSub>
            </m:oMath>
          </w:p>
        </w:tc>
        <w:tc>
          <w:tcPr>
            <w:tcW w:type="dxa" w:w="6453"/>
          </w:tcPr>
          <w:p>
            <w:pPr>
              <w:pStyle w:val="Compact"/>
              <w:jc w:val="left"/>
            </w:pPr>
            <w:r>
              <w:t xml:space="preserve">crossing time; fundamental period (s)</w:t>
            </w:r>
          </w:p>
        </w:tc>
      </w:tr>
      <w:tr>
        <w:tc>
          <w:tcPr>
            <w:tcW w:type="dxa" w:w="2616"/>
          </w:tcPr>
          <w:p>
            <w:pPr>
              <w:pStyle w:val="Compact"/>
              <w:jc w:val="left"/>
            </w:pPr>
            <m:oMath>
              <m:r>
                <m:t>v</m:t>
              </m:r>
            </m:oMath>
          </w:p>
        </w:tc>
        <w:tc>
          <w:tcPr>
            <w:tcW w:type="dxa" w:w="6453"/>
          </w:tcPr>
          <w:p>
            <w:pPr>
              <w:pStyle w:val="Compact"/>
              <w:jc w:val="left"/>
            </w:pPr>
            <w:r>
              <w:t xml:space="preserve">traverse speed (mm/s)</w:t>
            </w:r>
          </w:p>
        </w:tc>
      </w:tr>
      <w:tr>
        <w:tc>
          <w:tcPr>
            <w:tcW w:type="dxa" w:w="2616"/>
          </w:tcPr>
          <w:p>
            <w:pPr>
              <w:pStyle w:val="Compact"/>
              <w:jc w:val="left"/>
            </w:pPr>
            <m:oMath>
              <m:r>
                <m:t>α</m:t>
              </m:r>
            </m:oMath>
          </w:p>
        </w:tc>
        <w:tc>
          <w:tcPr>
            <w:tcW w:type="dxa" w:w="6453"/>
          </w:tcPr>
          <w:p>
            <w:pPr>
              <w:pStyle w:val="Compact"/>
              <w:jc w:val="left"/>
            </w:pPr>
            <w:r>
              <w:t xml:space="preserve">ratio of effective to design flexural rigidity,</w:t>
            </w:r>
            <w:r>
              <w:t xml:space="preserve"> </w:t>
            </w:r>
            <m:oMath>
              <m:r>
                <m:t>E</m:t>
              </m:r>
              <m:sSub>
                <m:e>
                  <m:r>
                    <m:t>I</m:t>
                  </m:r>
                </m:e>
                <m:sub>
                  <m:r>
                    <m:rPr>
                      <m:sty m:val="p"/>
                    </m:rPr>
                    <m:t>e</m:t>
                  </m:r>
                  <m:r>
                    <m:rPr>
                      <m:sty m:val="p"/>
                    </m:rPr>
                    <m:t>f</m:t>
                  </m:r>
                  <m:r>
                    <m:rPr>
                      <m:sty m:val="p"/>
                    </m:rPr>
                    <m:t>f</m:t>
                  </m:r>
                </m:sub>
              </m:sSub>
              <m:r>
                <m:rPr>
                  <m:sty m:val="p"/>
                </m:rPr>
                <m:t>/</m:t>
              </m:r>
              <m:r>
                <m:t>E</m:t>
              </m:r>
              <m:sSub>
                <m:e>
                  <m:r>
                    <m:t>I</m:t>
                  </m:r>
                </m:e>
                <m:sub>
                  <m:r>
                    <m:rPr>
                      <m:sty m:val="p"/>
                    </m:rPr>
                    <m:t>d</m:t>
                  </m:r>
                  <m:r>
                    <m:rPr>
                      <m:sty m:val="p"/>
                    </m:rPr>
                    <m:t>e</m:t>
                  </m:r>
                  <m:r>
                    <m:rPr>
                      <m:sty m:val="p"/>
                    </m:rPr>
                    <m:t>s</m:t>
                  </m:r>
                  <m:r>
                    <m:rPr>
                      <m:sty m:val="p"/>
                    </m:rPr>
                    <m:t>i</m:t>
                  </m:r>
                  <m:r>
                    <m:rPr>
                      <m:sty m:val="p"/>
                    </m:rPr>
                    <m:t>g</m:t>
                  </m:r>
                  <m:r>
                    <m:rPr>
                      <m:sty m:val="p"/>
                    </m:rPr>
                    <m:t>n</m:t>
                  </m:r>
                </m:sub>
              </m:sSub>
            </m:oMath>
          </w:p>
        </w:tc>
      </w:tr>
      <w:tr>
        <w:tc>
          <w:tcPr>
            <w:tcW w:type="dxa" w:w="2616"/>
          </w:tcPr>
          <w:p>
            <w:pPr>
              <w:pStyle w:val="Compact"/>
              <w:jc w:val="left"/>
            </w:pPr>
            <m:oMath>
              <m:r>
                <m:t>β</m:t>
              </m:r>
            </m:oMath>
          </w:p>
        </w:tc>
        <w:tc>
          <w:tcPr>
            <w:tcW w:type="dxa" w:w="6453"/>
          </w:tcPr>
          <w:p>
            <w:pPr>
              <w:pStyle w:val="Compact"/>
              <w:jc w:val="left"/>
            </w:pPr>
            <w:r>
              <w:t xml:space="preserve">span ratio</w:t>
            </w:r>
            <w:r>
              <w:t xml:space="preserve"> </w:t>
            </w:r>
            <m:oMath>
              <m:sSub>
                <m:e>
                  <m:r>
                    <m:t>L</m:t>
                  </m:r>
                </m:e>
                <m:sub>
                  <m:r>
                    <m:t>m</m:t>
                  </m:r>
                </m:sub>
              </m:sSub>
              <m:r>
                <m:rPr>
                  <m:sty m:val="p"/>
                </m:rPr>
                <m:t>/</m:t>
              </m:r>
              <m:sSub>
                <m:e>
                  <m:r>
                    <m:t>L</m:t>
                  </m:r>
                </m:e>
                <m:sub>
                  <m:r>
                    <m:t>s</m:t>
                  </m:r>
                </m:sub>
              </m:sSub>
            </m:oMath>
          </w:p>
        </w:tc>
      </w:tr>
      <w:tr>
        <w:tc>
          <w:tcPr>
            <w:tcW w:type="dxa" w:w="2616"/>
          </w:tcPr>
          <w:p>
            <w:pPr>
              <w:pStyle w:val="Compact"/>
              <w:jc w:val="left"/>
            </w:pPr>
            <m:oMath>
              <m:r>
                <m:t>γ</m:t>
              </m:r>
            </m:oMath>
          </w:p>
        </w:tc>
        <w:tc>
          <w:tcPr>
            <w:tcW w:type="dxa" w:w="6453"/>
          </w:tcPr>
          <w:p>
            <w:pPr>
              <w:pStyle w:val="Compact"/>
              <w:jc w:val="left"/>
            </w:pPr>
            <w:r>
              <w:t xml:space="preserve">relative gain error of the deflection chain</w:t>
            </w:r>
          </w:p>
        </w:tc>
      </w:tr>
      <w:tr>
        <w:tc>
          <w:tcPr>
            <w:tcW w:type="dxa" w:w="2616"/>
          </w:tcPr>
          <w:p>
            <w:pPr>
              <w:pStyle w:val="Compact"/>
              <w:jc w:val="left"/>
            </w:pPr>
            <m:oMath>
              <m:sSub>
                <m:e>
                  <m:r>
                    <m:t>ε</m:t>
                  </m:r>
                </m:e>
                <m:sub>
                  <m:r>
                    <m:t>0</m:t>
                  </m:r>
                </m:sub>
              </m:sSub>
            </m:oMath>
          </w:p>
        </w:tc>
        <w:tc>
          <w:tcPr>
            <w:tcW w:type="dxa" w:w="6453"/>
          </w:tcPr>
          <w:p>
            <w:pPr>
              <w:pStyle w:val="Compact"/>
              <w:jc w:val="left"/>
            </w:pPr>
            <w:r>
              <w:t xml:space="preserve">residual zero offset of the deflection signal after pre/post re-zeroing (mm)</w:t>
            </w:r>
          </w:p>
        </w:tc>
      </w:tr>
      <w:tr>
        <w:tc>
          <w:tcPr>
            <w:tcW w:type="dxa" w:w="2616"/>
          </w:tcPr>
          <w:p>
            <w:pPr>
              <w:pStyle w:val="Compact"/>
              <w:jc w:val="left"/>
            </w:pPr>
            <m:oMath>
              <m:sSub>
                <m:e>
                  <m:r>
                    <m:t>η</m:t>
                  </m:r>
                </m:e>
                <m:sub>
                  <m:r>
                    <m:t>m</m:t>
                  </m:r>
                </m:sub>
              </m:sSub>
              <m:d>
                <m:dPr>
                  <m:begChr m:val="("/>
                  <m:endChr m:val=")"/>
                  <m:sepChr m:val=""/>
                  <m:grow/>
                </m:dPr>
                <m:e>
                  <m:r>
                    <m:t>x</m:t>
                  </m:r>
                </m:e>
              </m:d>
            </m:oMath>
          </w:p>
        </w:tc>
        <w:tc>
          <w:tcPr>
            <w:tcW w:type="dxa" w:w="6453"/>
          </w:tcPr>
          <w:p>
            <w:pPr>
              <w:pStyle w:val="Compact"/>
              <w:jc w:val="left"/>
            </w:pPr>
            <w:r>
              <w:t xml:space="preserve">deflection influence line at</w:t>
            </w:r>
            <w:r>
              <w:t xml:space="preserve"> </w:t>
            </w:r>
            <m:oMath>
              <m:r>
                <m:t>m</m:t>
              </m:r>
            </m:oMath>
            <w:r>
              <w:t xml:space="preserve"> </w:t>
            </w:r>
            <w:r>
              <w:t xml:space="preserve">(mm/N)</w:t>
            </w:r>
          </w:p>
        </w:tc>
      </w:tr>
      <w:tr>
        <w:tc>
          <w:tcPr>
            <w:tcW w:type="dxa" w:w="2616"/>
          </w:tcPr>
          <w:p>
            <w:pPr>
              <w:pStyle w:val="Compact"/>
              <w:jc w:val="left"/>
            </w:pPr>
            <m:oMath>
              <m:r>
                <m:t>μ</m:t>
              </m:r>
            </m:oMath>
            <w:r>
              <w:t xml:space="preserve">,</w:t>
            </w:r>
            <w:r>
              <w:t xml:space="preserve"> </w:t>
            </w:r>
            <m:oMath>
              <m:r>
                <m:t>ν</m:t>
              </m:r>
            </m:oMath>
          </w:p>
        </w:tc>
        <w:tc>
          <w:tcPr>
            <w:tcW w:type="dxa" w:w="6453"/>
          </w:tcPr>
          <w:p>
            <w:pPr>
              <w:pStyle w:val="Compact"/>
              <w:jc w:val="left"/>
            </w:pPr>
            <w:r>
              <w:t xml:space="preserve">interior-moment parameters, Eqs. (5), (8) and Appendix D</w:t>
            </w:r>
          </w:p>
        </w:tc>
      </w:tr>
      <w:tr>
        <w:tc>
          <w:tcPr>
            <w:tcW w:type="dxa" w:w="2616"/>
          </w:tcPr>
          <w:p>
            <w:pPr>
              <w:pStyle w:val="Compact"/>
              <w:jc w:val="left"/>
            </w:pPr>
            <m:oMath>
              <m:r>
                <m:t>ξ</m:t>
              </m:r>
            </m:oMath>
          </w:p>
        </w:tc>
        <w:tc>
          <w:tcPr>
            <w:tcW w:type="dxa" w:w="6453"/>
          </w:tcPr>
          <w:p>
            <w:pPr>
              <w:pStyle w:val="Compact"/>
              <w:jc w:val="left"/>
            </w:pPr>
            <w:r>
              <w:t xml:space="preserve">sensor position as a fraction of the instrumented span</w:t>
            </w:r>
          </w:p>
        </w:tc>
      </w:tr>
      <w:tr>
        <w:tc>
          <w:tcPr>
            <w:tcW w:type="dxa" w:w="2616"/>
          </w:tcPr>
          <w:p>
            <w:pPr>
              <w:pStyle w:val="Compact"/>
              <w:jc w:val="left"/>
            </w:pPr>
            <m:oMath>
              <m:sSub>
                <m:e>
                  <m:r>
                    <m:t>ρ</m:t>
                  </m:r>
                </m:e>
                <m:sub>
                  <m:r>
                    <m:t>L</m:t>
                  </m:r>
                </m:sub>
              </m:sSub>
            </m:oMath>
            <w:r>
              <w:t xml:space="preserve">,</w:t>
            </w:r>
            <w:r>
              <w:t xml:space="preserve"> </w:t>
            </w:r>
            <m:oMath>
              <m:sSub>
                <m:e>
                  <m:r>
                    <m:t>ρ</m:t>
                  </m:r>
                </m:e>
                <m:sub>
                  <m:r>
                    <m:t>E</m:t>
                  </m:r>
                  <m:r>
                    <m:t>I</m:t>
                  </m:r>
                </m:sub>
              </m:sSub>
            </m:oMath>
          </w:p>
        </w:tc>
        <w:tc>
          <w:tcPr>
            <w:tcW w:type="dxa" w:w="6453"/>
          </w:tcPr>
          <w:p>
            <w:pPr>
              <w:pStyle w:val="Compact"/>
              <w:jc w:val="left"/>
            </w:pPr>
            <w:r>
              <w:t xml:space="preserve">span ratio and stiffness ratio, adjacent span over instrumented span</w:t>
            </w:r>
          </w:p>
        </w:tc>
      </w:tr>
      <w:tr>
        <w:tc>
          <w:tcPr>
            <w:tcW w:type="dxa" w:w="2616"/>
          </w:tcPr>
          <w:p>
            <w:pPr>
              <w:pStyle w:val="Compact"/>
              <w:jc w:val="left"/>
            </w:pPr>
            <w:r>
              <w:t xml:space="preserve">BPM, SLM</w:t>
            </w:r>
          </w:p>
        </w:tc>
        <w:tc>
          <w:tcPr>
            <w:tcW w:type="dxa" w:w="6453"/>
          </w:tcPr>
          <w:p>
            <w:pPr>
              <w:pStyle w:val="Compact"/>
              <w:jc w:val="left"/>
            </w:pPr>
            <w:r>
              <w:t xml:space="preserve">beam-property method; standard-load method</w:t>
            </w:r>
          </w:p>
        </w:tc>
      </w:tr>
    </w:tbl>
    <w:bookmarkEnd w:id="21"/>
    <w:bookmarkStart w:id="22" w:name="introduction"/>
    <w:p>
      <w:pPr>
        <w:pStyle w:val="Heading2"/>
      </w:pPr>
      <w:r>
        <w:t xml:space="preserve">1. Introduction</w:t>
      </w:r>
    </w:p>
    <w:p>
      <w:pPr>
        <w:pStyle w:val="FirstParagraph"/>
      </w:pPr>
      <w:r>
        <w:t xml:space="preserve">Heavy vehicles above the design envelope shorten the life of highway bridges and, in extreme cases, contribute to collapse. A span of the Yangmingtan Bridge failed in 2012 under four overloaded trucks crossing together [1]. In other well-documented failures, heavy traffic acted together with design deficiencies or material degradation [2–4]. Knowing the loads that a bridge actually carries is therefore part of risk-informed asset management [5,6].</w:t>
      </w:r>
    </w:p>
    <w:p>
      <w:pPr>
        <w:pStyle w:val="BodyText"/>
      </w:pPr>
      <w:r>
        <w:t xml:space="preserve">Pavement weigh-in-motion (WIM) is a mature technology [7,8] with codified accuracy classes [9], but stations are costly to install and maintain [10], coverage is sparse, and a pavement station weighs the vehicle rather than loading any particular bridge. Bridge weigh-in-motion (BWIM), introduced by Moses [11], instruments the structure and fits the measured response to the sum of axle loads times influence-line ordinates; it requires axle spacings and speed. The approach now includes influence lines calibrated from measurements [12], regularised solutions [13], systematic accuracy improvements [14,15], contactless variants [16] and virtual-axle methods that avoid axle detectors [17]. In parallel, moving-force identification recovers the axle-load history in the time or frequency domain [18–20], on multi-span bridges with elastic bearings [21], and with dynamic axle loads [22], steepest-descent [23], Bayesian [24], Kalman-filter [25] and physics-informed machine-learning [26] formulations. These methods aim at axle loads and need several sensors, a structural model or a regularised inversion.</w:t>
      </w:r>
    </w:p>
    <w:p>
      <w:pPr>
        <w:pStyle w:val="BodyText"/>
      </w:pPr>
      <w:r>
        <w:t xml:space="preserve">A simpler family estimates only the gross weight from the area under the measured response. Ojio and Yamada, as described by Cardini and DeWolf [27], multiply the area under the strain–time record by the speed to obtain an</w:t>
      </w:r>
      <w:r>
        <w:t xml:space="preserve"> </w:t>
      </w:r>
      <w:r>
        <w:t xml:space="preserve">“</w:t>
      </w:r>
      <w:r>
        <w:t xml:space="preserve">influence area</w:t>
      </w:r>
      <w:r>
        <w:t xml:space="preserve">”</w:t>
      </w:r>
      <w:r>
        <w:t xml:space="preserve"> </w:t>
      </w:r>
      <w:r>
        <w:t xml:space="preserve">and calibrate it against a truck of known weight. On a seven-span slab-on-girder bridge in Winnipeg this influence-area method was accurate to within 5 % for the test trucks when their speeds were estimated accurately [28,29]; the review [29] also records a negative gross weight there, but from a different, asymmetry-based method, and neither source we could consult states whether the instrumented span was continuous. Related strain-area and strain-integral formulations have since been proposed [30–33], simplified BWIM without axle detectors has been verified in the field [34], and the same idea has been applied to support reactions measured by load cells [35]. The integral of the displacement influence line has also been used as a damage feature, where the ratio of two sensors removes the load [36], and a single-sensor strain feature grounded in influence-line theory has been applied to defect diagnosis, with a case study on a two-span continuous bridge [37]. The present authors earlier used the integral of the mid-span deflection to identify the total load on a simply supported beam [38], where the influence line has one sign and no configuration is blind. The relation between response area and gross weight is therefore established; we use it as the starting point.</w:t>
      </w:r>
    </w:p>
    <w:p>
      <w:pPr>
        <w:pStyle w:val="BodyText"/>
      </w:pPr>
      <w:r>
        <w:t xml:space="preserve">What this literature does not address is the observability of the total load on a continuous girder. Over an interior support the influence line changes sign, so the positive area of the loaded span and the negative area of the adjacent span partly cancel. Distributed fibre-optic strain on a five-span continuous bridge has been used to obtain gross weight without influence lines [39], with many sensors along the bridge. Optimal sensor placement for BWIM has been addressed with an augmented Kalman filter formulation [40], and load identification from multi-point bridge deflection has been formulated as a regularised stochastic problem [41]. Field WIM from a vision-based mid-span deflection, with end-mounted accelerometers for axle detection, has also been reported [42], using a calibrated influence line rather than the integral. Measured deflection influence lines from slow passes of a single heavy vehicle have recently been inverted for the sectional bending stiffness of variable-section continuous girders [43]. The question asked here is narrower and comes first: for a given continuous girder and sensor position, can a single deflection channel observe the total load at all? In monitoring terms it is a sensor-placement question that precedes the choice of any weighing algorithm.</w:t>
      </w:r>
    </w:p>
    <w:p>
      <w:pPr>
        <w:pStyle w:val="BodyText"/>
      </w:pPr>
      <w:r>
        <w:t xml:space="preserve">The question matters because continuous girders are common. Two-span overpasses are a large population of highway structures, and three-span units with a long main span are the usual form of medium-span box girders built by balanced cantilever. On both, a sensor on one span responds negatively to load on the adjacent span, so the area-based weighing that works on simple spans can degrade, or fail, without any sign of it in the individual readings.</w:t>
      </w:r>
    </w:p>
    <w:p>
      <w:pPr>
        <w:pStyle w:val="BodyText"/>
      </w:pPr>
      <w:r>
        <w:t xml:space="preserve">The contributions are as follows. First, the invariance of the deflection integral is stated for any linear-elastic beam, and the constant</w:t>
      </w:r>
      <w:r>
        <w:t xml:space="preserve"> </w:t>
      </w:r>
      <m:oMath>
        <m:sSub>
          <m:e>
            <m:r>
              <m:t>C</m:t>
            </m:r>
          </m:e>
          <m:sub>
            <m:r>
              <m:t>m</m:t>
            </m:r>
          </m:sub>
        </m:sSub>
      </m:oMath>
      <w:r>
        <w:t xml:space="preserve"> </w:t>
      </w:r>
      <w:r>
        <w:t xml:space="preserve">is identified by reciprocity as the sensor deflection under a uniformly distributed unit load; the identity itself is classical, and we did not find it used in this way in the BWIM literature we reviewed. This result is the foundation, not the headline. Second, closed forms of</w:t>
      </w:r>
      <w:r>
        <w:t xml:space="preserve"> </w:t>
      </w:r>
      <m:oMath>
        <m:sSub>
          <m:e>
            <m:r>
              <m:t>C</m:t>
            </m:r>
          </m:e>
          <m:sub>
            <m:r>
              <m:t>m</m:t>
            </m:r>
          </m:sub>
        </m:sSub>
      </m:oMath>
      <w:r>
        <w:t xml:space="preserve"> </w:t>
      </w:r>
      <w:r>
        <w:t xml:space="preserve">are derived for two-span beams with arbitrary span and stiffness ratios and for symmetric three-span beams, including the sign change of</w:t>
      </w:r>
      <w:r>
        <w:t xml:space="preserve"> </w:t>
      </w:r>
      <m:oMath>
        <m:sSub>
          <m:e>
            <m:r>
              <m:t>C</m:t>
            </m:r>
          </m:e>
          <m:sub>
            <m:r>
              <m:t>m</m:t>
            </m:r>
          </m:sub>
        </m:sSub>
      </m:oMath>
      <w:r>
        <w:t xml:space="preserve">. Third, the blind configurations, where a sensor records zero net integral for any vehicle, are located in closed form, together with the exact optimal sensor position. Fourth,</w:t>
      </w:r>
      <w:r>
        <w:t xml:space="preserve"> </w:t>
      </w:r>
      <m:oMath>
        <m:d>
          <m:dPr>
            <m:begChr m:val="|"/>
            <m:endChr m:val="|"/>
            <m:sepChr m:val=""/>
            <m:grow/>
          </m:dPr>
          <m:e>
            <m:sSub>
              <m:e>
                <m:r>
                  <m:t>C</m:t>
                </m:r>
              </m:e>
              <m:sub>
                <m:r>
                  <m:t>m</m:t>
                </m:r>
              </m:sub>
            </m:sSub>
          </m:e>
        </m:d>
      </m:oMath>
      <w:r>
        <w:t xml:space="preserve">, the cancellation ratio</w:t>
      </w:r>
      <w:r>
        <w:t xml:space="preserve"> </w:t>
      </w:r>
      <m:oMath>
        <m:sSub>
          <m:e>
            <m:r>
              <m:t>C</m:t>
            </m:r>
          </m:e>
          <m:sub>
            <m:r>
              <m:t>m</m:t>
            </m:r>
          </m:sub>
        </m:sSub>
        <m:r>
          <m:rPr>
            <m:sty m:val="p"/>
          </m:rPr>
          <m:t>/</m:t>
        </m:r>
        <m:sSup>
          <m:e>
            <m:r>
              <m:t>A</m:t>
            </m:r>
          </m:e>
          <m:sup>
            <m:r>
              <m:rPr>
                <m:sty m:val="p"/>
              </m:rPr>
              <m:t>+</m:t>
            </m:r>
          </m:sup>
        </m:sSup>
      </m:oMath>
      <w:r>
        <w:t xml:space="preserve"> </w:t>
      </w:r>
      <w:r>
        <w:t xml:space="preserve">and the offset-equivalent load</w:t>
      </w:r>
      <w:r>
        <w:t xml:space="preserve"> </w:t>
      </w:r>
      <m:oMath>
        <m:sSub>
          <m:e>
            <m:r>
              <m:t>P</m:t>
            </m:r>
          </m:e>
          <m:sub>
            <m:r>
              <m:t>ε</m:t>
            </m:r>
          </m:sub>
        </m:sSub>
      </m:oMath>
      <w:r>
        <w:t xml:space="preserve"> </w:t>
      </w:r>
      <w:r>
        <w:t xml:space="preserve">are proposed as pre-installation observability indicators. Fifth, an error budget specific to the integral estimator shows that the residual zero offset, not random noise, dominates. The theory is verified on a laboratory two-span beam with statically positioned loads and applied to the acceptance-test data of an in-service 55 + 90 + 55 m box girder. That application asks how far the observability of each installed gauge can be determined from design data and two static readings. It is not a validation of the integral identity on a continuous bridge, because no crossing record exists for that structure.</w:t>
      </w:r>
    </w:p>
    <w:p>
      <w:pPr>
        <w:pStyle w:val="BodyText"/>
      </w:pPr>
      <w:r>
        <w:t xml:space="preserve">“</w:t>
      </w:r>
      <w:r>
        <w:t xml:space="preserve">Observability</w:t>
      </w:r>
      <w:r>
        <w:t xml:space="preserve">”</w:t>
      </w:r>
      <w:r>
        <w:t xml:space="preserve"> </w:t>
      </w:r>
      <w:r>
        <w:t xml:space="preserve">is used throughout in the narrow sense of total-load observability: a non-zero</w:t>
      </w:r>
      <w:r>
        <w:t xml:space="preserve"> </w:t>
      </w:r>
      <m:oMath>
        <m:sSub>
          <m:e>
            <m:r>
              <m:t>C</m:t>
            </m:r>
          </m:e>
          <m:sub>
            <m:r>
              <m:t>m</m:t>
            </m:r>
          </m:sub>
        </m:sSub>
      </m:oMath>
      <w:r>
        <w:t xml:space="preserve">, so that the total load maps to a non-zero integral. It is not the observability of a state-space model.</w:t>
      </w:r>
    </w:p>
    <w:p>
      <w:pPr>
        <w:pStyle w:val="BodyText"/>
      </w:pPr>
      <w:r>
        <w:t xml:space="preserve">Section 2 develops the theory. Section 3 reports the laboratory verification, Section 4 the application to the in-service bridge, and Section 5 a short analysis of field crossing records. Section 6 gives the error budget and the dynamic range of validity, Section 7 the recommendations and limitations, and Section 8 the conclusions.</w:t>
      </w:r>
    </w:p>
    <w:bookmarkEnd w:id="22"/>
    <w:bookmarkStart w:id="27" w:name="theory"/>
    <w:p>
      <w:pPr>
        <w:pStyle w:val="Heading2"/>
      </w:pPr>
      <w:r>
        <w:t xml:space="preserve">2. Theory</w:t>
      </w:r>
    </w:p>
    <w:p>
      <w:pPr>
        <w:pStyle w:val="FirstParagraph"/>
      </w:pPr>
      <w:r>
        <w:t xml:space="preserve">This section states the invariance property, derives</w:t>
      </w:r>
      <w:r>
        <w:t xml:space="preserve"> </w:t>
      </w:r>
      <m:oMath>
        <m:sSub>
          <m:e>
            <m:r>
              <m:t>C</m:t>
            </m:r>
          </m:e>
          <m:sub>
            <m:r>
              <m:t>m</m:t>
            </m:r>
          </m:sub>
        </m:sSub>
      </m:oMath>
      <w:r>
        <w:t xml:space="preserve"> </w:t>
      </w:r>
      <w:r>
        <w:t xml:space="preserve">for two- and three-span beams, and defines the two estimators and the observability indicators; derivations are in Appendix A.</w:t>
      </w:r>
    </w:p>
    <w:bookmarkStart w:id="23" w:name="invariance-of-the-deflection-integral"/>
    <w:p>
      <w:pPr>
        <w:pStyle w:val="Heading3"/>
      </w:pPr>
      <w:r>
        <w:t xml:space="preserve">2.1. Invariance of the deflection integral</w:t>
      </w:r>
    </w:p>
    <w:p>
      <w:pPr>
        <w:pStyle w:val="FirstParagraph"/>
      </w:pPr>
      <w:r>
        <w:t xml:space="preserve">Consider a linear-elastic beam of total length</w:t>
      </w:r>
      <w:r>
        <w:t xml:space="preserve"> </w:t>
      </w:r>
      <m:oMath>
        <m:r>
          <m:t>L</m:t>
        </m:r>
      </m:oMath>
      <w:r>
        <w:t xml:space="preserve"> </w:t>
      </w:r>
      <w:r>
        <w:t xml:space="preserve">with time-invariant properties, and a fixed measurement point</w:t>
      </w:r>
      <w:r>
        <w:t xml:space="preserve"> </w:t>
      </w:r>
      <m:oMath>
        <m:r>
          <m:t>m</m:t>
        </m:r>
      </m:oMath>
      <w:r>
        <w:t xml:space="preserve">. Let</w:t>
      </w:r>
      <w:r>
        <w:t xml:space="preserve"> </w:t>
      </w:r>
      <m:oMath>
        <m:sSub>
          <m:e>
            <m:r>
              <m:t>η</m:t>
            </m:r>
          </m:e>
          <m:sub>
            <m:r>
              <m:t>m</m:t>
            </m:r>
          </m:sub>
        </m:sSub>
        <m:d>
          <m:dPr>
            <m:begChr m:val="("/>
            <m:endChr m:val=")"/>
            <m:sepChr m:val=""/>
            <m:grow/>
          </m:dPr>
          <m:e>
            <m:r>
              <m:t>x</m:t>
            </m:r>
          </m:e>
        </m:d>
      </m:oMath>
      <w:r>
        <w:t xml:space="preserve"> </w:t>
      </w:r>
      <w:r>
        <w:t xml:space="preserve">be the deflection at</w:t>
      </w:r>
      <w:r>
        <w:t xml:space="preserve"> </w:t>
      </w:r>
      <m:oMath>
        <m:r>
          <m:t>m</m:t>
        </m:r>
      </m:oMath>
      <w:r>
        <w:t xml:space="preserve"> </w:t>
      </w:r>
      <w:r>
        <w:t xml:space="preserve">due to a unit vertical force at abscissa</w:t>
      </w:r>
      <w:r>
        <w:t xml:space="preserve"> </w:t>
      </w:r>
      <m:oMath>
        <m:r>
          <m:t>x</m:t>
        </m:r>
      </m:oMath>
      <w:r>
        <w:t xml:space="preserve">, with</w:t>
      </w:r>
      <w:r>
        <w:t xml:space="preserve"> </w:t>
      </w:r>
      <m:oMath>
        <m:sSub>
          <m:e>
            <m:r>
              <m:t>η</m:t>
            </m:r>
          </m:e>
          <m:sub>
            <m:r>
              <m:t>m</m:t>
            </m:r>
          </m:sub>
        </m:sSub>
        <m:r>
          <m:rPr>
            <m:sty m:val="p"/>
          </m:rPr>
          <m:t>=</m:t>
        </m:r>
        <m:r>
          <m:t>0</m:t>
        </m:r>
      </m:oMath>
      <w:r>
        <w:t xml:space="preserve"> </w:t>
      </w:r>
      <w:r>
        <w:t xml:space="preserve">outside</w:t>
      </w:r>
      <w:r>
        <w:t xml:space="preserve"> </w:t>
      </w:r>
      <m:oMath>
        <m:d>
          <m:dPr>
            <m:begChr m:val="["/>
            <m:endChr m:val="]"/>
            <m:sepChr m:val=""/>
            <m:grow/>
          </m:dPr>
          <m:e>
            <m:r>
              <m:t>0</m:t>
            </m:r>
            <m:r>
              <m:rPr>
                <m:sty m:val="p"/>
              </m:rPr>
              <m:t>,</m:t>
            </m:r>
            <m:r>
              <m:t>L</m:t>
            </m:r>
          </m:e>
        </m:d>
      </m:oMath>
      <w:r>
        <w:t xml:space="preserve">. A convoy of</w:t>
      </w:r>
      <w:r>
        <w:t xml:space="preserve"> </w:t>
      </w:r>
      <m:oMath>
        <m:r>
          <m:t>n</m:t>
        </m:r>
      </m:oMath>
      <w:r>
        <w:t xml:space="preserve"> </w:t>
      </w:r>
      <w:r>
        <w:t xml:space="preserve">forces</w:t>
      </w:r>
      <w:r>
        <w:t xml:space="preserve"> </w:t>
      </w:r>
      <m:oMath>
        <m:sSub>
          <m:e>
            <m:r>
              <m:t>P</m:t>
            </m:r>
          </m:e>
          <m:sub>
            <m:r>
              <m:t>i</m:t>
            </m:r>
          </m:sub>
        </m:sSub>
      </m:oMath>
      <w:r>
        <w:t xml:space="preserve"> </w:t>
      </w:r>
      <w:r>
        <w:t xml:space="preserve">at fixed offsets</w:t>
      </w:r>
      <w:r>
        <w:t xml:space="preserve"> </w:t>
      </w:r>
      <m:oMath>
        <m:sSub>
          <m:e>
            <m:r>
              <m:t>a</m:t>
            </m:r>
          </m:e>
          <m:sub>
            <m:r>
              <m:t>i</m:t>
            </m:r>
          </m:sub>
        </m:sSub>
      </m:oMath>
      <w:r>
        <w:t xml:space="preserve"> </w:t>
      </w:r>
      <w:r>
        <w:t xml:space="preserve">from the leading force (</w:t>
      </w:r>
      <m:oMath>
        <m:sSub>
          <m:e>
            <m:r>
              <m:t>a</m:t>
            </m:r>
          </m:e>
          <m:sub>
            <m:r>
              <m:t>1</m:t>
            </m:r>
          </m:sub>
        </m:sSub>
        <m:r>
          <m:rPr>
            <m:sty m:val="p"/>
          </m:rPr>
          <m:t>=</m:t>
        </m:r>
        <m:r>
          <m:t>0</m:t>
        </m:r>
      </m:oMath>
      <w:r>
        <w:t xml:space="preserve">) crosses the beam quasi-statically. By superposition the deflection at</w:t>
      </w:r>
      <w:r>
        <w:t xml:space="preserve"> </w:t>
      </w:r>
      <m:oMath>
        <m:r>
          <m:t>m</m:t>
        </m:r>
      </m:oMath>
      <w:r>
        <w:t xml:space="preserve"> </w:t>
      </w:r>
      <w:r>
        <w:t xml:space="preserve">when the leading force is at</w:t>
      </w:r>
      <w:r>
        <w:t xml:space="preserve"> </w:t>
      </w:r>
      <m:oMath>
        <m:r>
          <m:t>x</m:t>
        </m:r>
      </m:oMath>
      <w:r>
        <w:t xml:space="preserve"> </w:t>
      </w:r>
      <w:r>
        <w:t xml:space="preserve">is</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y</m:t>
                    </m:r>
                  </m:e>
                  <m:sub>
                    <m:r>
                      <m:t>m</m:t>
                    </m:r>
                  </m:sub>
                </m:sSub>
                <m:d>
                  <m:dPr>
                    <m:begChr m:val="("/>
                    <m:endChr m:val=")"/>
                    <m:sepChr m:val=""/>
                    <m:grow/>
                  </m:dPr>
                  <m:e>
                    <m:r>
                      <m:t>x</m:t>
                    </m:r>
                  </m:e>
                </m:d>
                <m:r>
                  <m:rPr>
                    <m:sty m:val="p"/>
                  </m:rPr>
                  <m:t>=</m:t>
                </m:r>
                <m:nary>
                  <m:naryPr>
                    <m:chr m:val="∑"/>
                    <m:limLoc m:val="undOvr"/>
                    <m:subHide m:val="off"/>
                    <m:supHide m:val="off"/>
                  </m:naryPr>
                  <m:sub>
                    <m:r>
                      <m:t>i</m:t>
                    </m:r>
                    <m:r>
                      <m:rPr>
                        <m:sty m:val="p"/>
                      </m:rPr>
                      <m:t>=</m:t>
                    </m:r>
                    <m:r>
                      <m:t>1</m:t>
                    </m:r>
                  </m:sub>
                  <m:sup>
                    <m:r>
                      <m:t>n</m:t>
                    </m:r>
                  </m:sup>
                  <m:e>
                    <m:sSub>
                      <m:e>
                        <m:r>
                          <m:t>P</m:t>
                        </m:r>
                      </m:e>
                      <m:sub>
                        <m:r>
                          <m:t>i</m:t>
                        </m:r>
                      </m:sub>
                    </m:sSub>
                  </m:e>
                </m:nary>
                <m:r>
                  <m:t> </m:t>
                </m:r>
                <m:sSub>
                  <m:e>
                    <m:r>
                      <m:t>η</m:t>
                    </m:r>
                  </m:e>
                  <m:sub>
                    <m:r>
                      <m:t>m</m:t>
                    </m:r>
                  </m:sub>
                </m:sSub>
                <m:d>
                  <m:dPr>
                    <m:begChr m:val="("/>
                    <m:endChr m:val=")"/>
                    <m:sepChr m:val=""/>
                    <m:grow/>
                  </m:dPr>
                  <m:e>
                    <m:r>
                      <m:t>x</m:t>
                    </m:r>
                    <m:r>
                      <m:rPr>
                        <m:sty m:val="p"/>
                      </m:rPr>
                      <m:t>−</m:t>
                    </m:r>
                    <m:sSub>
                      <m:e>
                        <m:r>
                          <m:t>a</m:t>
                        </m:r>
                      </m:e>
                      <m:sub>
                        <m:r>
                          <m:t>i</m:t>
                        </m:r>
                      </m:sub>
                    </m:sSub>
                  </m:e>
                </m:d>
                <m:r>
                  <m:rPr>
                    <m:sty m:val="p"/>
                  </m:rPr>
                  <m:t>.</m:t>
                </m:r>
              </m:oMath>
            </m:oMathPara>
          </w:p>
        </w:tc>
        <w:tc>
          <w:tcPr>
            <w:tcW w:type="dxa" w:w="1088"/>
            <w:vAlign w:val="center"/>
          </w:tcPr>
          <w:p>
            <w:pPr>
              <w:jc w:val="right"/>
            </w:pPr>
            <w:r>
              <w:t xml:space="preserve">(1)</w:t>
            </w:r>
          </w:p>
        </w:tc>
      </w:tr>
    </w:tbl>
    <w:p>
      <w:pPr>
        <w:pStyle w:val="BodyText"/>
      </w:pPr>
      <w:r>
        <w:t xml:space="preserve">Integrating Eq. (1) term by term and substituting</w:t>
      </w:r>
      <w:r>
        <w:t xml:space="preserve"> </w:t>
      </w:r>
      <m:oMath>
        <m:r>
          <m:t>u</m:t>
        </m:r>
        <m:r>
          <m:rPr>
            <m:sty m:val="p"/>
          </m:rPr>
          <m:t>=</m:t>
        </m:r>
        <m:r>
          <m:t>x</m:t>
        </m:r>
        <m:r>
          <m:rPr>
            <m:sty m:val="p"/>
          </m:rPr>
          <m:t>−</m:t>
        </m:r>
        <m:sSub>
          <m:e>
            <m:r>
              <m:t>a</m:t>
            </m:r>
          </m:e>
          <m:sub>
            <m:r>
              <m:t>i</m:t>
            </m:r>
          </m:sub>
        </m:sSub>
      </m:oMath>
      <w:r>
        <w:t xml:space="preserve"> </w:t>
      </w:r>
      <w:r>
        <w:t xml:space="preserve">maps every term onto the same interval, because</w:t>
      </w:r>
      <w:r>
        <w:t xml:space="preserve"> </w:t>
      </w:r>
      <m:oMath>
        <m:sSub>
          <m:e>
            <m:r>
              <m:t>η</m:t>
            </m:r>
          </m:e>
          <m:sub>
            <m:r>
              <m:t>m</m:t>
            </m:r>
          </m:sub>
        </m:sSub>
      </m:oMath>
      <w:r>
        <w:t xml:space="preserve"> </w:t>
      </w:r>
      <w:r>
        <w:t xml:space="preserve">vanishes outside</w:t>
      </w:r>
      <w:r>
        <w:t xml:space="preserve"> </w:t>
      </w:r>
      <m:oMath>
        <m:d>
          <m:dPr>
            <m:begChr m:val="["/>
            <m:endChr m:val="]"/>
            <m:sepChr m:val=""/>
            <m:grow/>
          </m:dPr>
          <m:e>
            <m:r>
              <m:t>0</m:t>
            </m:r>
            <m:r>
              <m:rPr>
                <m:sty m:val="p"/>
              </m:rPr>
              <m:t>,</m:t>
            </m:r>
            <m:r>
              <m:t>L</m:t>
            </m:r>
          </m:e>
        </m:d>
      </m:oMath>
      <w:r>
        <w:t xml:space="preserve">:</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I</m:t>
                    </m:r>
                  </m:e>
                  <m:sub>
                    <m:r>
                      <m:t>y</m:t>
                    </m:r>
                  </m:sub>
                </m:sSub>
                <m:r>
                  <m:rPr>
                    <m:sty m:val="p"/>
                  </m:rPr>
                  <m:t>=</m:t>
                </m:r>
                <m:nary>
                  <m:naryPr>
                    <m:chr m:val="∫"/>
                    <m:limLoc m:val="subSup"/>
                    <m:subHide m:val="off"/>
                    <m:supHide m:val="off"/>
                  </m:naryPr>
                  <m:sub>
                    <m:r>
                      <m:t>0</m:t>
                    </m:r>
                  </m:sub>
                  <m:sup>
                    <m:r>
                      <m:t>L</m:t>
                    </m:r>
                    <m:r>
                      <m:rPr>
                        <m:sty m:val="p"/>
                      </m:rPr>
                      <m:t>+</m:t>
                    </m:r>
                    <m:sSub>
                      <m:e>
                        <m:r>
                          <m:t>a</m:t>
                        </m:r>
                      </m:e>
                      <m:sub>
                        <m:r>
                          <m:rPr>
                            <m:sty m:val="p"/>
                          </m:rPr>
                          <m:t>m</m:t>
                        </m:r>
                        <m:r>
                          <m:rPr>
                            <m:sty m:val="p"/>
                          </m:rPr>
                          <m:t>a</m:t>
                        </m:r>
                        <m:r>
                          <m:rPr>
                            <m:sty m:val="p"/>
                          </m:rPr>
                          <m:t>x</m:t>
                        </m:r>
                      </m:sub>
                    </m:sSub>
                  </m:sup>
                  <m:e>
                    <m:sSub>
                      <m:e>
                        <m:r>
                          <m:t>y</m:t>
                        </m:r>
                      </m:e>
                      <m:sub>
                        <m:r>
                          <m:t>m</m:t>
                        </m:r>
                      </m:sub>
                    </m:sSub>
                  </m:e>
                </m:nary>
                <m:d>
                  <m:dPr>
                    <m:begChr m:val="("/>
                    <m:endChr m:val=")"/>
                    <m:sepChr m:val=""/>
                    <m:grow/>
                  </m:dPr>
                  <m:e>
                    <m:r>
                      <m:t>x</m:t>
                    </m:r>
                  </m:e>
                </m:d>
                <m:r>
                  <m:t> </m:t>
                </m:r>
                <m:r>
                  <m:rPr>
                    <m:sty m:val="p"/>
                  </m:rPr>
                  <m:t>d</m:t>
                </m:r>
                <m:r>
                  <m:t>x</m:t>
                </m:r>
                <m:r>
                  <m:rPr>
                    <m:sty m:val="p"/>
                  </m:rPr>
                  <m:t>=</m:t>
                </m:r>
                <m:d>
                  <m:dPr>
                    <m:begChr m:val="("/>
                    <m:endChr m:val=")"/>
                    <m:sepChr m:val=""/>
                    <m:grow/>
                  </m:dPr>
                  <m:e>
                    <m:nary>
                      <m:naryPr>
                        <m:chr m:val="∑"/>
                        <m:limLoc m:val="undOvr"/>
                        <m:subHide m:val="off"/>
                        <m:supHide m:val="off"/>
                      </m:naryPr>
                      <m:sub>
                        <m:r>
                          <m:t>i</m:t>
                        </m:r>
                        <m:r>
                          <m:rPr>
                            <m:sty m:val="p"/>
                          </m:rPr>
                          <m:t>=</m:t>
                        </m:r>
                        <m:r>
                          <m:t>1</m:t>
                        </m:r>
                      </m:sub>
                      <m:sup>
                        <m:r>
                          <m:t>n</m:t>
                        </m:r>
                      </m:sup>
                      <m:e>
                        <m:sSub>
                          <m:e>
                            <m:r>
                              <m:t>P</m:t>
                            </m:r>
                          </m:e>
                          <m:sub>
                            <m:r>
                              <m:t>i</m:t>
                            </m:r>
                          </m:sub>
                        </m:sSub>
                      </m:e>
                    </m:nary>
                  </m:e>
                </m:d>
                <m:nary>
                  <m:naryPr>
                    <m:chr m:val="∫"/>
                    <m:limLoc m:val="subSup"/>
                    <m:subHide m:val="off"/>
                    <m:supHide m:val="off"/>
                  </m:naryPr>
                  <m:sub>
                    <m:r>
                      <m:t>0</m:t>
                    </m:r>
                  </m:sub>
                  <m:sup>
                    <m:r>
                      <m:t>L</m:t>
                    </m:r>
                  </m:sup>
                  <m:e>
                    <m:sSub>
                      <m:e>
                        <m:r>
                          <m:t>η</m:t>
                        </m:r>
                      </m:e>
                      <m:sub>
                        <m:r>
                          <m:t>m</m:t>
                        </m:r>
                      </m:sub>
                    </m:sSub>
                  </m:e>
                </m:nary>
                <m:d>
                  <m:dPr>
                    <m:begChr m:val="("/>
                    <m:endChr m:val=")"/>
                    <m:sepChr m:val=""/>
                    <m:grow/>
                  </m:dPr>
                  <m:e>
                    <m:r>
                      <m:t>u</m:t>
                    </m:r>
                  </m:e>
                </m:d>
                <m:r>
                  <m:t> </m:t>
                </m:r>
                <m:r>
                  <m:rPr>
                    <m:sty m:val="p"/>
                  </m:rPr>
                  <m:t>d</m:t>
                </m:r>
                <m:r>
                  <m:t>u</m:t>
                </m:r>
                <m:r>
                  <m:rPr>
                    <m:sty m:val="p"/>
                  </m:rPr>
                  <m:t>=</m:t>
                </m:r>
                <m:sSub>
                  <m:e>
                    <m:r>
                      <m:t>C</m:t>
                    </m:r>
                  </m:e>
                  <m:sub>
                    <m:r>
                      <m:t>m</m:t>
                    </m:r>
                  </m:sub>
                </m:sSub>
                <m:r>
                  <m:t> </m:t>
                </m:r>
                <m:sSub>
                  <m:e>
                    <m:r>
                      <m:t>P</m:t>
                    </m:r>
                  </m:e>
                  <m:sub>
                    <m:r>
                      <m:rPr>
                        <m:sty m:val="p"/>
                      </m:rPr>
                      <m:t>t</m:t>
                    </m:r>
                    <m:r>
                      <m:rPr>
                        <m:sty m:val="p"/>
                      </m:rPr>
                      <m:t>o</m:t>
                    </m:r>
                    <m:r>
                      <m:rPr>
                        <m:sty m:val="p"/>
                      </m:rPr>
                      <m:t>t</m:t>
                    </m:r>
                  </m:sub>
                </m:sSub>
                <m:r>
                  <m:rPr>
                    <m:sty m:val="p"/>
                  </m:rPr>
                  <m:t>.</m:t>
                </m:r>
              </m:oMath>
            </m:oMathPara>
          </w:p>
        </w:tc>
        <w:tc>
          <w:tcPr>
            <w:tcW w:type="dxa" w:w="1088"/>
            <w:vAlign w:val="center"/>
          </w:tcPr>
          <w:p>
            <w:pPr>
              <w:jc w:val="right"/>
            </w:pPr>
            <w:r>
              <w:t xml:space="preserve">(2)</w:t>
            </w:r>
          </w:p>
        </w:tc>
      </w:tr>
    </w:tbl>
    <w:p>
      <w:pPr>
        <w:pStyle w:val="BodyText"/>
      </w:pPr>
      <w:r>
        <w:t xml:space="preserve">The constant</w:t>
      </w:r>
      <w:r>
        <w:t xml:space="preserve"> </w:t>
      </w:r>
      <m:oMath>
        <m:sSub>
          <m:e>
            <m:r>
              <m:t>C</m:t>
            </m:r>
          </m:e>
          <m:sub>
            <m:r>
              <m:t>m</m:t>
            </m:r>
          </m:sub>
        </m:sSub>
      </m:oMath>
      <w:r>
        <w:t xml:space="preserve"> </w:t>
      </w:r>
      <w:r>
        <w:t xml:space="preserve">depends only on the structure and the sensor position, not on the number of axles, their loads or their spacings. The integration must run from the entry of the leading axle to the exit of the trailing one,</w:t>
      </w:r>
      <w:r>
        <w:t xml:space="preserve"> </w:t>
      </w:r>
      <m:oMath>
        <m:d>
          <m:dPr>
            <m:begChr m:val="["/>
            <m:endChr m:val="]"/>
            <m:sepChr m:val=""/>
            <m:grow/>
          </m:dPr>
          <m:e>
            <m:r>
              <m:t>0</m:t>
            </m:r>
            <m:r>
              <m:rPr>
                <m:sty m:val="p"/>
              </m:rPr>
              <m:t>,</m:t>
            </m:r>
            <m:r>
              <m:t>L</m:t>
            </m:r>
            <m:r>
              <m:rPr>
                <m:sty m:val="p"/>
              </m:rPr>
              <m:t>+</m:t>
            </m:r>
            <m:sSub>
              <m:e>
                <m:r>
                  <m:t>a</m:t>
                </m:r>
              </m:e>
              <m:sub>
                <m:r>
                  <m:rPr>
                    <m:sty m:val="p"/>
                  </m:rPr>
                  <m:t>m</m:t>
                </m:r>
                <m:r>
                  <m:rPr>
                    <m:sty m:val="p"/>
                  </m:rPr>
                  <m:t>a</m:t>
                </m:r>
                <m:r>
                  <m:rPr>
                    <m:sty m:val="p"/>
                  </m:rPr>
                  <m:t>x</m:t>
                </m:r>
              </m:sub>
            </m:sSub>
          </m:e>
        </m:d>
      </m:oMath>
      <w:r>
        <w:t xml:space="preserve">. Truncating at</w:t>
      </w:r>
      <w:r>
        <w:t xml:space="preserve"> </w:t>
      </w:r>
      <m:oMath>
        <m:r>
          <m:t>x</m:t>
        </m:r>
        <m:r>
          <m:rPr>
            <m:sty m:val="p"/>
          </m:rPr>
          <m:t>=</m:t>
        </m:r>
        <m:r>
          <m:t>L</m:t>
        </m:r>
      </m:oMath>
      <w:r>
        <w:t xml:space="preserve"> </w:t>
      </w:r>
      <w:r>
        <w:t xml:space="preserve">removes the tail of every trailing axle, and on a continuous beam that tail lies where</w:t>
      </w:r>
      <w:r>
        <w:t xml:space="preserve"> </w:t>
      </w:r>
      <m:oMath>
        <m:sSub>
          <m:e>
            <m:r>
              <m:t>η</m:t>
            </m:r>
          </m:e>
          <m:sub>
            <m:r>
              <m:t>m</m:t>
            </m:r>
          </m:sub>
        </m:sSub>
      </m:oMath>
      <w:r>
        <w:t xml:space="preserve"> </w:t>
      </w:r>
      <w:r>
        <w:t xml:space="preserve">is negative, so the error does not cancel.</w:t>
      </w:r>
    </w:p>
    <w:p>
      <w:pPr>
        <w:pStyle w:val="BodyText"/>
      </w:pPr>
      <w:r>
        <w:t xml:space="preserve">The constant has a second, more useful form. Let</w:t>
      </w:r>
      <w:r>
        <w:t xml:space="preserve"> </w:t>
      </w:r>
      <m:oMath>
        <m:sSub>
          <m:e>
            <m:r>
              <m:t>w</m:t>
            </m:r>
          </m:e>
          <m:sub>
            <m:r>
              <m:t>m</m:t>
            </m:r>
          </m:sub>
        </m:sSub>
        <m:d>
          <m:dPr>
            <m:begChr m:val="("/>
            <m:endChr m:val=")"/>
            <m:sepChr m:val=""/>
            <m:grow/>
          </m:dPr>
          <m:e>
            <m:r>
              <m:t>x</m:t>
            </m:r>
          </m:e>
        </m:d>
      </m:oMath>
      <w:r>
        <w:t xml:space="preserve"> </w:t>
      </w:r>
      <w:r>
        <w:t xml:space="preserve">be the deflected shape under a unit load at</w:t>
      </w:r>
      <w:r>
        <w:t xml:space="preserve"> </w:t>
      </w:r>
      <m:oMath>
        <m:r>
          <m:t>m</m:t>
        </m:r>
      </m:oMath>
      <w:r>
        <w:t xml:space="preserve">, and</w:t>
      </w:r>
      <w:r>
        <w:t xml:space="preserve"> </w:t>
      </w:r>
      <m:oMath>
        <m:sSub>
          <m:e>
            <m:r>
              <m:t>w</m:t>
            </m:r>
          </m:e>
          <m:sub>
            <m:r>
              <m:t>q</m:t>
            </m:r>
          </m:sub>
        </m:sSub>
        <m:d>
          <m:dPr>
            <m:begChr m:val="("/>
            <m:endChr m:val=")"/>
            <m:sepChr m:val=""/>
            <m:grow/>
          </m:dPr>
          <m:e>
            <m:r>
              <m:t>x</m:t>
            </m:r>
          </m:e>
        </m:d>
      </m:oMath>
      <w:r>
        <w:t xml:space="preserve"> </w:t>
      </w:r>
      <w:r>
        <w:t xml:space="preserve">the deflection under a uniformly distributed load of intensity</w:t>
      </w:r>
      <w:r>
        <w:t xml:space="preserve"> </w:t>
      </w:r>
      <m:oMath>
        <m:sSub>
          <m:e>
            <m:r>
              <m:t>q</m:t>
            </m:r>
          </m:e>
          <m:sub>
            <m:r>
              <m:t>0</m:t>
            </m:r>
          </m:sub>
        </m:sSub>
      </m:oMath>
      <w:r>
        <w:t xml:space="preserve"> </w:t>
      </w:r>
      <w:r>
        <w:t xml:space="preserve">over the whole length. Maxwell’s reciprocal theorem gives</w:t>
      </w:r>
      <w:r>
        <w:t xml:space="preserve"> </w:t>
      </w:r>
      <m:oMath>
        <m:sSub>
          <m:e>
            <m:r>
              <m:t>η</m:t>
            </m:r>
          </m:e>
          <m:sub>
            <m:r>
              <m:t>m</m:t>
            </m:r>
          </m:sub>
        </m:sSub>
        <m:d>
          <m:dPr>
            <m:begChr m:val="("/>
            <m:endChr m:val=")"/>
            <m:sepChr m:val=""/>
            <m:grow/>
          </m:dPr>
          <m:e>
            <m:r>
              <m:t>x</m:t>
            </m:r>
          </m:e>
        </m:d>
        <m:r>
          <m:rPr>
            <m:sty m:val="p"/>
          </m:rPr>
          <m:t>=</m:t>
        </m:r>
        <m:sSub>
          <m:e>
            <m:r>
              <m:t>w</m:t>
            </m:r>
          </m:e>
          <m:sub>
            <m:r>
              <m:t>m</m:t>
            </m:r>
          </m:sub>
        </m:sSub>
        <m:d>
          <m:dPr>
            <m:begChr m:val="("/>
            <m:endChr m:val=")"/>
            <m:sepChr m:val=""/>
            <m:grow/>
          </m:dPr>
          <m:e>
            <m:r>
              <m:t>x</m:t>
            </m:r>
          </m:e>
        </m:d>
      </m:oMath>
      <w:r>
        <w:t xml:space="preserve">. Betti’s theorem applied to the unit point load at</w:t>
      </w:r>
      <w:r>
        <w:t xml:space="preserve"> </w:t>
      </w:r>
      <m:oMath>
        <m:r>
          <m:t>m</m:t>
        </m:r>
      </m:oMath>
      <w:r>
        <w:t xml:space="preserve"> </w:t>
      </w:r>
      <w:r>
        <w:t xml:space="preserve">and the uniform load gives</w:t>
      </w:r>
      <w:r>
        <w:t xml:space="preserve"> </w:t>
      </w:r>
      <m:oMath>
        <m:sSub>
          <m:e>
            <m:r>
              <m:t>q</m:t>
            </m:r>
          </m:e>
          <m:sub>
            <m:r>
              <m:t>0</m:t>
            </m:r>
          </m:sub>
        </m:sSub>
        <m:r>
          <m:rPr>
            <m:sty m:val="p"/>
          </m:rPr>
          <m:t>∫</m:t>
        </m:r>
        <m:sSub>
          <m:e>
            <m:r>
              <m:t>w</m:t>
            </m:r>
          </m:e>
          <m:sub>
            <m:r>
              <m:t>m</m:t>
            </m:r>
          </m:sub>
        </m:sSub>
        <m:r>
          <m:t> </m:t>
        </m:r>
        <m:r>
          <m:rPr>
            <m:sty m:val="p"/>
          </m:rPr>
          <m:t>d</m:t>
        </m:r>
        <m:r>
          <m:t>x</m:t>
        </m:r>
        <m:r>
          <m:rPr>
            <m:sty m:val="p"/>
          </m:rPr>
          <m:t>=</m:t>
        </m:r>
        <m:sSub>
          <m:e>
            <m:r>
              <m:t>w</m:t>
            </m:r>
          </m:e>
          <m:sub>
            <m:r>
              <m:t>q</m:t>
            </m:r>
          </m:sub>
        </m:sSub>
        <m:d>
          <m:dPr>
            <m:begChr m:val="("/>
            <m:endChr m:val=")"/>
            <m:sepChr m:val=""/>
            <m:grow/>
          </m:dPr>
          <m:e>
            <m:sSub>
              <m:e>
                <m:r>
                  <m:t>x</m:t>
                </m:r>
              </m:e>
              <m:sub>
                <m:r>
                  <m:t>m</m:t>
                </m:r>
              </m:sub>
            </m:sSub>
          </m:e>
        </m:d>
      </m:oMath>
      <w:r>
        <w:t xml:space="preserve">. Both are standard results of structural analysis [44]. Hence</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C</m:t>
                    </m:r>
                  </m:e>
                  <m:sub>
                    <m:r>
                      <m:t>m</m:t>
                    </m:r>
                  </m:sub>
                </m:sSub>
                <m:r>
                  <m:rPr>
                    <m:sty m:val="p"/>
                  </m:rPr>
                  <m:t>=</m:t>
                </m:r>
                <m:nary>
                  <m:naryPr>
                    <m:chr m:val="∫"/>
                    <m:limLoc m:val="subSup"/>
                    <m:subHide m:val="off"/>
                    <m:supHide m:val="off"/>
                  </m:naryPr>
                  <m:sub>
                    <m:r>
                      <m:t>0</m:t>
                    </m:r>
                  </m:sub>
                  <m:sup>
                    <m:r>
                      <m:t>L</m:t>
                    </m:r>
                  </m:sup>
                  <m:e>
                    <m:sSub>
                      <m:e>
                        <m:r>
                          <m:t>η</m:t>
                        </m:r>
                      </m:e>
                      <m:sub>
                        <m:r>
                          <m:t>m</m:t>
                        </m:r>
                      </m:sub>
                    </m:sSub>
                  </m:e>
                </m:nary>
                <m:r>
                  <m:t> </m:t>
                </m:r>
                <m:r>
                  <m:rPr>
                    <m:sty m:val="p"/>
                  </m:rPr>
                  <m:t>d</m:t>
                </m:r>
                <m:r>
                  <m:t>u</m:t>
                </m:r>
                <m:r>
                  <m:rPr>
                    <m:sty m:val="p"/>
                  </m:rPr>
                  <m:t>=</m:t>
                </m:r>
                <m:nary>
                  <m:naryPr>
                    <m:chr m:val="∫"/>
                    <m:limLoc m:val="subSup"/>
                    <m:subHide m:val="off"/>
                    <m:supHide m:val="off"/>
                  </m:naryPr>
                  <m:sub>
                    <m:r>
                      <m:t>0</m:t>
                    </m:r>
                  </m:sub>
                  <m:sup>
                    <m:r>
                      <m:t>L</m:t>
                    </m:r>
                  </m:sup>
                  <m:e>
                    <m:sSub>
                      <m:e>
                        <m:r>
                          <m:t>w</m:t>
                        </m:r>
                      </m:e>
                      <m:sub>
                        <m:r>
                          <m:t>m</m:t>
                        </m:r>
                      </m:sub>
                    </m:sSub>
                  </m:e>
                </m:nary>
                <m:r>
                  <m:t> </m:t>
                </m:r>
                <m:r>
                  <m:rPr>
                    <m:sty m:val="p"/>
                  </m:rPr>
                  <m:t>d</m:t>
                </m:r>
                <m:r>
                  <m:t>x</m:t>
                </m:r>
                <m:r>
                  <m:rPr>
                    <m:sty m:val="p"/>
                  </m:rPr>
                  <m:t>=</m:t>
                </m:r>
                <m:f>
                  <m:fPr>
                    <m:type m:val="bar"/>
                  </m:fPr>
                  <m:num>
                    <m:sSub>
                      <m:e>
                        <m:r>
                          <m:t>w</m:t>
                        </m:r>
                      </m:e>
                      <m:sub>
                        <m:r>
                          <m:t>q</m:t>
                        </m:r>
                      </m:sub>
                    </m:sSub>
                    <m:d>
                      <m:dPr>
                        <m:begChr m:val="("/>
                        <m:endChr m:val=")"/>
                        <m:sepChr m:val=""/>
                        <m:grow/>
                      </m:dPr>
                      <m:e>
                        <m:sSub>
                          <m:e>
                            <m:r>
                              <m:t>x</m:t>
                            </m:r>
                          </m:e>
                          <m:sub>
                            <m:r>
                              <m:t>m</m:t>
                            </m:r>
                          </m:sub>
                        </m:sSub>
                      </m:e>
                    </m:d>
                  </m:num>
                  <m:den>
                    <m:sSub>
                      <m:e>
                        <m:r>
                          <m:t>q</m:t>
                        </m:r>
                      </m:e>
                      <m:sub>
                        <m:r>
                          <m:t>0</m:t>
                        </m:r>
                      </m:sub>
                    </m:sSub>
                  </m:den>
                </m:f>
                <m:r>
                  <m:rPr>
                    <m:sty m:val="p"/>
                  </m:rPr>
                  <m:t>.</m:t>
                </m:r>
              </m:oMath>
            </m:oMathPara>
          </w:p>
        </w:tc>
        <w:tc>
          <w:tcPr>
            <w:tcW w:type="dxa" w:w="1088"/>
            <w:vAlign w:val="center"/>
          </w:tcPr>
          <w:p>
            <w:pPr>
              <w:jc w:val="right"/>
            </w:pPr>
            <w:r>
              <w:t xml:space="preserve">(3)</w:t>
            </w:r>
          </w:p>
        </w:tc>
      </w:tr>
    </w:tbl>
    <w:p>
      <w:pPr>
        <w:pStyle w:val="BodyText"/>
      </w:pPr>
      <w:r>
        <w:t xml:space="preserve">The invariance constant is thus the deflection at the sensor under a uniform load over the whole structure, divided by the load intensity. It can be read from a standard table, obtained from one static analysis of an existing model, or measured with one static uniform-load test, and a configuration is blind exactly when a uniformly loaded structure shows no deflection at the sensor. The invariance has a simple reading: each axle adds a shifted, load-scaled copy of the same influence line, and a translation changes the shape of the record but not its signed area.</w:t>
      </w:r>
      <w:r>
        <w:t xml:space="preserve"> </w:t>
      </w:r>
      <m:oMath>
        <m:sSub>
          <m:e>
            <m:r>
              <m:t>C</m:t>
            </m:r>
          </m:e>
          <m:sub>
            <m:r>
              <m:t>m</m:t>
            </m:r>
          </m:sub>
        </m:sSub>
      </m:oMath>
      <w:r>
        <w:t xml:space="preserve"> </w:t>
      </w:r>
      <w:r>
        <w:t xml:space="preserve">is a global flexibility seen from the sensor; for a continuous beam it is a signed sum, and its sign governs the results below. The property requires linearity and time-invariance; it does not survive material or geometric nonlinearity, bearing uplift or friction, or a stiffness change during the crossing.</w:t>
      </w:r>
    </w:p>
    <w:p>
      <w:pPr>
        <w:pStyle w:val="BodyText"/>
      </w:pPr>
      <w:r>
        <w:t xml:space="preserve">For a strain sensor the same argument applies to the bending moment: the strain integral over a crossing equals the total load times</w:t>
      </w:r>
      <w:r>
        <w:t xml:space="preserve"> </w:t>
      </w:r>
      <m:oMath>
        <m:r>
          <m:t>c</m:t>
        </m:r>
        <m:r>
          <m:t> </m:t>
        </m:r>
        <m:sSub>
          <m:e>
            <m:r>
              <m:t>M</m:t>
            </m:r>
          </m:e>
          <m:sub>
            <m:r>
              <m:t>q</m:t>
            </m:r>
          </m:sub>
        </m:sSub>
        <m:d>
          <m:dPr>
            <m:begChr m:val="("/>
            <m:endChr m:val=")"/>
            <m:sepChr m:val=""/>
            <m:grow/>
          </m:dPr>
          <m:e>
            <m:sSub>
              <m:e>
                <m:r>
                  <m:t>x</m:t>
                </m:r>
              </m:e>
              <m:sub>
                <m:r>
                  <m:t>m</m:t>
                </m:r>
              </m:sub>
            </m:sSub>
          </m:e>
        </m:d>
        <m:r>
          <m:rPr>
            <m:sty m:val="p"/>
          </m:rPr>
          <m:t>/</m:t>
        </m:r>
        <m:d>
          <m:dPr>
            <m:begChr m:val="("/>
            <m:endChr m:val=")"/>
            <m:sepChr m:val=""/>
            <m:grow/>
          </m:dPr>
          <m:e>
            <m:r>
              <m:t>E</m:t>
            </m:r>
            <m:r>
              <m:t>I</m:t>
            </m:r>
            <m:r>
              <m:t> </m:t>
            </m:r>
            <m:sSub>
              <m:e>
                <m:r>
                  <m:t>q</m:t>
                </m:r>
              </m:e>
              <m:sub>
                <m:r>
                  <m:t>0</m:t>
                </m:r>
              </m:sub>
            </m:sSub>
          </m:e>
        </m:d>
      </m:oMath>
      <w:r>
        <w:t xml:space="preserve">, where</w:t>
      </w:r>
      <w:r>
        <w:t xml:space="preserve"> </w:t>
      </w:r>
      <m:oMath>
        <m:sSub>
          <m:e>
            <m:r>
              <m:t>M</m:t>
            </m:r>
          </m:e>
          <m:sub>
            <m:r>
              <m:t>q</m:t>
            </m:r>
          </m:sub>
        </m:sSub>
      </m:oMath>
      <w:r>
        <w:t xml:space="preserve"> </w:t>
      </w:r>
      <w:r>
        <w:t xml:space="preserve">is the bending moment under the uniform load and</w:t>
      </w:r>
      <w:r>
        <w:t xml:space="preserve"> </w:t>
      </w:r>
      <m:oMath>
        <m:r>
          <m:t>c</m:t>
        </m:r>
      </m:oMath>
      <w:r>
        <w:t xml:space="preserve"> </w:t>
      </w:r>
      <w:r>
        <w:t xml:space="preserve">the distance of the fibre from the neutral axis, so a strain sensor is blind at the contraflexure points of the uniform-load moment diagram (for example</w:t>
      </w:r>
      <w:r>
        <w:t xml:space="preserve"> </w:t>
      </w:r>
      <m:oMath>
        <m:r>
          <m:t>0.75</m:t>
        </m:r>
        <m:r>
          <m:t>L</m:t>
        </m:r>
      </m:oMath>
      <w:r>
        <w:t xml:space="preserve"> </w:t>
      </w:r>
      <w:r>
        <w:t xml:space="preserve">from the outer support of an equal two-span beam). Such points exist on every continuous girder, whereas the deflection blind configurations derived below exist only for particular span and stiffness ratios.</w:t>
      </w:r>
    </w:p>
    <w:bookmarkEnd w:id="23"/>
    <w:bookmarkStart w:id="24" w:name="two-span-continuous-beam"/>
    <w:p>
      <w:pPr>
        <w:pStyle w:val="Heading3"/>
      </w:pPr>
      <w:r>
        <w:t xml:space="preserve">2.2. Two-span continuous beam</w:t>
      </w:r>
    </w:p>
    <w:p>
      <w:pPr>
        <w:pStyle w:val="FirstParagraph"/>
      </w:pPr>
      <w:r>
        <w:t xml:space="preserve">Let the instrumented span have length</w:t>
      </w:r>
      <w:r>
        <w:t xml:space="preserve"> </w:t>
      </w:r>
      <m:oMath>
        <m:sSub>
          <m:e>
            <m:r>
              <m:t>L</m:t>
            </m:r>
          </m:e>
          <m:sub>
            <m:r>
              <m:t>1</m:t>
            </m:r>
          </m:sub>
        </m:sSub>
      </m:oMath>
      <w:r>
        <w:t xml:space="preserve"> </w:t>
      </w:r>
      <w:r>
        <w:t xml:space="preserve">and rigidity</w:t>
      </w:r>
      <w:r>
        <w:t xml:space="preserve"> </w:t>
      </w:r>
      <m:oMath>
        <m:r>
          <m:t>E</m:t>
        </m:r>
        <m:sSub>
          <m:e>
            <m:r>
              <m:t>I</m:t>
            </m:r>
          </m:e>
          <m:sub>
            <m:r>
              <m:t>1</m:t>
            </m:r>
          </m:sub>
        </m:sSub>
      </m:oMath>
      <w:r>
        <w:t xml:space="preserve">, the adjacent span</w:t>
      </w:r>
      <w:r>
        <w:t xml:space="preserve"> </w:t>
      </w:r>
      <m:oMath>
        <m:sSub>
          <m:e>
            <m:r>
              <m:t>L</m:t>
            </m:r>
          </m:e>
          <m:sub>
            <m:r>
              <m:t>2</m:t>
            </m:r>
          </m:sub>
        </m:sSub>
        <m:r>
          <m:rPr>
            <m:sty m:val="p"/>
          </m:rPr>
          <m:t>=</m:t>
        </m:r>
        <m:sSub>
          <m:e>
            <m:r>
              <m:t>ρ</m:t>
            </m:r>
          </m:e>
          <m:sub>
            <m:r>
              <m:t>L</m:t>
            </m:r>
          </m:sub>
        </m:sSub>
        <m:sSub>
          <m:e>
            <m:r>
              <m:t>L</m:t>
            </m:r>
          </m:e>
          <m:sub>
            <m:r>
              <m:t>1</m:t>
            </m:r>
          </m:sub>
        </m:sSub>
      </m:oMath>
      <w:r>
        <w:t xml:space="preserve"> </w:t>
      </w:r>
      <w:r>
        <w:t xml:space="preserve">and</w:t>
      </w:r>
      <w:r>
        <w:t xml:space="preserve"> </w:t>
      </w:r>
      <m:oMath>
        <m:r>
          <m:t>E</m:t>
        </m:r>
        <m:sSub>
          <m:e>
            <m:r>
              <m:t>I</m:t>
            </m:r>
          </m:e>
          <m:sub>
            <m:r>
              <m:t>2</m:t>
            </m:r>
          </m:sub>
        </m:sSub>
        <m:r>
          <m:rPr>
            <m:sty m:val="p"/>
          </m:rPr>
          <m:t>=</m:t>
        </m:r>
        <m:sSub>
          <m:e>
            <m:r>
              <m:t>ρ</m:t>
            </m:r>
          </m:e>
          <m:sub>
            <m:r>
              <m:t>E</m:t>
            </m:r>
            <m:r>
              <m:t>I</m:t>
            </m:r>
          </m:sub>
        </m:sSub>
        <m:r>
          <m:t>E</m:t>
        </m:r>
        <m:sSub>
          <m:e>
            <m:r>
              <m:t>I</m:t>
            </m:r>
          </m:e>
          <m:sub>
            <m:r>
              <m:t>1</m:t>
            </m:r>
          </m:sub>
        </m:sSub>
      </m:oMath>
      <w:r>
        <w:t xml:space="preserve">, and the sensor be at</w:t>
      </w:r>
      <w:r>
        <w:t xml:space="preserve"> </w:t>
      </w:r>
      <m:oMath>
        <m:r>
          <m:t>ξ</m:t>
        </m:r>
        <m:r>
          <m:rPr>
            <m:sty m:val="p"/>
          </m:rPr>
          <m:t>=</m:t>
        </m:r>
        <m:sSub>
          <m:e>
            <m:r>
              <m:t>x</m:t>
            </m:r>
          </m:e>
          <m:sub>
            <m:r>
              <m:t>m</m:t>
            </m:r>
          </m:sub>
        </m:sSub>
        <m:r>
          <m:rPr>
            <m:sty m:val="p"/>
          </m:rPr>
          <m:t>/</m:t>
        </m:r>
        <m:sSub>
          <m:e>
            <m:r>
              <m:t>L</m:t>
            </m:r>
          </m:e>
          <m:sub>
            <m:r>
              <m:t>1</m:t>
            </m:r>
          </m:sub>
        </m:sSub>
      </m:oMath>
      <w:r>
        <w:t xml:space="preserve"> </w:t>
      </w:r>
      <w:r>
        <w:t xml:space="preserve">(Fig. 1a). Slope continuity at the interior support under a uniform load gives (Appendix A)</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C</m:t>
                    </m:r>
                  </m:e>
                  <m:sub>
                    <m:r>
                      <m:t>m</m:t>
                    </m:r>
                  </m:sub>
                </m:sSub>
                <m:r>
                  <m:rPr>
                    <m:sty m:val="p"/>
                  </m:rPr>
                  <m:t>=</m:t>
                </m:r>
                <m:f>
                  <m:fPr>
                    <m:type m:val="bar"/>
                  </m:fPr>
                  <m:num>
                    <m:sSubSup>
                      <m:e>
                        <m:r>
                          <m:t>L</m:t>
                        </m:r>
                      </m:e>
                      <m:sub>
                        <m:r>
                          <m:t>1</m:t>
                        </m:r>
                      </m:sub>
                      <m:sup>
                        <m:r>
                          <m:t>4</m:t>
                        </m:r>
                      </m:sup>
                    </m:sSubSup>
                  </m:num>
                  <m:den>
                    <m:r>
                      <m:t>24</m:t>
                    </m:r>
                    <m:r>
                      <m:t>E</m:t>
                    </m:r>
                    <m:sSub>
                      <m:e>
                        <m:r>
                          <m:t>I</m:t>
                        </m:r>
                      </m:e>
                      <m:sub>
                        <m:r>
                          <m:t>1</m:t>
                        </m:r>
                      </m:sub>
                    </m:sSub>
                  </m:den>
                </m:f>
                <m:r>
                  <m:t>F</m:t>
                </m:r>
                <m:d>
                  <m:dPr>
                    <m:begChr m:val="("/>
                    <m:endChr m:val=")"/>
                    <m:sepChr m:val=""/>
                    <m:grow/>
                  </m:dPr>
                  <m:e>
                    <m:r>
                      <m:t>ξ</m:t>
                    </m:r>
                    <m:r>
                      <m:rPr>
                        <m:sty m:val="p"/>
                      </m:rPr>
                      <m:t>,</m:t>
                    </m:r>
                    <m:r>
                      <m:t>μ</m:t>
                    </m:r>
                  </m:e>
                </m:d>
                <m:r>
                  <m:rPr>
                    <m:sty m:val="p"/>
                  </m:rPr>
                  <m:t>,</m:t>
                </m:r>
                <m:r>
                  <m:t>  </m:t>
                </m:r>
                <m:r>
                  <m:t>F</m:t>
                </m:r>
                <m:d>
                  <m:dPr>
                    <m:begChr m:val="("/>
                    <m:endChr m:val=")"/>
                    <m:sepChr m:val=""/>
                    <m:grow/>
                  </m:dPr>
                  <m:e>
                    <m:r>
                      <m:t>ξ</m:t>
                    </m:r>
                    <m:r>
                      <m:rPr>
                        <m:sty m:val="p"/>
                      </m:rPr>
                      <m:t>,</m:t>
                    </m:r>
                    <m:r>
                      <m:t>μ</m:t>
                    </m:r>
                  </m:e>
                </m:d>
                <m:r>
                  <m:rPr>
                    <m:sty m:val="p"/>
                  </m:rPr>
                  <m:t>=</m:t>
                </m:r>
                <m:r>
                  <m:t>ξ</m:t>
                </m:r>
                <m:d>
                  <m:dPr>
                    <m:begChr m:val="("/>
                    <m:endChr m:val=")"/>
                    <m:sepChr m:val=""/>
                    <m:grow/>
                  </m:dPr>
                  <m:e>
                    <m:r>
                      <m:t>1</m:t>
                    </m:r>
                    <m:r>
                      <m:rPr>
                        <m:sty m:val="p"/>
                      </m:rPr>
                      <m:t>−</m:t>
                    </m:r>
                    <m:r>
                      <m:t>2</m:t>
                    </m:r>
                    <m:sSup>
                      <m:e>
                        <m:r>
                          <m:t>ξ</m:t>
                        </m:r>
                      </m:e>
                      <m:sup>
                        <m:r>
                          <m:t>2</m:t>
                        </m:r>
                      </m:sup>
                    </m:sSup>
                    <m:r>
                      <m:rPr>
                        <m:sty m:val="p"/>
                      </m:rPr>
                      <m:t>+</m:t>
                    </m:r>
                    <m:sSup>
                      <m:e>
                        <m:r>
                          <m:t>ξ</m:t>
                        </m:r>
                      </m:e>
                      <m:sup>
                        <m:r>
                          <m:t>3</m:t>
                        </m:r>
                      </m:sup>
                    </m:sSup>
                  </m:e>
                </m:d>
                <m:r>
                  <m:rPr>
                    <m:sty m:val="p"/>
                  </m:rPr>
                  <m:t>−</m:t>
                </m:r>
                <m:f>
                  <m:fPr>
                    <m:type m:val="bar"/>
                  </m:fPr>
                  <m:num>
                    <m:r>
                      <m:t>μ</m:t>
                    </m:r>
                  </m:num>
                  <m:den>
                    <m:r>
                      <m:t>2</m:t>
                    </m:r>
                  </m:den>
                </m:f>
                <m:r>
                  <m:t> </m:t>
                </m:r>
                <m:r>
                  <m:t>ξ</m:t>
                </m:r>
                <m:d>
                  <m:dPr>
                    <m:begChr m:val="("/>
                    <m:endChr m:val=")"/>
                    <m:sepChr m:val=""/>
                    <m:grow/>
                  </m:dPr>
                  <m:e>
                    <m:r>
                      <m:t>1</m:t>
                    </m:r>
                    <m:r>
                      <m:rPr>
                        <m:sty m:val="p"/>
                      </m:rPr>
                      <m:t>−</m:t>
                    </m:r>
                    <m:sSup>
                      <m:e>
                        <m:r>
                          <m:t>ξ</m:t>
                        </m:r>
                      </m:e>
                      <m:sup>
                        <m:r>
                          <m:t>2</m:t>
                        </m:r>
                      </m:sup>
                    </m:sSup>
                  </m:e>
                </m:d>
                <m:r>
                  <m:rPr>
                    <m:sty m:val="p"/>
                  </m:rPr>
                  <m:t>,</m:t>
                </m:r>
              </m:oMath>
            </m:oMathPara>
          </w:p>
        </w:tc>
        <w:tc>
          <w:tcPr>
            <w:tcW w:type="dxa" w:w="1088"/>
            <w:vAlign w:val="center"/>
          </w:tcPr>
          <w:p>
            <w:pPr>
              <w:jc w:val="right"/>
            </w:pPr>
            <w:r>
              <w:t xml:space="preserve">(4)</w:t>
            </w:r>
          </w:p>
        </w:tc>
      </w:tr>
    </w:tbl>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r>
                  <m:t>μ</m:t>
                </m:r>
                <m:r>
                  <m:rPr>
                    <m:sty m:val="p"/>
                  </m:rPr>
                  <m:t>=</m:t>
                </m:r>
                <m:f>
                  <m:fPr>
                    <m:type m:val="bar"/>
                  </m:fPr>
                  <m:num>
                    <m:r>
                      <m:t>1</m:t>
                    </m:r>
                    <m:r>
                      <m:rPr>
                        <m:sty m:val="p"/>
                      </m:rPr>
                      <m:t>+</m:t>
                    </m:r>
                    <m:sSubSup>
                      <m:e>
                        <m:r>
                          <m:t>ρ</m:t>
                        </m:r>
                      </m:e>
                      <m:sub>
                        <m:r>
                          <m:t>L</m:t>
                        </m:r>
                      </m:sub>
                      <m:sup>
                        <m:r>
                          <m:t>3</m:t>
                        </m:r>
                      </m:sup>
                    </m:sSubSup>
                    <m:r>
                      <m:rPr>
                        <m:sty m:val="p"/>
                      </m:rPr>
                      <m:t>/</m:t>
                    </m:r>
                    <m:sSub>
                      <m:e>
                        <m:r>
                          <m:t>ρ</m:t>
                        </m:r>
                      </m:e>
                      <m:sub>
                        <m:r>
                          <m:t>E</m:t>
                        </m:r>
                        <m:r>
                          <m:t>I</m:t>
                        </m:r>
                      </m:sub>
                    </m:sSub>
                  </m:num>
                  <m:den>
                    <m:r>
                      <m:t>1</m:t>
                    </m:r>
                    <m:r>
                      <m:rPr>
                        <m:sty m:val="p"/>
                      </m:rPr>
                      <m:t>+</m:t>
                    </m:r>
                    <m:sSub>
                      <m:e>
                        <m:r>
                          <m:t>ρ</m:t>
                        </m:r>
                      </m:e>
                      <m:sub>
                        <m:r>
                          <m:t>L</m:t>
                        </m:r>
                      </m:sub>
                    </m:sSub>
                    <m:r>
                      <m:rPr>
                        <m:sty m:val="p"/>
                      </m:rPr>
                      <m:t>/</m:t>
                    </m:r>
                    <m:sSub>
                      <m:e>
                        <m:r>
                          <m:t>ρ</m:t>
                        </m:r>
                      </m:e>
                      <m:sub>
                        <m:r>
                          <m:t>E</m:t>
                        </m:r>
                        <m:r>
                          <m:t>I</m:t>
                        </m:r>
                      </m:sub>
                    </m:sSub>
                  </m:den>
                </m:f>
                <m:r>
                  <m:rPr>
                    <m:sty m:val="p"/>
                  </m:rPr>
                  <m:t>.</m:t>
                </m:r>
              </m:oMath>
            </m:oMathPara>
          </w:p>
        </w:tc>
        <w:tc>
          <w:tcPr>
            <w:tcW w:type="dxa" w:w="1088"/>
            <w:vAlign w:val="center"/>
          </w:tcPr>
          <w:p>
            <w:pPr>
              <w:jc w:val="right"/>
            </w:pPr>
            <w:r>
              <w:t xml:space="preserve">(5)</w:t>
            </w:r>
          </w:p>
        </w:tc>
      </w:tr>
    </w:tbl>
    <w:p>
      <w:pPr>
        <w:pStyle w:val="BodyText"/>
      </w:pPr>
      <w:r>
        <w:t xml:space="preserve">Geometry and stiffness enter only through the scalar</w:t>
      </w:r>
      <w:r>
        <w:t xml:space="preserve"> </w:t>
      </w:r>
      <m:oMath>
        <m:r>
          <m:t>μ</m:t>
        </m:r>
      </m:oMath>
      <w:r>
        <w:t xml:space="preserve">, which is unity for a symmetric beam. For equal spans and a mid-span sensor Eq. (4) gives</w:t>
      </w:r>
      <w:r>
        <w:t xml:space="preserve"> </w:t>
      </w:r>
      <m:oMath>
        <m:sSub>
          <m:e>
            <m:r>
              <m:t>C</m:t>
            </m:r>
          </m:e>
          <m:sub>
            <m:r>
              <m:t>m</m:t>
            </m:r>
          </m:sub>
        </m:sSub>
        <m:r>
          <m:rPr>
            <m:sty m:val="p"/>
          </m:rPr>
          <m:t>=</m:t>
        </m:r>
        <m:sSup>
          <m:e>
            <m:r>
              <m:t>L</m:t>
            </m:r>
          </m:e>
          <m:sup>
            <m:r>
              <m:t>4</m:t>
            </m:r>
          </m:sup>
        </m:sSup>
        <m:r>
          <m:rPr>
            <m:sty m:val="p"/>
          </m:rPr>
          <m:t>/</m:t>
        </m:r>
        <m:d>
          <m:dPr>
            <m:begChr m:val="("/>
            <m:endChr m:val=")"/>
            <m:sepChr m:val=""/>
            <m:grow/>
          </m:dPr>
          <m:e>
            <m:r>
              <m:t>192</m:t>
            </m:r>
            <m:r>
              <m:t>E</m:t>
            </m:r>
            <m:r>
              <m:t>I</m:t>
            </m:r>
          </m:e>
        </m:d>
      </m:oMath>
      <w:r>
        <w:t xml:space="preserve">. Table 1 compares Eq. (4) with a finite element (FE) evaluation of Eq. (3); the two agree to eleven significant figures.</w:t>
      </w:r>
    </w:p>
    <w:p>
      <w:pPr>
        <w:pStyle w:val="BodyText"/>
      </w:pPr>
      <w:r>
        <w:rPr>
          <w:bCs/>
          <w:b/>
        </w:rPr>
        <w:t xml:space="preserve">Table 1.</w:t>
      </w:r>
      <w:r>
        <w:t xml:space="preserve"> </w:t>
      </w:r>
      <w:r>
        <w:t xml:space="preserve">Two-span beam: closed form, Eq. (4), against FE evaluation of Eq. (3). Values are</w:t>
      </w:r>
      <w:r>
        <w:t xml:space="preserve"> </w:t>
      </w:r>
      <m:oMath>
        <m:r>
          <m:t>192</m:t>
        </m:r>
        <m:r>
          <m:t>E</m:t>
        </m:r>
        <m:sSub>
          <m:e>
            <m:r>
              <m:t>I</m:t>
            </m:r>
          </m:e>
          <m:sub>
            <m:r>
              <m:t>1</m:t>
            </m:r>
          </m:sub>
        </m:sSub>
        <m:sSub>
          <m:e>
            <m:r>
              <m:t>C</m:t>
            </m:r>
          </m:e>
          <m:sub>
            <m:r>
              <m:t>m</m:t>
            </m:r>
          </m:sub>
        </m:sSub>
        <m:r>
          <m:rPr>
            <m:sty m:val="p"/>
          </m:rPr>
          <m:t>/</m:t>
        </m:r>
        <m:sSubSup>
          <m:e>
            <m:r>
              <m:t>L</m:t>
            </m:r>
          </m:e>
          <m:sub>
            <m:r>
              <m:t>1</m:t>
            </m:r>
          </m:sub>
          <m:sup>
            <m:r>
              <m:t>4</m:t>
            </m:r>
          </m:sup>
        </m:sSubSup>
      </m:oMath>
      <w:r>
        <w:t xml:space="preserve">;</w:t>
      </w:r>
      <w:r>
        <w:t xml:space="preserve"> </w:t>
      </w:r>
      <m:oMath>
        <m:sSub>
          <m:e>
            <m:r>
              <m:t>ρ</m:t>
            </m:r>
          </m:e>
          <m:sub>
            <m:r>
              <m:t>E</m:t>
            </m:r>
            <m:r>
              <m:t>I</m:t>
            </m:r>
          </m:sub>
        </m:sSub>
        <m:r>
          <m:rPr>
            <m:sty m:val="p"/>
          </m:rPr>
          <m:t>=</m:t>
        </m:r>
        <m:r>
          <m:t>1</m:t>
        </m:r>
      </m:oMath>
      <w:r>
        <w:t xml:space="preserve">.</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1934"/>
        <w:gridCol w:w="1133"/>
        <w:gridCol w:w="1133"/>
        <w:gridCol w:w="1667"/>
        <w:gridCol w:w="1667"/>
        <w:gridCol w:w="1533"/>
      </w:tblGrid>
      <w:tr>
        <w:trPr>
          <w:tblHeader w:val="true"/>
        </w:trPr>
        <w:tc>
          <w:tcPr>
            <w:tcW w:type="dxa" w:w="1934"/>
            <w:tcBorders>
              <w:top w:val="nil"/>
              <w:left w:val="nil"/>
              <w:bottom w:val="single" w:sz="6" w:space="0" w:color="000000"/>
              <w:right w:val="nil"/>
            </w:tcBorders>
          </w:tcPr>
          <w:p>
            <w:pPr>
              <w:pStyle w:val="Compact"/>
              <w:jc w:val="left"/>
            </w:pPr>
            <w:r>
              <w:t xml:space="preserve">Case</w:t>
            </w:r>
          </w:p>
        </w:tc>
        <w:tc>
          <w:tcPr>
            <w:tcW w:type="dxa" w:w="1133"/>
            <w:tcBorders>
              <w:top w:val="nil"/>
              <w:left w:val="nil"/>
              <w:bottom w:val="single" w:sz="6" w:space="0" w:color="000000"/>
              <w:right w:val="nil"/>
            </w:tcBorders>
          </w:tcPr>
          <w:p>
            <w:pPr>
              <w:pStyle w:val="Compact"/>
              <w:jc w:val="left"/>
            </w:pPr>
            <m:oMath>
              <m:sSub>
                <m:e>
                  <m:r>
                    <m:t>ρ</m:t>
                  </m:r>
                </m:e>
                <m:sub>
                  <m:r>
                    <m:t>L</m:t>
                  </m:r>
                </m:sub>
              </m:sSub>
            </m:oMath>
          </w:p>
        </w:tc>
        <w:tc>
          <w:tcPr>
            <w:tcW w:type="dxa" w:w="1133"/>
            <w:tcBorders>
              <w:top w:val="nil"/>
              <w:left w:val="nil"/>
              <w:bottom w:val="single" w:sz="6" w:space="0" w:color="000000"/>
              <w:right w:val="nil"/>
            </w:tcBorders>
          </w:tcPr>
          <w:p>
            <w:pPr>
              <w:pStyle w:val="Compact"/>
              <w:jc w:val="left"/>
            </w:pPr>
            <m:oMath>
              <m:r>
                <m:t>ξ</m:t>
              </m:r>
            </m:oMath>
          </w:p>
        </w:tc>
        <w:tc>
          <w:tcPr>
            <w:tcW w:type="dxa" w:w="1667"/>
            <w:tcBorders>
              <w:top w:val="nil"/>
              <w:left w:val="nil"/>
              <w:bottom w:val="single" w:sz="6" w:space="0" w:color="000000"/>
              <w:right w:val="nil"/>
            </w:tcBorders>
          </w:tcPr>
          <w:p>
            <w:pPr>
              <w:pStyle w:val="Compact"/>
              <w:jc w:val="left"/>
            </w:pPr>
            <w:r>
              <w:t xml:space="preserve">Closed form</w:t>
            </w:r>
          </w:p>
        </w:tc>
        <w:tc>
          <w:tcPr>
            <w:tcW w:type="dxa" w:w="1667"/>
            <w:tcBorders>
              <w:top w:val="nil"/>
              <w:left w:val="nil"/>
              <w:bottom w:val="single" w:sz="6" w:space="0" w:color="000000"/>
              <w:right w:val="nil"/>
            </w:tcBorders>
          </w:tcPr>
          <w:p>
            <w:pPr>
              <w:pStyle w:val="Compact"/>
              <w:jc w:val="left"/>
            </w:pPr>
            <w:r>
              <w:t xml:space="preserve">FE</w:t>
            </w:r>
          </w:p>
        </w:tc>
        <w:tc>
          <w:tcPr>
            <w:tcW w:type="dxa" w:w="1533"/>
            <w:tcBorders>
              <w:top w:val="nil"/>
              <w:left w:val="nil"/>
              <w:bottom w:val="single" w:sz="6" w:space="0" w:color="000000"/>
              <w:right w:val="nil"/>
            </w:tcBorders>
          </w:tcPr>
          <w:p>
            <w:pPr>
              <w:pStyle w:val="Compact"/>
              <w:jc w:val="left"/>
            </w:pPr>
            <w:r>
              <w:t xml:space="preserve">Difference</w:t>
            </w:r>
          </w:p>
        </w:tc>
      </w:tr>
      <w:tr>
        <w:tc>
          <w:tcPr>
            <w:tcW w:type="dxa" w:w="1934"/>
          </w:tcPr>
          <w:p>
            <w:pPr>
              <w:pStyle w:val="Compact"/>
              <w:jc w:val="left"/>
            </w:pPr>
            <w:r>
              <w:t xml:space="preserve">Equal spans</w:t>
            </w:r>
          </w:p>
        </w:tc>
        <w:tc>
          <w:tcPr>
            <w:tcW w:type="dxa" w:w="1133"/>
          </w:tcPr>
          <w:p>
            <w:pPr>
              <w:pStyle w:val="Compact"/>
              <w:jc w:val="left"/>
            </w:pPr>
            <w:r>
              <w:t xml:space="preserve">1.0</w:t>
            </w:r>
          </w:p>
        </w:tc>
        <w:tc>
          <w:tcPr>
            <w:tcW w:type="dxa" w:w="1133"/>
          </w:tcPr>
          <w:p>
            <w:pPr>
              <w:pStyle w:val="Compact"/>
              <w:jc w:val="left"/>
            </w:pPr>
            <w:r>
              <w:t xml:space="preserve">0.50</w:t>
            </w:r>
          </w:p>
        </w:tc>
        <w:tc>
          <w:tcPr>
            <w:tcW w:type="dxa" w:w="1667"/>
          </w:tcPr>
          <w:p>
            <w:pPr>
              <w:pStyle w:val="Compact"/>
              <w:jc w:val="left"/>
            </w:pPr>
            <w:r>
              <w:t xml:space="preserve">1.00000000</w:t>
            </w:r>
          </w:p>
        </w:tc>
        <w:tc>
          <w:tcPr>
            <w:tcW w:type="dxa" w:w="1667"/>
          </w:tcPr>
          <w:p>
            <w:pPr>
              <w:pStyle w:val="Compact"/>
              <w:jc w:val="left"/>
            </w:pPr>
            <w:r>
              <w:t xml:space="preserve">1.00000000</w:t>
            </w:r>
          </w:p>
        </w:tc>
        <w:tc>
          <w:tcPr>
            <w:tcW w:type="dxa" w:w="1533"/>
          </w:tcPr>
          <w:p>
            <w:pPr>
              <w:pStyle w:val="Compact"/>
              <w:jc w:val="left"/>
            </w:pPr>
            <w:r>
              <w:t xml:space="preserve">1 × 10⁻¹¹</w:t>
            </w:r>
          </w:p>
        </w:tc>
      </w:tr>
      <w:tr>
        <w:tc>
          <w:tcPr>
            <w:tcW w:type="dxa" w:w="1934"/>
          </w:tcPr>
          <w:p>
            <w:pPr>
              <w:pStyle w:val="Compact"/>
              <w:jc w:val="left"/>
            </w:pPr>
            <w:r>
              <w:t xml:space="preserve">Short adjacent span</w:t>
            </w:r>
          </w:p>
        </w:tc>
        <w:tc>
          <w:tcPr>
            <w:tcW w:type="dxa" w:w="1133"/>
          </w:tcPr>
          <w:p>
            <w:pPr>
              <w:pStyle w:val="Compact"/>
              <w:jc w:val="left"/>
            </w:pPr>
            <w:r>
              <w:t xml:space="preserve">0.5</w:t>
            </w:r>
          </w:p>
        </w:tc>
        <w:tc>
          <w:tcPr>
            <w:tcW w:type="dxa" w:w="1133"/>
          </w:tcPr>
          <w:p>
            <w:pPr>
              <w:pStyle w:val="Compact"/>
              <w:jc w:val="left"/>
            </w:pPr>
            <w:r>
              <w:t xml:space="preserve">0.50</w:t>
            </w:r>
          </w:p>
        </w:tc>
        <w:tc>
          <w:tcPr>
            <w:tcW w:type="dxa" w:w="1667"/>
          </w:tcPr>
          <w:p>
            <w:pPr>
              <w:pStyle w:val="Compact"/>
              <w:jc w:val="left"/>
            </w:pPr>
            <w:r>
              <w:t xml:space="preserve">1.37500000</w:t>
            </w:r>
          </w:p>
        </w:tc>
        <w:tc>
          <w:tcPr>
            <w:tcW w:type="dxa" w:w="1667"/>
          </w:tcPr>
          <w:p>
            <w:pPr>
              <w:pStyle w:val="Compact"/>
              <w:jc w:val="left"/>
            </w:pPr>
            <w:r>
              <w:t xml:space="preserve">1.37500000</w:t>
            </w:r>
          </w:p>
        </w:tc>
        <w:tc>
          <w:tcPr>
            <w:tcW w:type="dxa" w:w="1533"/>
          </w:tcPr>
          <w:p>
            <w:pPr>
              <w:pStyle w:val="Compact"/>
              <w:jc w:val="left"/>
            </w:pPr>
            <w:r>
              <w:t xml:space="preserve">1 × 10⁻¹¹</w:t>
            </w:r>
          </w:p>
        </w:tc>
      </w:tr>
      <w:tr>
        <w:tc>
          <w:tcPr>
            <w:tcW w:type="dxa" w:w="1934"/>
          </w:tcPr>
          <w:p>
            <w:pPr>
              <w:pStyle w:val="Compact"/>
              <w:jc w:val="left"/>
            </w:pPr>
            <w:r>
              <w:t xml:space="preserve">Long adjacent span</w:t>
            </w:r>
          </w:p>
        </w:tc>
        <w:tc>
          <w:tcPr>
            <w:tcW w:type="dxa" w:w="1133"/>
          </w:tcPr>
          <w:p>
            <w:pPr>
              <w:pStyle w:val="Compact"/>
              <w:jc w:val="left"/>
            </w:pPr>
            <w:r>
              <w:t xml:space="preserve">1.3</w:t>
            </w:r>
          </w:p>
        </w:tc>
        <w:tc>
          <w:tcPr>
            <w:tcW w:type="dxa" w:w="1133"/>
          </w:tcPr>
          <w:p>
            <w:pPr>
              <w:pStyle w:val="Compact"/>
              <w:jc w:val="left"/>
            </w:pPr>
            <w:r>
              <w:t xml:space="preserve">0.50</w:t>
            </w:r>
          </w:p>
        </w:tc>
        <w:tc>
          <w:tcPr>
            <w:tcW w:type="dxa" w:w="1667"/>
          </w:tcPr>
          <w:p>
            <w:pPr>
              <w:pStyle w:val="Compact"/>
              <w:jc w:val="left"/>
            </w:pPr>
            <w:r>
              <w:t xml:space="preserve">0.41500000</w:t>
            </w:r>
          </w:p>
        </w:tc>
        <w:tc>
          <w:tcPr>
            <w:tcW w:type="dxa" w:w="1667"/>
          </w:tcPr>
          <w:p>
            <w:pPr>
              <w:pStyle w:val="Compact"/>
              <w:jc w:val="left"/>
            </w:pPr>
            <w:r>
              <w:t xml:space="preserve">0.41500000</w:t>
            </w:r>
          </w:p>
        </w:tc>
        <w:tc>
          <w:tcPr>
            <w:tcW w:type="dxa" w:w="1533"/>
          </w:tcPr>
          <w:p>
            <w:pPr>
              <w:pStyle w:val="Compact"/>
              <w:jc w:val="left"/>
            </w:pPr>
            <w:r>
              <w:t xml:space="preserve">9 × 10⁻¹¹</w:t>
            </w:r>
          </w:p>
        </w:tc>
      </w:tr>
      <w:tr>
        <w:tc>
          <w:tcPr>
            <w:tcW w:type="dxa" w:w="1934"/>
          </w:tcPr>
          <w:p>
            <w:pPr>
              <w:pStyle w:val="Compact"/>
              <w:jc w:val="left"/>
            </w:pPr>
            <w:r>
              <w:t xml:space="preserve">Blind configuration</w:t>
            </w:r>
          </w:p>
        </w:tc>
        <w:tc>
          <w:tcPr>
            <w:tcW w:type="dxa" w:w="1133"/>
          </w:tcPr>
          <w:p>
            <w:pPr>
              <w:pStyle w:val="Compact"/>
              <w:jc w:val="left"/>
            </w:pPr>
            <w:r>
              <w:t xml:space="preserve">1.45743</w:t>
            </w:r>
          </w:p>
        </w:tc>
        <w:tc>
          <w:tcPr>
            <w:tcW w:type="dxa" w:w="1133"/>
          </w:tcPr>
          <w:p>
            <w:pPr>
              <w:pStyle w:val="Compact"/>
              <w:jc w:val="left"/>
            </w:pPr>
            <w:r>
              <w:t xml:space="preserve">0.50</w:t>
            </w:r>
          </w:p>
        </w:tc>
        <w:tc>
          <w:tcPr>
            <w:tcW w:type="dxa" w:w="1667"/>
          </w:tcPr>
          <w:p>
            <w:pPr>
              <w:pStyle w:val="Compact"/>
              <w:jc w:val="left"/>
            </w:pPr>
            <w:r>
              <w:t xml:space="preserve">0.00000000</w:t>
            </w:r>
          </w:p>
        </w:tc>
        <w:tc>
          <w:tcPr>
            <w:tcW w:type="dxa" w:w="1667"/>
          </w:tcPr>
          <w:p>
            <w:pPr>
              <w:pStyle w:val="Compact"/>
              <w:jc w:val="left"/>
            </w:pPr>
            <w:r>
              <w:t xml:space="preserve">0.00000000</w:t>
            </w:r>
          </w:p>
        </w:tc>
        <w:tc>
          <w:tcPr>
            <w:tcW w:type="dxa" w:w="1533"/>
          </w:tcPr>
          <w:p>
            <w:pPr>
              <w:pStyle w:val="Compact"/>
              <w:jc w:val="left"/>
            </w:pPr>
            <w:r>
              <w:t xml:space="preserve">7 × 10⁻¹¹</w:t>
            </w:r>
          </w:p>
        </w:tc>
      </w:tr>
      <w:tr>
        <w:tc>
          <w:tcPr>
            <w:tcW w:type="dxa" w:w="1934"/>
          </w:tcPr>
          <w:p>
            <w:pPr>
              <w:pStyle w:val="Compact"/>
              <w:jc w:val="left"/>
            </w:pPr>
            <w:r>
              <w:t xml:space="preserve">Beyond blind</w:t>
            </w:r>
          </w:p>
        </w:tc>
        <w:tc>
          <w:tcPr>
            <w:tcW w:type="dxa" w:w="1133"/>
          </w:tcPr>
          <w:p>
            <w:pPr>
              <w:pStyle w:val="Compact"/>
              <w:jc w:val="left"/>
            </w:pPr>
            <w:r>
              <w:t xml:space="preserve">2.0</w:t>
            </w:r>
          </w:p>
        </w:tc>
        <w:tc>
          <w:tcPr>
            <w:tcW w:type="dxa" w:w="1133"/>
          </w:tcPr>
          <w:p>
            <w:pPr>
              <w:pStyle w:val="Compact"/>
              <w:jc w:val="left"/>
            </w:pPr>
            <w:r>
              <w:t xml:space="preserve">0.50</w:t>
            </w:r>
          </w:p>
        </w:tc>
        <w:tc>
          <w:tcPr>
            <w:tcW w:type="dxa" w:w="1667"/>
          </w:tcPr>
          <w:p>
            <w:pPr>
              <w:pStyle w:val="Compact"/>
              <w:jc w:val="left"/>
            </w:pPr>
            <w:r>
              <w:t xml:space="preserve">−2.00000000</w:t>
            </w:r>
          </w:p>
        </w:tc>
        <w:tc>
          <w:tcPr>
            <w:tcW w:type="dxa" w:w="1667"/>
          </w:tcPr>
          <w:p>
            <w:pPr>
              <w:pStyle w:val="Compact"/>
              <w:jc w:val="left"/>
            </w:pPr>
            <w:r>
              <w:t xml:space="preserve">−2.00000000</w:t>
            </w:r>
          </w:p>
        </w:tc>
        <w:tc>
          <w:tcPr>
            <w:tcW w:type="dxa" w:w="1533"/>
          </w:tcPr>
          <w:p>
            <w:pPr>
              <w:pStyle w:val="Compact"/>
              <w:jc w:val="left"/>
            </w:pPr>
            <w:r>
              <w:t xml:space="preserve">8 × 10⁻¹²</w:t>
            </w:r>
          </w:p>
        </w:tc>
      </w:tr>
      <w:tr>
        <w:tc>
          <w:tcPr>
            <w:tcW w:type="dxa" w:w="1934"/>
          </w:tcPr>
          <w:p>
            <w:pPr>
              <w:pStyle w:val="Compact"/>
              <w:jc w:val="left"/>
            </w:pPr>
            <w:r>
              <w:t xml:space="preserve">Optimal sensor</w:t>
            </w:r>
          </w:p>
        </w:tc>
        <w:tc>
          <w:tcPr>
            <w:tcW w:type="dxa" w:w="1133"/>
          </w:tcPr>
          <w:p>
            <w:pPr>
              <w:pStyle w:val="Compact"/>
              <w:jc w:val="left"/>
            </w:pPr>
            <w:r>
              <w:t xml:space="preserve">1.0</w:t>
            </w:r>
          </w:p>
        </w:tc>
        <w:tc>
          <w:tcPr>
            <w:tcW w:type="dxa" w:w="1133"/>
          </w:tcPr>
          <w:p>
            <w:pPr>
              <w:pStyle w:val="Compact"/>
              <w:jc w:val="left"/>
            </w:pPr>
            <w:r>
              <w:t xml:space="preserve">0.42154</w:t>
            </w:r>
          </w:p>
        </w:tc>
        <w:tc>
          <w:tcPr>
            <w:tcW w:type="dxa" w:w="1667"/>
          </w:tcPr>
          <w:p>
            <w:pPr>
              <w:pStyle w:val="Compact"/>
              <w:jc w:val="left"/>
            </w:pPr>
            <w:r>
              <w:t xml:space="preserve">1.03989535</w:t>
            </w:r>
          </w:p>
        </w:tc>
        <w:tc>
          <w:tcPr>
            <w:tcW w:type="dxa" w:w="1667"/>
          </w:tcPr>
          <w:p>
            <w:pPr>
              <w:pStyle w:val="Compact"/>
              <w:jc w:val="left"/>
            </w:pPr>
            <w:r>
              <w:t xml:space="preserve">1.03989535</w:t>
            </w:r>
          </w:p>
        </w:tc>
        <w:tc>
          <w:tcPr>
            <w:tcW w:type="dxa" w:w="1533"/>
          </w:tcPr>
          <w:p>
            <w:pPr>
              <w:pStyle w:val="Compact"/>
              <w:jc w:val="left"/>
            </w:pPr>
            <w:r>
              <w:t xml:space="preserve">9 × 10⁻¹¹</w:t>
            </w:r>
          </w:p>
        </w:tc>
      </w:tr>
      <w:tr>
        <w:tc>
          <w:tcPr>
            <w:tcW w:type="dxa" w:w="1934"/>
          </w:tcPr>
          <w:p>
            <w:pPr>
              <w:pStyle w:val="Compact"/>
              <w:jc w:val="left"/>
            </w:pPr>
            <w:r>
              <w:t xml:space="preserve">Sensor near support</w:t>
            </w:r>
          </w:p>
        </w:tc>
        <w:tc>
          <w:tcPr>
            <w:tcW w:type="dxa" w:w="1133"/>
          </w:tcPr>
          <w:p>
            <w:pPr>
              <w:pStyle w:val="Compact"/>
              <w:jc w:val="left"/>
            </w:pPr>
            <w:r>
              <w:t xml:space="preserve">1.0</w:t>
            </w:r>
          </w:p>
        </w:tc>
        <w:tc>
          <w:tcPr>
            <w:tcW w:type="dxa" w:w="1133"/>
          </w:tcPr>
          <w:p>
            <w:pPr>
              <w:pStyle w:val="Compact"/>
              <w:jc w:val="left"/>
            </w:pPr>
            <w:r>
              <w:t xml:space="preserve">0.70</w:t>
            </w:r>
          </w:p>
        </w:tc>
        <w:tc>
          <w:tcPr>
            <w:tcW w:type="dxa" w:w="1667"/>
          </w:tcPr>
          <w:p>
            <w:pPr>
              <w:pStyle w:val="Compact"/>
              <w:jc w:val="left"/>
            </w:pPr>
            <w:r>
              <w:t xml:space="preserve">0.60480000</w:t>
            </w:r>
          </w:p>
        </w:tc>
        <w:tc>
          <w:tcPr>
            <w:tcW w:type="dxa" w:w="1667"/>
          </w:tcPr>
          <w:p>
            <w:pPr>
              <w:pStyle w:val="Compact"/>
              <w:jc w:val="left"/>
            </w:pPr>
            <w:r>
              <w:t xml:space="preserve">0.60480000</w:t>
            </w:r>
          </w:p>
        </w:tc>
        <w:tc>
          <w:tcPr>
            <w:tcW w:type="dxa" w:w="1533"/>
          </w:tcPr>
          <w:p>
            <w:pPr>
              <w:pStyle w:val="Compact"/>
              <w:jc w:val="left"/>
            </w:pPr>
            <w:r>
              <w:t xml:space="preserve">1 × 10⁻¹¹</w:t>
            </w:r>
          </w:p>
        </w:tc>
      </w:tr>
    </w:tbl>
    <w:p>
      <w:pPr>
        <w:pStyle w:val="BodyText"/>
      </w:pPr>
      <w:r>
        <w:t xml:space="preserve">Because both estimators of Section 2.4 divide by</w:t>
      </w:r>
      <w:r>
        <w:t xml:space="preserve"> </w:t>
      </w:r>
      <m:oMath>
        <m:sSub>
          <m:e>
            <m:r>
              <m:t>C</m:t>
            </m:r>
          </m:e>
          <m:sub>
            <m:r>
              <m:t>m</m:t>
            </m:r>
          </m:sub>
        </m:sSub>
      </m:oMath>
      <w:r>
        <w:t xml:space="preserve">, the configurations with</w:t>
      </w:r>
      <w:r>
        <w:t xml:space="preserve"> </w:t>
      </w:r>
      <m:oMath>
        <m:sSub>
          <m:e>
            <m:r>
              <m:t>C</m:t>
            </m:r>
          </m:e>
          <m:sub>
            <m:r>
              <m:t>m</m:t>
            </m:r>
          </m:sub>
        </m:sSub>
        <m:r>
          <m:rPr>
            <m:sty m:val="p"/>
          </m:rPr>
          <m:t>=</m:t>
        </m:r>
        <m:r>
          <m:t>0</m:t>
        </m:r>
      </m:oMath>
      <w:r>
        <w:t xml:space="preserve"> </w:t>
      </w:r>
      <w:r>
        <w:t xml:space="preserve">carry no information about the load. Setting</w:t>
      </w:r>
      <w:r>
        <w:t xml:space="preserve"> </w:t>
      </w:r>
      <m:oMath>
        <m:r>
          <m:t>F</m:t>
        </m:r>
        <m:r>
          <m:rPr>
            <m:sty m:val="p"/>
          </m:rPr>
          <m:t>=</m:t>
        </m:r>
        <m:r>
          <m:t>0</m:t>
        </m:r>
      </m:oMath>
      <w:r>
        <w:t xml:space="preserve"> </w:t>
      </w:r>
      <w:r>
        <w:t xml:space="preserve">gives a condition on</w:t>
      </w:r>
      <w:r>
        <w:t xml:space="preserve"> </w:t>
      </w:r>
      <m:oMath>
        <m:r>
          <m:t>μ</m:t>
        </m:r>
      </m:oMath>
      <w:r>
        <w:t xml:space="preserve"> </w:t>
      </w:r>
      <w:r>
        <w:t xml:space="preserve">alone, which inverts for the stiffness ratio:</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C</m:t>
                    </m:r>
                  </m:e>
                  <m:sub>
                    <m:r>
                      <m:t>m</m:t>
                    </m:r>
                  </m:sub>
                </m:sSub>
                <m:r>
                  <m:rPr>
                    <m:sty m:val="p"/>
                  </m:rPr>
                  <m:t>=</m:t>
                </m:r>
                <m:r>
                  <m:t>0</m:t>
                </m:r>
                <m:r>
                  <m:t> </m:t>
                </m:r>
                <m:r>
                  <m:rPr>
                    <m:sty m:val="p"/>
                  </m:rPr>
                  <m:t>⇔</m:t>
                </m:r>
                <m:r>
                  <m:t> </m:t>
                </m:r>
                <m:r>
                  <m:t>μ</m:t>
                </m:r>
                <m:r>
                  <m:rPr>
                    <m:sty m:val="p"/>
                  </m:rPr>
                  <m:t>=</m:t>
                </m:r>
                <m:sSub>
                  <m:e>
                    <m:r>
                      <m:t>μ</m:t>
                    </m:r>
                  </m:e>
                  <m:sub>
                    <m:r>
                      <m:rPr>
                        <m:sty m:val="p"/>
                      </m:rPr>
                      <m:t>c</m:t>
                    </m:r>
                    <m:r>
                      <m:rPr>
                        <m:sty m:val="p"/>
                      </m:rPr>
                      <m:t>r</m:t>
                    </m:r>
                    <m:r>
                      <m:rPr>
                        <m:sty m:val="p"/>
                      </m:rPr>
                      <m:t>i</m:t>
                    </m:r>
                    <m:r>
                      <m:rPr>
                        <m:sty m:val="p"/>
                      </m:rPr>
                      <m:t>t</m:t>
                    </m:r>
                  </m:sub>
                </m:sSub>
                <m:d>
                  <m:dPr>
                    <m:begChr m:val="("/>
                    <m:endChr m:val=")"/>
                    <m:sepChr m:val=""/>
                    <m:grow/>
                  </m:dPr>
                  <m:e>
                    <m:r>
                      <m:t>ξ</m:t>
                    </m:r>
                  </m:e>
                </m:d>
                <m:r>
                  <m:rPr>
                    <m:sty m:val="p"/>
                  </m:rPr>
                  <m:t>=</m:t>
                </m:r>
                <m:f>
                  <m:fPr>
                    <m:type m:val="bar"/>
                  </m:fPr>
                  <m:num>
                    <m:r>
                      <m:t>2</m:t>
                    </m:r>
                    <m:d>
                      <m:dPr>
                        <m:begChr m:val="("/>
                        <m:endChr m:val=")"/>
                        <m:sepChr m:val=""/>
                        <m:grow/>
                      </m:dPr>
                      <m:e>
                        <m:r>
                          <m:t>1</m:t>
                        </m:r>
                        <m:r>
                          <m:rPr>
                            <m:sty m:val="p"/>
                          </m:rPr>
                          <m:t>+</m:t>
                        </m:r>
                        <m:r>
                          <m:t>ξ</m:t>
                        </m:r>
                        <m:r>
                          <m:rPr>
                            <m:sty m:val="p"/>
                          </m:rPr>
                          <m:t>−</m:t>
                        </m:r>
                        <m:sSup>
                          <m:e>
                            <m:r>
                              <m:t>ξ</m:t>
                            </m:r>
                          </m:e>
                          <m:sup>
                            <m:r>
                              <m:t>2</m:t>
                            </m:r>
                          </m:sup>
                        </m:sSup>
                      </m:e>
                    </m:d>
                  </m:num>
                  <m:den>
                    <m:r>
                      <m:t>1</m:t>
                    </m:r>
                    <m:r>
                      <m:rPr>
                        <m:sty m:val="p"/>
                      </m:rPr>
                      <m:t>+</m:t>
                    </m:r>
                    <m:r>
                      <m:t>ξ</m:t>
                    </m:r>
                  </m:den>
                </m:f>
                <m:r>
                  <m:rPr>
                    <m:sty m:val="p"/>
                  </m:rPr>
                  <m:t>,</m:t>
                </m:r>
                <m:r>
                  <m:t>  </m:t>
                </m:r>
                <m:sSub>
                  <m:e>
                    <m:r>
                      <m:t>ρ</m:t>
                    </m:r>
                  </m:e>
                  <m:sub>
                    <m:r>
                      <m:t>E</m:t>
                    </m:r>
                    <m:r>
                      <m:t>I</m:t>
                    </m:r>
                    <m:r>
                      <m:rPr>
                        <m:sty m:val="p"/>
                      </m:rPr>
                      <m:t>,</m:t>
                    </m:r>
                    <m:r>
                      <m:rPr>
                        <m:sty m:val="p"/>
                      </m:rPr>
                      <m:t>c</m:t>
                    </m:r>
                    <m:r>
                      <m:rPr>
                        <m:sty m:val="p"/>
                      </m:rPr>
                      <m:t>r</m:t>
                    </m:r>
                    <m:r>
                      <m:rPr>
                        <m:sty m:val="p"/>
                      </m:rPr>
                      <m:t>i</m:t>
                    </m:r>
                    <m:r>
                      <m:rPr>
                        <m:sty m:val="p"/>
                      </m:rPr>
                      <m:t>t</m:t>
                    </m:r>
                  </m:sub>
                </m:sSub>
                <m:r>
                  <m:rPr>
                    <m:sty m:val="p"/>
                  </m:rPr>
                  <m:t>=</m:t>
                </m:r>
                <m:f>
                  <m:fPr>
                    <m:type m:val="bar"/>
                  </m:fPr>
                  <m:num>
                    <m:sSub>
                      <m:e>
                        <m:r>
                          <m:t>ρ</m:t>
                        </m:r>
                      </m:e>
                      <m:sub>
                        <m:r>
                          <m:t>L</m:t>
                        </m:r>
                      </m:sub>
                    </m:sSub>
                    <m:d>
                      <m:dPr>
                        <m:begChr m:val="("/>
                        <m:endChr m:val=")"/>
                        <m:sepChr m:val=""/>
                        <m:grow/>
                      </m:dPr>
                      <m:e>
                        <m:sSubSup>
                          <m:e>
                            <m:r>
                              <m:t>ρ</m:t>
                            </m:r>
                          </m:e>
                          <m:sub>
                            <m:r>
                              <m:t>L</m:t>
                            </m:r>
                          </m:sub>
                          <m:sup>
                            <m:r>
                              <m:t>2</m:t>
                            </m:r>
                          </m:sup>
                        </m:sSubSup>
                        <m:r>
                          <m:rPr>
                            <m:sty m:val="p"/>
                          </m:rPr>
                          <m:t>−</m:t>
                        </m:r>
                        <m:sSub>
                          <m:e>
                            <m:r>
                              <m:t>μ</m:t>
                            </m:r>
                          </m:e>
                          <m:sub>
                            <m:r>
                              <m:rPr>
                                <m:sty m:val="p"/>
                              </m:rPr>
                              <m:t>c</m:t>
                            </m:r>
                            <m:r>
                              <m:rPr>
                                <m:sty m:val="p"/>
                              </m:rPr>
                              <m:t>r</m:t>
                            </m:r>
                            <m:r>
                              <m:rPr>
                                <m:sty m:val="p"/>
                              </m:rPr>
                              <m:t>i</m:t>
                            </m:r>
                            <m:r>
                              <m:rPr>
                                <m:sty m:val="p"/>
                              </m:rPr>
                              <m:t>t</m:t>
                            </m:r>
                          </m:sub>
                        </m:sSub>
                      </m:e>
                    </m:d>
                  </m:num>
                  <m:den>
                    <m:sSub>
                      <m:e>
                        <m:r>
                          <m:t>μ</m:t>
                        </m:r>
                      </m:e>
                      <m:sub>
                        <m:r>
                          <m:rPr>
                            <m:sty m:val="p"/>
                          </m:rPr>
                          <m:t>c</m:t>
                        </m:r>
                        <m:r>
                          <m:rPr>
                            <m:sty m:val="p"/>
                          </m:rPr>
                          <m:t>r</m:t>
                        </m:r>
                        <m:r>
                          <m:rPr>
                            <m:sty m:val="p"/>
                          </m:rPr>
                          <m:t>i</m:t>
                        </m:r>
                        <m:r>
                          <m:rPr>
                            <m:sty m:val="p"/>
                          </m:rPr>
                          <m:t>t</m:t>
                        </m:r>
                      </m:sub>
                    </m:sSub>
                    <m:r>
                      <m:rPr>
                        <m:sty m:val="p"/>
                      </m:rPr>
                      <m:t>−</m:t>
                    </m:r>
                    <m:r>
                      <m:t>1</m:t>
                    </m:r>
                  </m:den>
                </m:f>
                <m:r>
                  <m:rPr>
                    <m:sty m:val="p"/>
                  </m:rPr>
                  <m:t>.</m:t>
                </m:r>
              </m:oMath>
            </m:oMathPara>
          </w:p>
        </w:tc>
        <w:tc>
          <w:tcPr>
            <w:tcW w:type="dxa" w:w="1088"/>
            <w:vAlign w:val="center"/>
          </w:tcPr>
          <w:p>
            <w:pPr>
              <w:jc w:val="right"/>
            </w:pPr>
            <w:r>
              <w:t xml:space="preserve">(6)</w:t>
            </w:r>
          </w:p>
        </w:tc>
      </w:tr>
    </w:tbl>
    <w:p>
      <w:pPr>
        <w:pStyle w:val="BodyText"/>
      </w:pPr>
      <w:r>
        <w:t xml:space="preserve">For a mid-span sensor</w:t>
      </w:r>
      <w:r>
        <w:t xml:space="preserve"> </w:t>
      </w:r>
      <m:oMath>
        <m:sSub>
          <m:e>
            <m:r>
              <m:t>μ</m:t>
            </m:r>
          </m:e>
          <m:sub>
            <m:r>
              <m:rPr>
                <m:sty m:val="p"/>
              </m:rPr>
              <m:t>c</m:t>
            </m:r>
            <m:r>
              <m:rPr>
                <m:sty m:val="p"/>
              </m:rPr>
              <m:t>r</m:t>
            </m:r>
            <m:r>
              <m:rPr>
                <m:sty m:val="p"/>
              </m:rPr>
              <m:t>i</m:t>
            </m:r>
            <m:r>
              <m:rPr>
                <m:sty m:val="p"/>
              </m:rPr>
              <m:t>t</m:t>
            </m:r>
          </m:sub>
        </m:sSub>
        <m:r>
          <m:rPr>
            <m:sty m:val="p"/>
          </m:rPr>
          <m:t>=</m:t>
        </m:r>
        <m:r>
          <m:t>5</m:t>
        </m:r>
        <m:r>
          <m:rPr>
            <m:sty m:val="p"/>
          </m:rPr>
          <m:t>/</m:t>
        </m:r>
        <m:r>
          <m:t>3</m:t>
        </m:r>
      </m:oMath>
      <w:r>
        <w:t xml:space="preserve">. With uniform stiffness the blind condition is</w:t>
      </w:r>
      <w:r>
        <w:t xml:space="preserve"> </w:t>
      </w:r>
      <m:oMath>
        <m:r>
          <m:t>3</m:t>
        </m:r>
        <m:sSubSup>
          <m:e>
            <m:r>
              <m:t>ρ</m:t>
            </m:r>
          </m:e>
          <m:sub>
            <m:r>
              <m:t>L</m:t>
            </m:r>
          </m:sub>
          <m:sup>
            <m:r>
              <m:t>2</m:t>
            </m:r>
          </m:sup>
        </m:sSubSup>
        <m:r>
          <m:rPr>
            <m:sty m:val="p"/>
          </m:rPr>
          <m:t>−</m:t>
        </m:r>
        <m:r>
          <m:t>3</m:t>
        </m:r>
        <m:sSub>
          <m:e>
            <m:r>
              <m:t>ρ</m:t>
            </m:r>
          </m:e>
          <m:sub>
            <m:r>
              <m:t>L</m:t>
            </m:r>
          </m:sub>
        </m:sSub>
        <m:r>
          <m:rPr>
            <m:sty m:val="p"/>
          </m:rPr>
          <m:t>−</m:t>
        </m:r>
        <m:r>
          <m:t>2</m:t>
        </m:r>
        <m:r>
          <m:rPr>
            <m:sty m:val="p"/>
          </m:rPr>
          <m:t>=</m:t>
        </m:r>
        <m:r>
          <m:t>0</m:t>
        </m:r>
      </m:oMath>
      <w:r>
        <w:t xml:space="preserve">, and maximising</w:t>
      </w:r>
      <w:r>
        <w:t xml:space="preserve"> </w:t>
      </w:r>
      <m:oMath>
        <m:sSub>
          <m:e>
            <m:r>
              <m:t>C</m:t>
            </m:r>
          </m:e>
          <m:sub>
            <m:r>
              <m:t>m</m:t>
            </m:r>
          </m:sub>
        </m:sSub>
      </m:oMath>
      <w:r>
        <w:t xml:space="preserve"> </w:t>
      </w:r>
      <w:r>
        <w:t xml:space="preserve">over</w:t>
      </w:r>
      <w:r>
        <w:t xml:space="preserve"> </w:t>
      </w:r>
      <m:oMath>
        <m:r>
          <m:t>ξ</m:t>
        </m:r>
      </m:oMath>
      <w:r>
        <w:t xml:space="preserve"> </w:t>
      </w:r>
      <w:r>
        <w:t xml:space="preserve">at</w:t>
      </w:r>
      <w:r>
        <w:t xml:space="preserve"> </w:t>
      </w:r>
      <m:oMath>
        <m:r>
          <m:t>μ</m:t>
        </m:r>
        <m:r>
          <m:rPr>
            <m:sty m:val="p"/>
          </m:rPr>
          <m:t>=</m:t>
        </m:r>
        <m:r>
          <m:t>1</m:t>
        </m:r>
      </m:oMath>
      <w:r>
        <w:t xml:space="preserve"> </w:t>
      </w:r>
      <w:r>
        <w:t xml:space="preserve">gives</w:t>
      </w:r>
      <w:r>
        <w:t xml:space="preserve"> </w:t>
      </w:r>
      <m:oMath>
        <m:r>
          <m:t>8</m:t>
        </m:r>
        <m:sSup>
          <m:e>
            <m:r>
              <m:t>ξ</m:t>
            </m:r>
          </m:e>
          <m:sup>
            <m:r>
              <m:t>2</m:t>
            </m:r>
          </m:sup>
        </m:sSup>
        <m:r>
          <m:rPr>
            <m:sty m:val="p"/>
          </m:rPr>
          <m:t>−</m:t>
        </m:r>
        <m:r>
          <m:t>ξ</m:t>
        </m:r>
        <m:r>
          <m:rPr>
            <m:sty m:val="p"/>
          </m:rPr>
          <m:t>−</m:t>
        </m:r>
        <m:r>
          <m:t>1</m:t>
        </m:r>
        <m:r>
          <m:rPr>
            <m:sty m:val="p"/>
          </m:rPr>
          <m:t>=</m:t>
        </m:r>
        <m:r>
          <m:t>0</m:t>
        </m:r>
      </m:oMath>
      <w:r>
        <w:t xml:space="preserve">. Both roots are exact:</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ρ</m:t>
                    </m:r>
                  </m:e>
                  <m:sub>
                    <m:r>
                      <m:t>L</m:t>
                    </m:r>
                    <m:r>
                      <m:rPr>
                        <m:sty m:val="p"/>
                      </m:rPr>
                      <m:t>,</m:t>
                    </m:r>
                    <m:r>
                      <m:rPr>
                        <m:sty m:val="p"/>
                      </m:rPr>
                      <m:t>c</m:t>
                    </m:r>
                    <m:r>
                      <m:rPr>
                        <m:sty m:val="p"/>
                      </m:rPr>
                      <m:t>r</m:t>
                    </m:r>
                    <m:r>
                      <m:rPr>
                        <m:sty m:val="p"/>
                      </m:rPr>
                      <m:t>i</m:t>
                    </m:r>
                    <m:r>
                      <m:rPr>
                        <m:sty m:val="p"/>
                      </m:rPr>
                      <m:t>t</m:t>
                    </m:r>
                  </m:sub>
                </m:sSub>
                <m:r>
                  <m:rPr>
                    <m:sty m:val="p"/>
                  </m:rPr>
                  <m:t>=</m:t>
                </m:r>
                <m:f>
                  <m:fPr>
                    <m:type m:val="bar"/>
                  </m:fPr>
                  <m:num>
                    <m:r>
                      <m:t>3</m:t>
                    </m:r>
                    <m:r>
                      <m:rPr>
                        <m:sty m:val="p"/>
                      </m:rPr>
                      <m:t>+</m:t>
                    </m:r>
                    <m:rad>
                      <m:radPr>
                        <m:degHide m:val="on"/>
                      </m:radPr>
                      <m:deg/>
                      <m:e>
                        <m:r>
                          <m:t>33</m:t>
                        </m:r>
                      </m:e>
                    </m:rad>
                  </m:num>
                  <m:den>
                    <m:r>
                      <m:t>6</m:t>
                    </m:r>
                  </m:den>
                </m:f>
                <m:r>
                  <m:rPr>
                    <m:sty m:val="p"/>
                  </m:rPr>
                  <m:t>=</m:t>
                </m:r>
                <m:r>
                  <m:t>1.45743</m:t>
                </m:r>
                <m:r>
                  <m:rPr>
                    <m:sty m:val="p"/>
                  </m:rPr>
                  <m:t>,</m:t>
                </m:r>
                <m:r>
                  <m:t>  </m:t>
                </m:r>
                <m:sSup>
                  <m:e>
                    <m:r>
                      <m:t>ξ</m:t>
                    </m:r>
                  </m:e>
                  <m:sup>
                    <m:r>
                      <m:rPr>
                        <m:sty m:val="p"/>
                      </m:rPr>
                      <m:t>*</m:t>
                    </m:r>
                  </m:sup>
                </m:sSup>
                <m:r>
                  <m:rPr>
                    <m:sty m:val="p"/>
                  </m:rPr>
                  <m:t>=</m:t>
                </m:r>
                <m:f>
                  <m:fPr>
                    <m:type m:val="bar"/>
                  </m:fPr>
                  <m:num>
                    <m:r>
                      <m:t>1</m:t>
                    </m:r>
                    <m:r>
                      <m:rPr>
                        <m:sty m:val="p"/>
                      </m:rPr>
                      <m:t>+</m:t>
                    </m:r>
                    <m:rad>
                      <m:radPr>
                        <m:degHide m:val="on"/>
                      </m:radPr>
                      <m:deg/>
                      <m:e>
                        <m:r>
                          <m:t>33</m:t>
                        </m:r>
                      </m:e>
                    </m:rad>
                  </m:num>
                  <m:den>
                    <m:r>
                      <m:t>16</m:t>
                    </m:r>
                  </m:den>
                </m:f>
                <m:r>
                  <m:rPr>
                    <m:sty m:val="p"/>
                  </m:rPr>
                  <m:t>=</m:t>
                </m:r>
                <m:r>
                  <m:t>0.42154</m:t>
                </m:r>
                <m:r>
                  <m:rPr>
                    <m:sty m:val="p"/>
                  </m:rPr>
                  <m:t>.</m:t>
                </m:r>
              </m:oMath>
            </m:oMathPara>
          </w:p>
        </w:tc>
        <w:tc>
          <w:tcPr>
            <w:tcW w:type="dxa" w:w="1088"/>
            <w:vAlign w:val="center"/>
          </w:tcPr>
          <w:p>
            <w:pPr>
              <w:jc w:val="right"/>
            </w:pPr>
            <w:r>
              <w:t xml:space="preserve">(7)</w:t>
            </w:r>
          </w:p>
        </w:tc>
      </w:tr>
    </w:tbl>
    <w:p>
      <w:pPr>
        <w:pStyle w:val="BodyText"/>
      </w:pPr>
      <w:r>
        <w:t xml:space="preserve">Beyond</w:t>
      </w:r>
      <w:r>
        <w:t xml:space="preserve"> </w:t>
      </w:r>
      <m:oMath>
        <m:sSub>
          <m:e>
            <m:r>
              <m:t>ρ</m:t>
            </m:r>
          </m:e>
          <m:sub>
            <m:r>
              <m:t>L</m:t>
            </m:r>
            <m:r>
              <m:rPr>
                <m:sty m:val="p"/>
              </m:rPr>
              <m:t>,</m:t>
            </m:r>
            <m:r>
              <m:rPr>
                <m:sty m:val="p"/>
              </m:rPr>
              <m:t>c</m:t>
            </m:r>
            <m:r>
              <m:rPr>
                <m:sty m:val="p"/>
              </m:rPr>
              <m:t>r</m:t>
            </m:r>
            <m:r>
              <m:rPr>
                <m:sty m:val="p"/>
              </m:rPr>
              <m:t>i</m:t>
            </m:r>
            <m:r>
              <m:rPr>
                <m:sty m:val="p"/>
              </m:rPr>
              <m:t>t</m:t>
            </m:r>
          </m:sub>
        </m:sSub>
      </m:oMath>
      <w:r>
        <w:t xml:space="preserve"> </w:t>
      </w:r>
      <w:r>
        <w:t xml:space="preserve">the constant changes sign but remains observable, because the estimators need only</w:t>
      </w:r>
      <w:r>
        <w:t xml:space="preserve"> </w:t>
      </w:r>
      <m:oMath>
        <m:sSub>
          <m:e>
            <m:r>
              <m:t>C</m:t>
            </m:r>
          </m:e>
          <m:sub>
            <m:r>
              <m:t>m</m:t>
            </m:r>
          </m:sub>
        </m:sSub>
        <m:r>
          <m:rPr>
            <m:sty m:val="p"/>
          </m:rPr>
          <m:t>≠</m:t>
        </m:r>
        <m:r>
          <m:t>0</m:t>
        </m:r>
      </m:oMath>
      <w:r>
        <w:t xml:space="preserve">: at</w:t>
      </w:r>
      <w:r>
        <w:t xml:space="preserve"> </w:t>
      </w:r>
      <m:oMath>
        <m:sSub>
          <m:e>
            <m:r>
              <m:t>ρ</m:t>
            </m:r>
          </m:e>
          <m:sub>
            <m:r>
              <m:t>L</m:t>
            </m:r>
          </m:sub>
        </m:sSub>
        <m:r>
          <m:rPr>
            <m:sty m:val="p"/>
          </m:rPr>
          <m:t>=</m:t>
        </m:r>
        <m:r>
          <m:t>2</m:t>
        </m:r>
      </m:oMath>
      <w:r>
        <w:t xml:space="preserve">,</w:t>
      </w:r>
      <w:r>
        <w:t xml:space="preserve"> </w:t>
      </w:r>
      <m:oMath>
        <m:d>
          <m:dPr>
            <m:begChr m:val="|"/>
            <m:endChr m:val="|"/>
            <m:sepChr m:val=""/>
            <m:grow/>
          </m:dPr>
          <m:e>
            <m:r>
              <m:t>192</m:t>
            </m:r>
            <m:r>
              <m:t>E</m:t>
            </m:r>
            <m:sSub>
              <m:e>
                <m:r>
                  <m:t>I</m:t>
                </m:r>
              </m:e>
              <m:sub>
                <m:r>
                  <m:t>1</m:t>
                </m:r>
              </m:sub>
            </m:sSub>
            <m:sSub>
              <m:e>
                <m:r>
                  <m:t>C</m:t>
                </m:r>
              </m:e>
              <m:sub>
                <m:r>
                  <m:t>m</m:t>
                </m:r>
              </m:sub>
            </m:sSub>
            <m:r>
              <m:rPr>
                <m:sty m:val="p"/>
              </m:rPr>
              <m:t>/</m:t>
            </m:r>
            <m:sSubSup>
              <m:e>
                <m:r>
                  <m:t>L</m:t>
                </m:r>
              </m:e>
              <m:sub>
                <m:r>
                  <m:t>1</m:t>
                </m:r>
              </m:sub>
              <m:sup>
                <m:r>
                  <m:t>4</m:t>
                </m:r>
              </m:sup>
            </m:sSubSup>
          </m:e>
        </m:d>
        <m:r>
          <m:rPr>
            <m:sty m:val="p"/>
          </m:rPr>
          <m:t>=</m:t>
        </m:r>
        <m:r>
          <m:t>2.0</m:t>
        </m:r>
      </m:oMath>
      <w:r>
        <w:t xml:space="preserve">, twice the equal-span value. The response is then dominated by the uninstrumented span, so the constant depends mainly on the rigidity and supports of that span, and the record is processed with its sign reversed. Observability is lost only at the blind configuration and degrades in a band on both sides of it. At</w:t>
      </w:r>
      <w:r>
        <w:t xml:space="preserve"> </w:t>
      </w:r>
      <m:oMath>
        <m:sSup>
          <m:e>
            <m:r>
              <m:t>ξ</m:t>
            </m:r>
          </m:e>
          <m:sup>
            <m:r>
              <m:rPr>
                <m:sty m:val="p"/>
              </m:rPr>
              <m:t>*</m:t>
            </m:r>
          </m:sup>
        </m:sSup>
      </m:oMath>
      <w:r>
        <w:t xml:space="preserve"> </w:t>
      </w:r>
      <w:r>
        <w:t xml:space="preserve">the constant exceeds its mid-span value only by the factor 1.039895, whereas it falls to 10 % of its maximum at</w:t>
      </w:r>
      <w:r>
        <w:t xml:space="preserve"> </w:t>
      </w:r>
      <m:oMath>
        <m:r>
          <m:t>0.9</m:t>
        </m:r>
        <m:sSub>
          <m:e>
            <m:r>
              <m:t>L</m:t>
            </m:r>
          </m:e>
          <m:sub>
            <m:r>
              <m:t>1</m:t>
            </m:r>
          </m:sub>
        </m:sSub>
      </m:oMath>
      <w:r>
        <w:t xml:space="preserve">.</w:t>
      </w:r>
    </w:p>
    <w:p>
      <w:pPr>
        <w:pStyle w:val="BodyText"/>
      </w:pPr>
      <w:r>
        <w:t xml:space="preserve">The degeneracy is driven almost entirely by the adjacent span: its negative contribution grows much faster with</w:t>
      </w:r>
      <w:r>
        <w:t xml:space="preserve"> </w:t>
      </w:r>
      <m:oMath>
        <m:sSub>
          <m:e>
            <m:r>
              <m:t>ρ</m:t>
            </m:r>
          </m:e>
          <m:sub>
            <m:r>
              <m:t>L</m:t>
            </m:r>
          </m:sub>
        </m:sSub>
      </m:oMath>
      <w:r>
        <w:t xml:space="preserve"> </w:t>
      </w:r>
      <w:r>
        <w:t xml:space="preserve">than the positive contribution of the instrumented span, and the same decomposition places the optimum off mid-span (Appendix A).</w:t>
      </w:r>
    </w:p>
    <w:p>
      <w:pPr>
        <w:pStyle w:val="BodyText"/>
      </w:pPr>
      <w:r>
        <w:t xml:space="preserve">Since</w:t>
      </w:r>
      <w:r>
        <w:t xml:space="preserve"> </w:t>
      </w:r>
      <m:oMath>
        <m:r>
          <m:rPr>
            <m:sty m:val="p"/>
          </m:rPr>
          <m:t>∂</m:t>
        </m:r>
        <m:r>
          <m:t>μ</m:t>
        </m:r>
        <m:r>
          <m:rPr>
            <m:sty m:val="p"/>
          </m:rPr>
          <m:t>/</m:t>
        </m:r>
        <m:r>
          <m:rPr>
            <m:sty m:val="p"/>
          </m:rPr>
          <m:t>∂</m:t>
        </m:r>
        <m:sSub>
          <m:e>
            <m:r>
              <m:t>ρ</m:t>
            </m:r>
          </m:e>
          <m:sub>
            <m:r>
              <m:t>E</m:t>
            </m:r>
            <m:r>
              <m:t>I</m:t>
            </m:r>
          </m:sub>
        </m:sSub>
        <m:r>
          <m:rPr>
            <m:sty m:val="p"/>
          </m:rPr>
          <m:t>∝</m:t>
        </m:r>
        <m:sSub>
          <m:e>
            <m:r>
              <m:t>ρ</m:t>
            </m:r>
          </m:e>
          <m:sub>
            <m:r>
              <m:t>L</m:t>
            </m:r>
          </m:sub>
        </m:sSub>
        <m:d>
          <m:dPr>
            <m:begChr m:val="("/>
            <m:endChr m:val=")"/>
            <m:sepChr m:val=""/>
            <m:grow/>
          </m:dPr>
          <m:e>
            <m:r>
              <m:t>1</m:t>
            </m:r>
            <m:r>
              <m:rPr>
                <m:sty m:val="p"/>
              </m:rPr>
              <m:t>−</m:t>
            </m:r>
            <m:sSubSup>
              <m:e>
                <m:r>
                  <m:t>ρ</m:t>
                </m:r>
              </m:e>
              <m:sub>
                <m:r>
                  <m:t>L</m:t>
                </m:r>
              </m:sub>
              <m:sup>
                <m:r>
                  <m:t>2</m:t>
                </m:r>
              </m:sup>
            </m:sSubSup>
          </m:e>
        </m:d>
      </m:oMath>
      <w:r>
        <w:t xml:space="preserve">, stiffening a long adjacent span raises</w:t>
      </w:r>
      <w:r>
        <w:t xml:space="preserve"> </w:t>
      </w:r>
      <m:oMath>
        <m:sSub>
          <m:e>
            <m:r>
              <m:t>C</m:t>
            </m:r>
          </m:e>
          <m:sub>
            <m:r>
              <m:t>m</m:t>
            </m:r>
          </m:sub>
        </m:sSub>
      </m:oMath>
      <w:r>
        <w:t xml:space="preserve"> </w:t>
      </w:r>
      <w:r>
        <w:t xml:space="preserve">and stiffening a short one lowers it. At</w:t>
      </w:r>
      <w:r>
        <w:t xml:space="preserve"> </w:t>
      </w:r>
      <m:oMath>
        <m:sSub>
          <m:e>
            <m:r>
              <m:t>ρ</m:t>
            </m:r>
          </m:e>
          <m:sub>
            <m:r>
              <m:t>L</m:t>
            </m:r>
          </m:sub>
        </m:sSub>
        <m:r>
          <m:rPr>
            <m:sty m:val="p"/>
          </m:rPr>
          <m:t>=</m:t>
        </m:r>
        <m:r>
          <m:t>1.6</m:t>
        </m:r>
      </m:oMath>
      <w:r>
        <w:t xml:space="preserve"> </w:t>
      </w:r>
      <w:r>
        <w:t xml:space="preserve">the constant rises from −0.78 at</w:t>
      </w:r>
      <w:r>
        <w:t xml:space="preserve"> </w:t>
      </w:r>
      <m:oMath>
        <m:sSub>
          <m:e>
            <m:r>
              <m:t>ρ</m:t>
            </m:r>
          </m:e>
          <m:sub>
            <m:r>
              <m:t>E</m:t>
            </m:r>
            <m:r>
              <m:t>I</m:t>
            </m:r>
          </m:sub>
        </m:sSub>
        <m:r>
          <m:rPr>
            <m:sty m:val="p"/>
          </m:rPr>
          <m:t>=</m:t>
        </m:r>
        <m:r>
          <m:t>0.5</m:t>
        </m:r>
      </m:oMath>
      <w:r>
        <w:t xml:space="preserve"> </w:t>
      </w:r>
      <w:r>
        <w:t xml:space="preserve">to +0.33 at</w:t>
      </w:r>
      <w:r>
        <w:t xml:space="preserve"> </w:t>
      </w:r>
      <m:oMath>
        <m:sSub>
          <m:e>
            <m:r>
              <m:t>ρ</m:t>
            </m:r>
          </m:e>
          <m:sub>
            <m:r>
              <m:t>E</m:t>
            </m:r>
            <m:r>
              <m:t>I</m:t>
            </m:r>
          </m:sub>
        </m:sSub>
        <m:r>
          <m:rPr>
            <m:sty m:val="p"/>
          </m:rPr>
          <m:t>=</m:t>
        </m:r>
        <m:r>
          <m:t>4</m:t>
        </m:r>
      </m:oMath>
      <w:r>
        <w:t xml:space="preserve">, crossing zero at</w:t>
      </w:r>
      <w:r>
        <w:t xml:space="preserve"> </w:t>
      </w:r>
      <m:oMath>
        <m:sSub>
          <m:e>
            <m:r>
              <m:t>ρ</m:t>
            </m:r>
          </m:e>
          <m:sub>
            <m:r>
              <m:t>E</m:t>
            </m:r>
            <m:r>
              <m:t>I</m:t>
            </m:r>
          </m:sub>
        </m:sSub>
        <m:r>
          <m:rPr>
            <m:sty m:val="p"/>
          </m:rPr>
          <m:t>=</m:t>
        </m:r>
        <m:r>
          <m:t>2.14</m:t>
        </m:r>
      </m:oMath>
      <w:r>
        <w:t xml:space="preserve">. Blindness belongs to the pair (configuration, sensor position), not to the structure: at</w:t>
      </w:r>
      <w:r>
        <w:t xml:space="preserve"> </w:t>
      </w:r>
      <m:oMath>
        <m:sSub>
          <m:e>
            <m:r>
              <m:t>ρ</m:t>
            </m:r>
          </m:e>
          <m:sub>
            <m:r>
              <m:t>L</m:t>
            </m:r>
          </m:sub>
        </m:sSub>
        <m:r>
          <m:rPr>
            <m:sty m:val="p"/>
          </m:rPr>
          <m:t>=</m:t>
        </m:r>
        <m:r>
          <m:t>1.45</m:t>
        </m:r>
      </m:oMath>
      <w:r>
        <w:t xml:space="preserve"> </w:t>
      </w:r>
      <w:r>
        <w:t xml:space="preserve">a mid-span sensor gives 0.021, whereas a sensor at</w:t>
      </w:r>
      <w:r>
        <w:t xml:space="preserve"> </w:t>
      </w:r>
      <m:oMath>
        <m:r>
          <m:t>ξ</m:t>
        </m:r>
        <m:r>
          <m:rPr>
            <m:sty m:val="p"/>
          </m:rPr>
          <m:t>=</m:t>
        </m:r>
        <m:r>
          <m:t>0.266</m:t>
        </m:r>
      </m:oMath>
      <w:r>
        <w:t xml:space="preserve"> </w:t>
      </w:r>
      <w:r>
        <w:t xml:space="preserve">gives 0.233. Fig. 2 maps the constant over the two ratios with the blind locus of Eq. (6) and the near-blind band</w:t>
      </w:r>
      <w:r>
        <w:t xml:space="preserve"> </w:t>
      </w:r>
      <m:oMath>
        <m:d>
          <m:dPr>
            <m:begChr m:val="|"/>
            <m:endChr m:val="|"/>
            <m:sepChr m:val=""/>
            <m:grow/>
          </m:dPr>
          <m:e>
            <m:r>
              <m:t>192</m:t>
            </m:r>
            <m:r>
              <m:t>E</m:t>
            </m:r>
            <m:sSub>
              <m:e>
                <m:r>
                  <m:t>I</m:t>
                </m:r>
              </m:e>
              <m:sub>
                <m:r>
                  <m:t>1</m:t>
                </m:r>
              </m:sub>
            </m:sSub>
            <m:sSub>
              <m:e>
                <m:r>
                  <m:t>C</m:t>
                </m:r>
              </m:e>
              <m:sub>
                <m:r>
                  <m:t>m</m:t>
                </m:r>
              </m:sub>
            </m:sSub>
            <m:r>
              <m:rPr>
                <m:sty m:val="p"/>
              </m:rPr>
              <m:t>/</m:t>
            </m:r>
            <m:sSubSup>
              <m:e>
                <m:r>
                  <m:t>L</m:t>
                </m:r>
              </m:e>
              <m:sub>
                <m:r>
                  <m:t>1</m:t>
                </m:r>
              </m:sub>
              <m:sup>
                <m:r>
                  <m:t>4</m:t>
                </m:r>
              </m:sup>
            </m:sSubSup>
          </m:e>
        </m:d>
        <m:r>
          <m:rPr>
            <m:sty m:val="p"/>
          </m:rPr>
          <m:t>&lt;</m:t>
        </m:r>
        <m:r>
          <m:t>0.2</m:t>
        </m:r>
      </m:oMath>
      <w:r>
        <w:t xml:space="preserve">, where the measurement sensitivity exceeds five times its equal-span value. For a mid-span sensor and uniform stiffness this band spans</w:t>
      </w:r>
      <w:r>
        <w:t xml:space="preserve"> </w:t>
      </w:r>
      <m:oMath>
        <m:r>
          <m:t>1.385</m:t>
        </m:r>
        <m:r>
          <m:rPr>
            <m:sty m:val="p"/>
          </m:rPr>
          <m:t>&lt;</m:t>
        </m:r>
        <m:sSub>
          <m:e>
            <m:r>
              <m:t>ρ</m:t>
            </m:r>
          </m:e>
          <m:sub>
            <m:r>
              <m:t>L</m:t>
            </m:r>
          </m:sub>
        </m:sSub>
        <m:r>
          <m:rPr>
            <m:sty m:val="p"/>
          </m:rPr>
          <m:t>&lt;</m:t>
        </m:r>
        <m:r>
          <m:t>1.525</m:t>
        </m:r>
      </m:oMath>
      <w:r>
        <w:t xml:space="preserve">, on both sides of the blind ratio.</w:t>
      </w:r>
    </w:p>
    <w:bookmarkEnd w:id="24"/>
    <w:bookmarkStart w:id="25" w:name="three-span-continuous-beam"/>
    <w:p>
      <w:pPr>
        <w:pStyle w:val="Heading3"/>
      </w:pPr>
      <w:r>
        <w:t xml:space="preserve">2.3. Three-span continuous beam</w:t>
      </w:r>
    </w:p>
    <w:p>
      <w:pPr>
        <w:pStyle w:val="FirstParagraph"/>
      </w:pPr>
      <w:r>
        <w:t xml:space="preserve">Eq. (3) extends without new ingredients to the symmetric three-span layout with a long main span that is usual for medium-span box girders; only the number of redundants increases. Let the side spans have length</w:t>
      </w:r>
      <w:r>
        <w:t xml:space="preserve"> </w:t>
      </w:r>
      <m:oMath>
        <m:sSub>
          <m:e>
            <m:r>
              <m:t>L</m:t>
            </m:r>
          </m:e>
          <m:sub>
            <m:r>
              <m:t>s</m:t>
            </m:r>
          </m:sub>
        </m:sSub>
      </m:oMath>
      <w:r>
        <w:t xml:space="preserve"> </w:t>
      </w:r>
      <w:r>
        <w:t xml:space="preserve">and rigidity</w:t>
      </w:r>
      <w:r>
        <w:t xml:space="preserve"> </w:t>
      </w:r>
      <m:oMath>
        <m:r>
          <m:t>E</m:t>
        </m:r>
        <m:sSub>
          <m:e>
            <m:r>
              <m:t>I</m:t>
            </m:r>
          </m:e>
          <m:sub>
            <m:r>
              <m:t>s</m:t>
            </m:r>
          </m:sub>
        </m:sSub>
      </m:oMath>
      <w:r>
        <w:t xml:space="preserve">, and the main span</w:t>
      </w:r>
      <w:r>
        <w:t xml:space="preserve"> </w:t>
      </w:r>
      <m:oMath>
        <m:sSub>
          <m:e>
            <m:r>
              <m:t>L</m:t>
            </m:r>
          </m:e>
          <m:sub>
            <m:r>
              <m:t>m</m:t>
            </m:r>
          </m:sub>
        </m:sSub>
        <m:r>
          <m:rPr>
            <m:sty m:val="p"/>
          </m:rPr>
          <m:t>=</m:t>
        </m:r>
        <m:r>
          <m:t>β</m:t>
        </m:r>
        <m:sSub>
          <m:e>
            <m:r>
              <m:t>L</m:t>
            </m:r>
          </m:e>
          <m:sub>
            <m:r>
              <m:t>s</m:t>
            </m:r>
          </m:sub>
        </m:sSub>
      </m:oMath>
      <w:r>
        <w:t xml:space="preserve"> </w:t>
      </w:r>
      <w:r>
        <w:t xml:space="preserve">and</w:t>
      </w:r>
      <w:r>
        <w:t xml:space="preserve"> </w:t>
      </w:r>
      <m:oMath>
        <m:r>
          <m:t>E</m:t>
        </m:r>
        <m:sSub>
          <m:e>
            <m:r>
              <m:t>I</m:t>
            </m:r>
          </m:e>
          <m:sub>
            <m:r>
              <m:t>m</m:t>
            </m:r>
          </m:sub>
        </m:sSub>
        <m:r>
          <m:rPr>
            <m:sty m:val="p"/>
          </m:rPr>
          <m:t>=</m:t>
        </m:r>
        <m:sSub>
          <m:e>
            <m:r>
              <m:t>ρ</m:t>
            </m:r>
          </m:e>
          <m:sub>
            <m:r>
              <m:t>E</m:t>
            </m:r>
            <m:r>
              <m:t>I</m:t>
            </m:r>
          </m:sub>
        </m:sSub>
        <m:r>
          <m:t>E</m:t>
        </m:r>
        <m:sSub>
          <m:e>
            <m:r>
              <m:t>I</m:t>
            </m:r>
          </m:e>
          <m:sub>
            <m:r>
              <m:t>s</m:t>
            </m:r>
          </m:sub>
        </m:sSub>
      </m:oMath>
      <w:r>
        <w:t xml:space="preserve">, with</w:t>
      </w:r>
      <w:r>
        <w:t xml:space="preserve"> </w:t>
      </w:r>
      <m:oMath>
        <m:r>
          <m:t>E</m:t>
        </m:r>
        <m:r>
          <m:t>I</m:t>
        </m:r>
      </m:oMath>
      <w:r>
        <w:t xml:space="preserve"> </w:t>
      </w:r>
      <w:r>
        <w:t xml:space="preserve">piecewise constant (Fig. 1b). For a side-span sensor,</w:t>
      </w:r>
      <w:r>
        <w:t xml:space="preserve"> </w:t>
      </w:r>
      <m:oMath>
        <m:sSub>
          <m:e>
            <m:r>
              <m:t>ρ</m:t>
            </m:r>
          </m:e>
          <m:sub>
            <m:r>
              <m:t>E</m:t>
            </m:r>
            <m:r>
              <m:t>I</m:t>
            </m:r>
          </m:sub>
        </m:sSub>
      </m:oMath>
      <w:r>
        <w:t xml:space="preserve"> </w:t>
      </w:r>
      <w:r>
        <w:t xml:space="preserve">is again the adjacent-to-instrumented stiffness ratio. By symmetry the two support moments are equal, and the three-moment equation gives</w:t>
      </w:r>
      <w:r>
        <w:t xml:space="preserve"> </w:t>
      </w:r>
      <m:oMath>
        <m:sSub>
          <m:e>
            <m:r>
              <m:t>M</m:t>
            </m:r>
          </m:e>
          <m:sub>
            <m:r>
              <m:t>B</m:t>
            </m:r>
          </m:sub>
        </m:sSub>
        <m:r>
          <m:rPr>
            <m:sty m:val="p"/>
          </m:rPr>
          <m:t>=</m:t>
        </m:r>
        <m:sSub>
          <m:e>
            <m:r>
              <m:t>M</m:t>
            </m:r>
          </m:e>
          <m:sub>
            <m:r>
              <m:t>C</m:t>
            </m:r>
          </m:sub>
        </m:sSub>
        <m:r>
          <m:rPr>
            <m:sty m:val="p"/>
          </m:rPr>
          <m:t>=</m:t>
        </m:r>
        <m:r>
          <m:rPr>
            <m:sty m:val="p"/>
          </m:rPr>
          <m:t>−</m:t>
        </m:r>
        <m:sSub>
          <m:e>
            <m:r>
              <m:t>q</m:t>
            </m:r>
          </m:e>
          <m:sub>
            <m:r>
              <m:t>0</m:t>
            </m:r>
          </m:sub>
        </m:sSub>
        <m:sSubSup>
          <m:e>
            <m:r>
              <m:t>L</m:t>
            </m:r>
          </m:e>
          <m:sub>
            <m:r>
              <m:t>s</m:t>
            </m:r>
          </m:sub>
          <m:sup>
            <m:r>
              <m:t>2</m:t>
            </m:r>
          </m:sup>
        </m:sSubSup>
        <m:r>
          <m:t>μ</m:t>
        </m:r>
        <m:r>
          <m:rPr>
            <m:sty m:val="p"/>
          </m:rPr>
          <m:t>/</m:t>
        </m:r>
        <m:r>
          <m:t>8</m:t>
        </m:r>
      </m:oMath>
      <w:r>
        <w:t xml:space="preserve">. For a sensor at</w:t>
      </w:r>
      <w:r>
        <w:t xml:space="preserve"> </w:t>
      </w:r>
      <m:oMath>
        <m:r>
          <m:t>ξ</m:t>
        </m:r>
        <m:r>
          <m:rPr>
            <m:sty m:val="p"/>
          </m:rPr>
          <m:t>=</m:t>
        </m:r>
        <m:r>
          <m:t>x</m:t>
        </m:r>
        <m:r>
          <m:rPr>
            <m:sty m:val="p"/>
          </m:rPr>
          <m:t>/</m:t>
        </m:r>
        <m:sSub>
          <m:e>
            <m:r>
              <m:t>L</m:t>
            </m:r>
          </m:e>
          <m:sub>
            <m:r>
              <m:t>s</m:t>
            </m:r>
          </m:sub>
        </m:sSub>
      </m:oMath>
      <w:r>
        <w:t xml:space="preserve"> </w:t>
      </w:r>
      <w:r>
        <w:t xml:space="preserve">in a side span,</w:t>
      </w:r>
      <w:r>
        <w:t xml:space="preserve"> </w:t>
      </w:r>
      <m:oMath>
        <m:sSub>
          <m:e>
            <m:r>
              <m:t>C</m:t>
            </m:r>
          </m:e>
          <m:sub>
            <m:r>
              <m:t>m</m:t>
            </m:r>
          </m:sub>
        </m:sSub>
      </m:oMath>
      <w:r>
        <w:t xml:space="preserve"> </w:t>
      </w:r>
      <w:r>
        <w:t xml:space="preserve">has the form of Eq. (4) with</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f>
                  <m:fPr>
                    <m:type m:val="bar"/>
                  </m:fPr>
                  <m:num>
                    <m:r>
                      <m:t>192</m:t>
                    </m:r>
                    <m:r>
                      <m:t>E</m:t>
                    </m:r>
                    <m:sSub>
                      <m:e>
                        <m:r>
                          <m:t>I</m:t>
                        </m:r>
                      </m:e>
                      <m:sub>
                        <m:r>
                          <m:t>s</m:t>
                        </m:r>
                      </m:sub>
                    </m:sSub>
                    <m:sSub>
                      <m:e>
                        <m:r>
                          <m:t>C</m:t>
                        </m:r>
                      </m:e>
                      <m:sub>
                        <m:r>
                          <m:t>m</m:t>
                        </m:r>
                      </m:sub>
                    </m:sSub>
                  </m:num>
                  <m:den>
                    <m:sSubSup>
                      <m:e>
                        <m:r>
                          <m:t>L</m:t>
                        </m:r>
                      </m:e>
                      <m:sub>
                        <m:r>
                          <m:t>s</m:t>
                        </m:r>
                      </m:sub>
                      <m:sup>
                        <m:r>
                          <m:t>4</m:t>
                        </m:r>
                      </m:sup>
                    </m:sSubSup>
                  </m:den>
                </m:f>
                <m:r>
                  <m:rPr>
                    <m:sty m:val="p"/>
                  </m:rPr>
                  <m:t>=</m:t>
                </m:r>
                <m:r>
                  <m:t>8</m:t>
                </m:r>
                <m:r>
                  <m:t>F</m:t>
                </m:r>
                <m:d>
                  <m:dPr>
                    <m:begChr m:val="("/>
                    <m:endChr m:val=")"/>
                    <m:sepChr m:val=""/>
                    <m:grow/>
                  </m:dPr>
                  <m:e>
                    <m:r>
                      <m:t>ξ</m:t>
                    </m:r>
                    <m:r>
                      <m:rPr>
                        <m:sty m:val="p"/>
                      </m:rPr>
                      <m:t>,</m:t>
                    </m:r>
                    <m:r>
                      <m:t>μ</m:t>
                    </m:r>
                  </m:e>
                </m:d>
                <m:r>
                  <m:rPr>
                    <m:sty m:val="p"/>
                  </m:rPr>
                  <m:t>,</m:t>
                </m:r>
                <m:r>
                  <m:t>  </m:t>
                </m:r>
                <m:r>
                  <m:t>μ</m:t>
                </m:r>
                <m:r>
                  <m:rPr>
                    <m:sty m:val="p"/>
                  </m:rPr>
                  <m:t>=</m:t>
                </m:r>
                <m:f>
                  <m:fPr>
                    <m:type m:val="bar"/>
                  </m:fPr>
                  <m:num>
                    <m:r>
                      <m:t>2</m:t>
                    </m:r>
                    <m:d>
                      <m:dPr>
                        <m:begChr m:val="("/>
                        <m:endChr m:val=")"/>
                        <m:sepChr m:val=""/>
                        <m:grow/>
                      </m:dPr>
                      <m:e>
                        <m:sSub>
                          <m:e>
                            <m:r>
                              <m:t>ρ</m:t>
                            </m:r>
                          </m:e>
                          <m:sub>
                            <m:r>
                              <m:t>E</m:t>
                            </m:r>
                            <m:r>
                              <m:t>I</m:t>
                            </m:r>
                          </m:sub>
                        </m:sSub>
                        <m:r>
                          <m:rPr>
                            <m:sty m:val="p"/>
                          </m:rPr>
                          <m:t>+</m:t>
                        </m:r>
                        <m:sSup>
                          <m:e>
                            <m:r>
                              <m:t>β</m:t>
                            </m:r>
                          </m:e>
                          <m:sup>
                            <m:r>
                              <m:t>3</m:t>
                            </m:r>
                          </m:sup>
                        </m:sSup>
                      </m:e>
                    </m:d>
                  </m:num>
                  <m:den>
                    <m:r>
                      <m:t>2</m:t>
                    </m:r>
                    <m:sSub>
                      <m:e>
                        <m:r>
                          <m:t>ρ</m:t>
                        </m:r>
                      </m:e>
                      <m:sub>
                        <m:r>
                          <m:t>E</m:t>
                        </m:r>
                        <m:r>
                          <m:t>I</m:t>
                        </m:r>
                      </m:sub>
                    </m:sSub>
                    <m:r>
                      <m:rPr>
                        <m:sty m:val="p"/>
                      </m:rPr>
                      <m:t>+</m:t>
                    </m:r>
                    <m:r>
                      <m:t>3</m:t>
                    </m:r>
                    <m:r>
                      <m:t>β</m:t>
                    </m:r>
                  </m:den>
                </m:f>
                <m:r>
                  <m:rPr>
                    <m:sty m:val="p"/>
                  </m:rPr>
                  <m:t>.</m:t>
                </m:r>
              </m:oMath>
            </m:oMathPara>
          </w:p>
        </w:tc>
        <w:tc>
          <w:tcPr>
            <w:tcW w:type="dxa" w:w="1088"/>
            <w:vAlign w:val="center"/>
          </w:tcPr>
          <w:p>
            <w:pPr>
              <w:jc w:val="right"/>
            </w:pPr>
            <w:r>
              <w:t xml:space="preserve">(8)</w:t>
            </w:r>
          </w:p>
        </w:tc>
      </w:tr>
    </w:tbl>
    <w:p>
      <w:pPr>
        <w:pStyle w:val="BodyText"/>
      </w:pPr>
      <w:r>
        <w:t xml:space="preserve">Because the far side span restrains the interior support, three equal spans give</w:t>
      </w:r>
      <w:r>
        <w:t xml:space="preserve"> </w:t>
      </w:r>
      <m:oMath>
        <m:r>
          <m:t>μ</m:t>
        </m:r>
        <m:r>
          <m:rPr>
            <m:sty m:val="p"/>
          </m:rPr>
          <m:t>=</m:t>
        </m:r>
        <m:r>
          <m:t>4</m:t>
        </m:r>
        <m:r>
          <m:rPr>
            <m:sty m:val="p"/>
          </m:rPr>
          <m:t>/</m:t>
        </m:r>
        <m:r>
          <m:t>5</m:t>
        </m:r>
      </m:oMath>
      <w:r>
        <w:t xml:space="preserve"> </w:t>
      </w:r>
      <w:r>
        <w:t xml:space="preserve">rather than 1 and a mid side-span constant 1.3 times the two-span value. The main-span counterpart, with the interior-moment parameter</w:t>
      </w:r>
      <w:r>
        <w:t xml:space="preserve"> </w:t>
      </w:r>
      <m:oMath>
        <m:r>
          <m:t>ν</m:t>
        </m:r>
      </m:oMath>
      <w:r>
        <w:t xml:space="preserve">, is given in Appendix D; both agree with FE evaluations of Eq. (3) to round-off.</w:t>
      </w:r>
    </w:p>
    <w:p>
      <w:pPr>
        <w:pStyle w:val="BodyText"/>
      </w:pPr>
      <w:r>
        <w:t xml:space="preserve">Because</w:t>
      </w:r>
      <w:r>
        <w:t xml:space="preserve"> </w:t>
      </w:r>
      <m:oMath>
        <m:r>
          <m:t>F</m:t>
        </m:r>
      </m:oMath>
      <w:r>
        <w:t xml:space="preserve"> </w:t>
      </w:r>
      <w:r>
        <w:t xml:space="preserve">is unchanged, the blind condition for a side-span sensor is again</w:t>
      </w:r>
      <w:r>
        <w:t xml:space="preserve"> </w:t>
      </w:r>
      <m:oMath>
        <m:r>
          <m:t>μ</m:t>
        </m:r>
        <m:r>
          <m:rPr>
            <m:sty m:val="p"/>
          </m:rPr>
          <m:t>=</m:t>
        </m:r>
        <m:sSub>
          <m:e>
            <m:r>
              <m:t>μ</m:t>
            </m:r>
          </m:e>
          <m:sub>
            <m:r>
              <m:rPr>
                <m:sty m:val="p"/>
              </m:rPr>
              <m:t>c</m:t>
            </m:r>
            <m:r>
              <m:rPr>
                <m:sty m:val="p"/>
              </m:rPr>
              <m:t>r</m:t>
            </m:r>
            <m:r>
              <m:rPr>
                <m:sty m:val="p"/>
              </m:rPr>
              <m:t>i</m:t>
            </m:r>
            <m:r>
              <m:rPr>
                <m:sty m:val="p"/>
              </m:rPr>
              <m:t>t</m:t>
            </m:r>
          </m:sub>
        </m:sSub>
        <m:d>
          <m:dPr>
            <m:begChr m:val="("/>
            <m:endChr m:val=")"/>
            <m:sepChr m:val=""/>
            <m:grow/>
          </m:dPr>
          <m:e>
            <m:r>
              <m:t>ξ</m:t>
            </m:r>
          </m:e>
        </m:d>
      </m:oMath>
      <w:r>
        <w:t xml:space="preserve"> </w:t>
      </w:r>
      <w:r>
        <w:t xml:space="preserve">of Eq. (6). At mid side span the blind stiffness ratio is explicit,</w:t>
      </w:r>
      <w:r>
        <w:t xml:space="preserve"> </w:t>
      </w:r>
      <m:oMath>
        <m:sSub>
          <m:e>
            <m:r>
              <m:t>ρ</m:t>
            </m:r>
          </m:e>
          <m:sub>
            <m:r>
              <m:t>E</m:t>
            </m:r>
            <m:r>
              <m:t>I</m:t>
            </m:r>
            <m:r>
              <m:rPr>
                <m:sty m:val="p"/>
              </m:rPr>
              <m:t>,</m:t>
            </m:r>
            <m:r>
              <m:rPr>
                <m:sty m:val="p"/>
              </m:rPr>
              <m:t>c</m:t>
            </m:r>
            <m:r>
              <m:rPr>
                <m:sty m:val="p"/>
              </m:rPr>
              <m:t>r</m:t>
            </m:r>
            <m:r>
              <m:rPr>
                <m:sty m:val="p"/>
              </m:rPr>
              <m:t>i</m:t>
            </m:r>
            <m:r>
              <m:rPr>
                <m:sty m:val="p"/>
              </m:rPr>
              <m:t>t</m:t>
            </m:r>
          </m:sub>
        </m:sSub>
        <m:r>
          <m:rPr>
            <m:sty m:val="p"/>
          </m:rPr>
          <m:t>=</m:t>
        </m:r>
        <m:r>
          <m:t>3</m:t>
        </m:r>
        <m:r>
          <m:t>β</m:t>
        </m:r>
        <m:d>
          <m:dPr>
            <m:begChr m:val="("/>
            <m:endChr m:val=")"/>
            <m:sepChr m:val=""/>
            <m:grow/>
          </m:dPr>
          <m:e>
            <m:r>
              <m:t>2</m:t>
            </m:r>
            <m:sSup>
              <m:e>
                <m:r>
                  <m:t>β</m:t>
                </m:r>
              </m:e>
              <m:sup>
                <m:r>
                  <m:t>2</m:t>
                </m:r>
              </m:sup>
            </m:sSup>
            <m:r>
              <m:rPr>
                <m:sty m:val="p"/>
              </m:rPr>
              <m:t>−</m:t>
            </m:r>
            <m:r>
              <m:t>5</m:t>
            </m:r>
          </m:e>
        </m:d>
        <m:r>
          <m:rPr>
            <m:sty m:val="p"/>
          </m:rPr>
          <m:t>/</m:t>
        </m:r>
        <m:r>
          <m:t>4</m:t>
        </m:r>
      </m:oMath>
      <w:r>
        <w:t xml:space="preserve">. For uniform rigidity the critical main-to-side span ratio is the real root of a cubic in the irreducible case, so its exact closed form is trigonometric, Eq. (9):</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r>
                  <m:t>6</m:t>
                </m:r>
                <m:sSup>
                  <m:e>
                    <m:r>
                      <m:t>β</m:t>
                    </m:r>
                  </m:e>
                  <m:sup>
                    <m:r>
                      <m:t>3</m:t>
                    </m:r>
                  </m:sup>
                </m:sSup>
                <m:r>
                  <m:rPr>
                    <m:sty m:val="p"/>
                  </m:rPr>
                  <m:t>−</m:t>
                </m:r>
                <m:r>
                  <m:t>15</m:t>
                </m:r>
                <m:r>
                  <m:t>β</m:t>
                </m:r>
                <m:r>
                  <m:rPr>
                    <m:sty m:val="p"/>
                  </m:rPr>
                  <m:t>−</m:t>
                </m:r>
                <m:r>
                  <m:t>4</m:t>
                </m:r>
                <m:r>
                  <m:rPr>
                    <m:sty m:val="p"/>
                  </m:rPr>
                  <m:t>=</m:t>
                </m:r>
                <m:r>
                  <m:t>0</m:t>
                </m:r>
                <m:r>
                  <m:rPr>
                    <m:sty m:val="p"/>
                  </m:rPr>
                  <m:t>,</m:t>
                </m:r>
                <m:r>
                  <m:t>  </m:t>
                </m:r>
                <m:sSub>
                  <m:e>
                    <m:r>
                      <m:t>β</m:t>
                    </m:r>
                  </m:e>
                  <m:sub>
                    <m:r>
                      <m:rPr>
                        <m:sty m:val="p"/>
                      </m:rPr>
                      <m:t>c</m:t>
                    </m:r>
                    <m:r>
                      <m:rPr>
                        <m:sty m:val="p"/>
                      </m:rPr>
                      <m:t>r</m:t>
                    </m:r>
                    <m:r>
                      <m:rPr>
                        <m:sty m:val="p"/>
                      </m:rPr>
                      <m:t>i</m:t>
                    </m:r>
                    <m:r>
                      <m:rPr>
                        <m:sty m:val="p"/>
                      </m:rPr>
                      <m:t>t</m:t>
                    </m:r>
                  </m:sub>
                </m:sSub>
                <m:r>
                  <m:rPr>
                    <m:sty m:val="p"/>
                  </m:rPr>
                  <m:t>=</m:t>
                </m:r>
                <m:rad>
                  <m:radPr>
                    <m:degHide m:val="on"/>
                  </m:radPr>
                  <m:deg/>
                  <m:e>
                    <m:r>
                      <m:t>10</m:t>
                    </m:r>
                    <m:r>
                      <m:rPr>
                        <m:sty m:val="p"/>
                      </m:rPr>
                      <m:t>/</m:t>
                    </m:r>
                    <m:r>
                      <m:t>3</m:t>
                    </m:r>
                  </m:e>
                </m:rad>
                <m:r>
                  <m:t> </m:t>
                </m:r>
                <m:r>
                  <m:rPr>
                    <m:sty m:val="p"/>
                  </m:rPr>
                  <m:t>cos</m:t>
                </m:r>
                <m:r>
                  <m:t>​</m:t>
                </m:r>
                <m:d>
                  <m:dPr>
                    <m:begChr m:val="["/>
                    <m:endChr m:val="]"/>
                    <m:sepChr m:val=""/>
                    <m:grow/>
                  </m:dPr>
                  <m:e>
                    <m:f>
                      <m:fPr>
                        <m:type m:val="lin"/>
                      </m:fPr>
                      <m:num>
                        <m:r>
                          <m:t>1</m:t>
                        </m:r>
                      </m:num>
                      <m:den>
                        <m:r>
                          <m:t>3</m:t>
                        </m:r>
                      </m:den>
                    </m:f>
                    <m:r>
                      <m:rPr>
                        <m:sty m:val="p"/>
                      </m:rPr>
                      <m:t>arccos</m:t>
                    </m:r>
                    <m:r>
                      <m:t>​</m:t>
                    </m:r>
                    <m:d>
                      <m:dPr>
                        <m:begChr m:val="("/>
                        <m:endChr m:val=")"/>
                        <m:sepChr m:val=""/>
                        <m:grow/>
                      </m:dPr>
                      <m:e>
                        <m:f>
                          <m:fPr>
                            <m:type m:val="lin"/>
                          </m:fPr>
                          <m:num>
                            <m:r>
                              <m:t>2</m:t>
                            </m:r>
                          </m:num>
                          <m:den>
                            <m:r>
                              <m:t>5</m:t>
                            </m:r>
                          </m:den>
                        </m:f>
                        <m:rad>
                          <m:radPr>
                            <m:degHide m:val="on"/>
                          </m:radPr>
                          <m:deg/>
                          <m:e>
                            <m:r>
                              <m:t>6</m:t>
                            </m:r>
                            <m:r>
                              <m:rPr>
                                <m:sty m:val="p"/>
                              </m:rPr>
                              <m:t>/</m:t>
                            </m:r>
                            <m:r>
                              <m:t>5</m:t>
                            </m:r>
                          </m:e>
                        </m:rad>
                      </m:e>
                    </m:d>
                  </m:e>
                </m:d>
                <m:r>
                  <m:rPr>
                    <m:sty m:val="p"/>
                  </m:rPr>
                  <m:t>=</m:t>
                </m:r>
                <m:r>
                  <m:t>1.700594</m:t>
                </m:r>
                <m:r>
                  <m:rPr>
                    <m:sty m:val="p"/>
                  </m:rPr>
                  <m:t>.</m:t>
                </m:r>
              </m:oMath>
            </m:oMathPara>
          </w:p>
        </w:tc>
        <w:tc>
          <w:tcPr>
            <w:tcW w:type="dxa" w:w="1088"/>
            <w:vAlign w:val="center"/>
          </w:tcPr>
          <w:p>
            <w:pPr>
              <w:jc w:val="right"/>
            </w:pPr>
            <w:r>
              <w:t xml:space="preserve">(9)</w:t>
            </w:r>
          </w:p>
        </w:tc>
      </w:tr>
    </w:tbl>
    <w:p>
      <w:pPr>
        <w:pStyle w:val="BodyText"/>
      </w:pPr>
      <w:r>
        <w:t xml:space="preserve">The near-blind band</w:t>
      </w:r>
      <w:r>
        <w:t xml:space="preserve"> </w:t>
      </w:r>
      <m:oMath>
        <m:d>
          <m:dPr>
            <m:begChr m:val="|"/>
            <m:endChr m:val="|"/>
            <m:sepChr m:val=""/>
            <m:grow/>
          </m:dPr>
          <m:e>
            <m:r>
              <m:t>192</m:t>
            </m:r>
            <m:r>
              <m:t>E</m:t>
            </m:r>
            <m:sSub>
              <m:e>
                <m:r>
                  <m:t>I</m:t>
                </m:r>
              </m:e>
              <m:sub>
                <m:r>
                  <m:t>s</m:t>
                </m:r>
              </m:sub>
            </m:sSub>
            <m:sSub>
              <m:e>
                <m:r>
                  <m:t>C</m:t>
                </m:r>
              </m:e>
              <m:sub>
                <m:r>
                  <m:t>m</m:t>
                </m:r>
              </m:sub>
            </m:sSub>
            <m:r>
              <m:rPr>
                <m:sty m:val="p"/>
              </m:rPr>
              <m:t>/</m:t>
            </m:r>
            <m:sSubSup>
              <m:e>
                <m:r>
                  <m:t>L</m:t>
                </m:r>
              </m:e>
              <m:sub>
                <m:r>
                  <m:t>s</m:t>
                </m:r>
              </m:sub>
              <m:sup>
                <m:r>
                  <m:t>4</m:t>
                </m:r>
              </m:sup>
            </m:sSubSup>
          </m:e>
        </m:d>
        <m:r>
          <m:rPr>
            <m:sty m:val="p"/>
          </m:rPr>
          <m:t>&lt;</m:t>
        </m:r>
        <m:r>
          <m:t>0.2</m:t>
        </m:r>
      </m:oMath>
      <w:r>
        <w:t xml:space="preserve"> </w:t>
      </w:r>
      <w:r>
        <w:t xml:space="preserve">at mid side span spans</w:t>
      </w:r>
      <w:r>
        <w:t xml:space="preserve"> </w:t>
      </w:r>
      <m:oMath>
        <m:r>
          <m:t>1.621399</m:t>
        </m:r>
        <m:r>
          <m:rPr>
            <m:sty m:val="p"/>
          </m:rPr>
          <m:t>&lt;</m:t>
        </m:r>
        <m:r>
          <m:t>β</m:t>
        </m:r>
        <m:r>
          <m:rPr>
            <m:sty m:val="p"/>
          </m:rPr>
          <m:t>&lt;</m:t>
        </m:r>
        <m:r>
          <m:t>1.775</m:t>
        </m:r>
      </m:oMath>
      <w:r>
        <w:t xml:space="preserve">; its lower edge is the root of</w:t>
      </w:r>
      <w:r>
        <w:t xml:space="preserve"> </w:t>
      </w:r>
      <m:oMath>
        <m:r>
          <m:t>30</m:t>
        </m:r>
        <m:sSup>
          <m:e>
            <m:r>
              <m:t>β</m:t>
            </m:r>
          </m:e>
          <m:sup>
            <m:r>
              <m:t>3</m:t>
            </m:r>
          </m:sup>
        </m:sSup>
        <m:r>
          <m:rPr>
            <m:sty m:val="p"/>
          </m:rPr>
          <m:t>−</m:t>
        </m:r>
        <m:r>
          <m:t>69</m:t>
        </m:r>
        <m:r>
          <m:t>β</m:t>
        </m:r>
        <m:r>
          <m:rPr>
            <m:sty m:val="p"/>
          </m:rPr>
          <m:t>−</m:t>
        </m:r>
        <m:r>
          <m:t>16</m:t>
        </m:r>
        <m:r>
          <m:rPr>
            <m:sty m:val="p"/>
          </m:rPr>
          <m:t>=</m:t>
        </m:r>
        <m:r>
          <m:t>0</m:t>
        </m:r>
      </m:oMath>
      <w:r>
        <w:t xml:space="preserve">. The value</w:t>
      </w:r>
      <w:r>
        <w:t xml:space="preserve"> </w:t>
      </w:r>
      <m:oMath>
        <m:r>
          <m:t>β</m:t>
        </m:r>
        <m:r>
          <m:rPr>
            <m:sty m:val="p"/>
          </m:rPr>
          <m:t>=</m:t>
        </m:r>
        <m:r>
          <m:t>2</m:t>
        </m:r>
        <m:r>
          <m:rPr>
            <m:sty m:val="p"/>
          </m:rPr>
          <m:t>cos</m:t>
        </m:r>
        <m:d>
          <m:dPr>
            <m:begChr m:val="("/>
            <m:endChr m:val=")"/>
            <m:sepChr m:val=""/>
            <m:grow/>
          </m:dPr>
          <m:e>
            <m:r>
              <m:t>π</m:t>
            </m:r>
            <m:r>
              <m:rPr>
                <m:sty m:val="p"/>
              </m:rPr>
              <m:t>/</m:t>
            </m:r>
            <m:r>
              <m:t>9</m:t>
            </m:r>
          </m:e>
        </m:d>
        <m:r>
          <m:rPr>
            <m:sty m:val="p"/>
          </m:rPr>
          <m:t>=</m:t>
        </m:r>
        <m:r>
          <m:t>1.879385</m:t>
        </m:r>
      </m:oMath>
      <w:r>
        <w:t xml:space="preserve"> </w:t>
      </w:r>
      <w:r>
        <w:t xml:space="preserve">ends the side-span blind locus: for larger</w:t>
      </w:r>
      <w:r>
        <w:t xml:space="preserve"> </w:t>
      </w:r>
      <m:oMath>
        <m:r>
          <m:t>β</m:t>
        </m:r>
      </m:oMath>
      <w:r>
        <w:t xml:space="preserve"> </w:t>
      </w:r>
      <w:r>
        <w:t xml:space="preserve">every side-span position has a negative, non-zero constant dominated by the main-span load, as beyond the two-span blind ratio. At</w:t>
      </w:r>
      <w:r>
        <w:t xml:space="preserve"> </w:t>
      </w:r>
      <m:oMath>
        <m:r>
          <m:t>β</m:t>
        </m:r>
        <m:r>
          <m:rPr>
            <m:sty m:val="p"/>
          </m:rPr>
          <m:t>=</m:t>
        </m:r>
        <m:r>
          <m:t>2</m:t>
        </m:r>
      </m:oMath>
      <w:r>
        <w:t xml:space="preserve"> </w:t>
      </w:r>
      <w:r>
        <w:t xml:space="preserve">the mid side-span value is</w:t>
      </w:r>
      <w:r>
        <w:t xml:space="preserve"> </w:t>
      </w:r>
      <m:oMath>
        <m:d>
          <m:dPr>
            <m:begChr m:val="|"/>
            <m:endChr m:val="|"/>
            <m:sepChr m:val=""/>
            <m:grow/>
          </m:dPr>
          <m:e>
            <m:r>
              <m:t>192</m:t>
            </m:r>
            <m:r>
              <m:t>E</m:t>
            </m:r>
            <m:sSub>
              <m:e>
                <m:r>
                  <m:t>I</m:t>
                </m:r>
              </m:e>
              <m:sub>
                <m:r>
                  <m:t>s</m:t>
                </m:r>
              </m:sub>
            </m:sSub>
            <m:sSub>
              <m:e>
                <m:r>
                  <m:t>C</m:t>
                </m:r>
              </m:e>
              <m:sub>
                <m:r>
                  <m:t>m</m:t>
                </m:r>
              </m:sub>
            </m:sSub>
            <m:r>
              <m:rPr>
                <m:sty m:val="p"/>
              </m:rPr>
              <m:t>/</m:t>
            </m:r>
            <m:sSubSup>
              <m:e>
                <m:r>
                  <m:t>L</m:t>
                </m:r>
              </m:e>
              <m:sub>
                <m:r>
                  <m:t>s</m:t>
                </m:r>
              </m:sub>
              <m:sup>
                <m:r>
                  <m:t>4</m:t>
                </m:r>
              </m:sup>
            </m:sSubSup>
          </m:e>
        </m:d>
        <m:r>
          <m:rPr>
            <m:sty m:val="p"/>
          </m:rPr>
          <m:t>=</m:t>
        </m:r>
        <m:r>
          <m:t>0.875</m:t>
        </m:r>
      </m:oMath>
      <w:r>
        <w:t xml:space="preserve">, outside the near-blind band. The ratio of the negative main-span contribution to the positive side-span contributions, for a mid side-span sensor and uniform rigidity, is</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f>
                  <m:fPr>
                    <m:type m:val="bar"/>
                  </m:fPr>
                  <m:num>
                    <m:d>
                      <m:dPr>
                        <m:begChr m:val="|"/>
                        <m:endChr m:val="|"/>
                        <m:sepChr m:val=""/>
                        <m:grow/>
                      </m:dPr>
                      <m:e>
                        <m:sSup>
                          <m:e>
                            <m:r>
                              <m:t>C</m:t>
                            </m:r>
                          </m:e>
                          <m:sup>
                            <m:r>
                              <m:rPr>
                                <m:sty m:val="p"/>
                              </m:rPr>
                              <m:t>−</m:t>
                            </m:r>
                          </m:sup>
                        </m:sSup>
                      </m:e>
                    </m:d>
                  </m:num>
                  <m:den>
                    <m:sSup>
                      <m:e>
                        <m:r>
                          <m:t>C</m:t>
                        </m:r>
                      </m:e>
                      <m:sup>
                        <m:r>
                          <m:rPr>
                            <m:sty m:val="p"/>
                          </m:rPr>
                          <m:t>+</m:t>
                        </m:r>
                      </m:sup>
                    </m:sSup>
                  </m:den>
                </m:f>
                <m:r>
                  <m:rPr>
                    <m:sty m:val="p"/>
                  </m:rPr>
                  <m:t>=</m:t>
                </m:r>
                <m:f>
                  <m:fPr>
                    <m:type m:val="bar"/>
                  </m:fPr>
                  <m:num>
                    <m:r>
                      <m:t>6</m:t>
                    </m:r>
                    <m:sSup>
                      <m:e>
                        <m:r>
                          <m:t>β</m:t>
                        </m:r>
                      </m:e>
                      <m:sup>
                        <m:r>
                          <m:t>3</m:t>
                        </m:r>
                      </m:sup>
                    </m:sSup>
                  </m:num>
                  <m:den>
                    <m:r>
                      <m:t>15</m:t>
                    </m:r>
                    <m:r>
                      <m:t>β</m:t>
                    </m:r>
                    <m:r>
                      <m:rPr>
                        <m:sty m:val="p"/>
                      </m:rPr>
                      <m:t>+</m:t>
                    </m:r>
                    <m:r>
                      <m:t>4</m:t>
                    </m:r>
                  </m:den>
                </m:f>
                <m:r>
                  <m:rPr>
                    <m:sty m:val="p"/>
                  </m:rPr>
                  <m:t>.</m:t>
                </m:r>
              </m:oMath>
            </m:oMathPara>
          </w:p>
        </w:tc>
        <w:tc>
          <w:tcPr>
            <w:tcW w:type="dxa" w:w="1088"/>
            <w:vAlign w:val="center"/>
          </w:tcPr>
          <w:p>
            <w:pPr>
              <w:jc w:val="right"/>
            </w:pPr>
            <w:r>
              <w:t xml:space="preserve">(10)</w:t>
            </w:r>
          </w:p>
        </w:tc>
      </w:tr>
    </w:tbl>
    <w:p>
      <w:pPr>
        <w:pStyle w:val="BodyText"/>
      </w:pPr>
      <w:r>
        <w:t xml:space="preserve">The optimal side-span position solves</w:t>
      </w:r>
      <w:r>
        <w:t xml:space="preserve"> </w:t>
      </w:r>
      <m:oMath>
        <m:r>
          <m:t>8</m:t>
        </m:r>
        <m:sSup>
          <m:e>
            <m:r>
              <m:t>ξ</m:t>
            </m:r>
          </m:e>
          <m:sup>
            <m:r>
              <m:t>3</m:t>
            </m:r>
          </m:sup>
        </m:sSup>
        <m:r>
          <m:rPr>
            <m:sty m:val="p"/>
          </m:rPr>
          <m:t>−</m:t>
        </m:r>
        <m:d>
          <m:dPr>
            <m:begChr m:val="("/>
            <m:endChr m:val=")"/>
            <m:sepChr m:val=""/>
            <m:grow/>
          </m:dPr>
          <m:e>
            <m:r>
              <m:t>12</m:t>
            </m:r>
            <m:r>
              <m:rPr>
                <m:sty m:val="p"/>
              </m:rPr>
              <m:t>−</m:t>
            </m:r>
            <m:r>
              <m:t>3</m:t>
            </m:r>
            <m:r>
              <m:t>μ</m:t>
            </m:r>
          </m:e>
        </m:d>
        <m:sSup>
          <m:e>
            <m:r>
              <m:t>ξ</m:t>
            </m:r>
          </m:e>
          <m:sup>
            <m:r>
              <m:t>2</m:t>
            </m:r>
          </m:sup>
        </m:sSup>
        <m:r>
          <m:rPr>
            <m:sty m:val="p"/>
          </m:rPr>
          <m:t>+</m:t>
        </m:r>
        <m:d>
          <m:dPr>
            <m:begChr m:val="("/>
            <m:endChr m:val=")"/>
            <m:sepChr m:val=""/>
            <m:grow/>
          </m:dPr>
          <m:e>
            <m:r>
              <m:t>2</m:t>
            </m:r>
            <m:r>
              <m:rPr>
                <m:sty m:val="p"/>
              </m:rPr>
              <m:t>−</m:t>
            </m:r>
            <m:r>
              <m:t>μ</m:t>
            </m:r>
          </m:e>
        </m:d>
        <m:r>
          <m:rPr>
            <m:sty m:val="p"/>
          </m:rPr>
          <m:t>=</m:t>
        </m:r>
        <m:r>
          <m:t>0</m:t>
        </m:r>
      </m:oMath>
      <w:r>
        <w:t xml:space="preserve">. As Table 2 shows,</w:t>
      </w:r>
      <w:r>
        <w:t xml:space="preserve"> </w:t>
      </w:r>
      <m:oMath>
        <m:sSup>
          <m:e>
            <m:r>
              <m:t>ξ</m:t>
            </m:r>
          </m:e>
          <m:sup>
            <m:r>
              <m:rPr>
                <m:sty m:val="p"/>
              </m:rPr>
              <m:t>*</m:t>
            </m:r>
          </m:sup>
        </m:sSup>
      </m:oMath>
      <w:r>
        <w:t xml:space="preserve"> </w:t>
      </w:r>
      <w:r>
        <w:t xml:space="preserve">moves towards the abutment as the main span lengthens. A mid main-span sensor is blind at</w:t>
      </w:r>
      <w:r>
        <w:t xml:space="preserve"> </w:t>
      </w:r>
      <m:oMath>
        <m:r>
          <m:t>β</m:t>
        </m:r>
        <m:r>
          <m:rPr>
            <m:sty m:val="p"/>
          </m:rPr>
          <m:t>=</m:t>
        </m:r>
        <m:r>
          <m:t>0.964706</m:t>
        </m:r>
      </m:oMath>
      <w:r>
        <w:t xml:space="preserve">, with a main span slightly shorter than the side spans, and has a negative constant for smaller</w:t>
      </w:r>
      <w:r>
        <w:t xml:space="preserve"> </w:t>
      </w:r>
      <m:oMath>
        <m:r>
          <m:t>β</m:t>
        </m:r>
      </m:oMath>
      <w:r>
        <w:t xml:space="preserve">. Since</w:t>
      </w:r>
      <w:r>
        <w:t xml:space="preserve"> </w:t>
      </w:r>
      <m:oMath>
        <m:r>
          <m:rPr>
            <m:sty m:val="p"/>
          </m:rPr>
          <m:t>∂</m:t>
        </m:r>
        <m:r>
          <m:t>μ</m:t>
        </m:r>
        <m:r>
          <m:rPr>
            <m:sty m:val="p"/>
          </m:rPr>
          <m:t>/</m:t>
        </m:r>
        <m:r>
          <m:rPr>
            <m:sty m:val="p"/>
          </m:rPr>
          <m:t>∂</m:t>
        </m:r>
        <m:sSub>
          <m:e>
            <m:r>
              <m:t>ρ</m:t>
            </m:r>
          </m:e>
          <m:sub>
            <m:r>
              <m:t>E</m:t>
            </m:r>
            <m:r>
              <m:t>I</m:t>
            </m:r>
          </m:sub>
        </m:sSub>
        <m:r>
          <m:rPr>
            <m:sty m:val="p"/>
          </m:rPr>
          <m:t>∝</m:t>
        </m:r>
        <m:r>
          <m:t>3</m:t>
        </m:r>
        <m:r>
          <m:t>β</m:t>
        </m:r>
        <m:r>
          <m:rPr>
            <m:sty m:val="p"/>
          </m:rPr>
          <m:t>−</m:t>
        </m:r>
        <m:r>
          <m:t>2</m:t>
        </m:r>
        <m:sSup>
          <m:e>
            <m:r>
              <m:t>β</m:t>
            </m:r>
          </m:e>
          <m:sup>
            <m:r>
              <m:t>3</m:t>
            </m:r>
          </m:sup>
        </m:sSup>
      </m:oMath>
      <w:r>
        <w:t xml:space="preserve">, for</w:t>
      </w:r>
      <w:r>
        <w:t xml:space="preserve"> </w:t>
      </w:r>
      <m:oMath>
        <m:r>
          <m:t>β</m:t>
        </m:r>
        <m:r>
          <m:rPr>
            <m:sty m:val="p"/>
          </m:rPr>
          <m:t>&gt;</m:t>
        </m:r>
        <m:rad>
          <m:radPr>
            <m:degHide m:val="on"/>
          </m:radPr>
          <m:deg/>
          <m:e>
            <m:r>
              <m:t>3</m:t>
            </m:r>
            <m:r>
              <m:rPr>
                <m:sty m:val="p"/>
              </m:rPr>
              <m:t>/</m:t>
            </m:r>
            <m:r>
              <m:t>2</m:t>
            </m:r>
          </m:e>
        </m:rad>
      </m:oMath>
      <w:r>
        <w:t xml:space="preserve"> </w:t>
      </w:r>
      <w:r>
        <w:t xml:space="preserve">a stiffer main span lowers</w:t>
      </w:r>
      <w:r>
        <w:t xml:space="preserve"> </w:t>
      </w:r>
      <m:oMath>
        <m:r>
          <m:t>μ</m:t>
        </m:r>
      </m:oMath>
      <w:r>
        <w:t xml:space="preserve"> </w:t>
      </w:r>
      <w:r>
        <w:t xml:space="preserve">and improves the observability of the side span. Haunched girders, however, are stiff near the piers rather than uniformly stiffer in the main span, and Section 4 shows that their behaviour is not captured by a piecewise-constant</w:t>
      </w:r>
      <w:r>
        <w:t xml:space="preserve"> </w:t>
      </w:r>
      <m:oMath>
        <m:sSub>
          <m:e>
            <m:r>
              <m:t>ρ</m:t>
            </m:r>
          </m:e>
          <m:sub>
            <m:r>
              <m:t>E</m:t>
            </m:r>
            <m:r>
              <m:t>I</m:t>
            </m:r>
          </m:sub>
        </m:sSub>
      </m:oMath>
      <w:r>
        <w:t xml:space="preserve">.</w:t>
      </w:r>
    </w:p>
    <w:p>
      <w:pPr>
        <w:pStyle w:val="BodyText"/>
      </w:pPr>
      <w:r>
        <w:rPr>
          <w:bCs/>
          <w:b/>
        </w:rPr>
        <w:t xml:space="preserve">Table 2.</w:t>
      </w:r>
      <w:r>
        <w:t xml:space="preserve"> </w:t>
      </w:r>
      <w:r>
        <w:t xml:space="preserve">Symmetric three-span beam, uniform rigidity: optimal side-span sensor position and the indicator</w:t>
      </w:r>
      <w:r>
        <w:t xml:space="preserve"> </w:t>
      </w:r>
      <m:oMath>
        <m:r>
          <m:t>192</m:t>
        </m:r>
        <m:r>
          <m:t>E</m:t>
        </m:r>
        <m:sSub>
          <m:e>
            <m:r>
              <m:t>I</m:t>
            </m:r>
          </m:e>
          <m:sub>
            <m:r>
              <m:t>s</m:t>
            </m:r>
          </m:sub>
        </m:sSub>
        <m:sSub>
          <m:e>
            <m:r>
              <m:t>C</m:t>
            </m:r>
          </m:e>
          <m:sub>
            <m:r>
              <m:t>m</m:t>
            </m:r>
          </m:sub>
        </m:sSub>
        <m:r>
          <m:rPr>
            <m:sty m:val="p"/>
          </m:rPr>
          <m:t>/</m:t>
        </m:r>
        <m:sSubSup>
          <m:e>
            <m:r>
              <m:t>L</m:t>
            </m:r>
          </m:e>
          <m:sub>
            <m:r>
              <m:t>s</m:t>
            </m:r>
          </m:sub>
          <m:sup>
            <m:r>
              <m:t>4</m:t>
            </m:r>
          </m:sup>
        </m:sSubSup>
      </m:oMath>
      <w:r>
        <w:t xml:space="preserve">. The FE slope at</w:t>
      </w:r>
      <w:r>
        <w:t xml:space="preserve"> </w:t>
      </w:r>
      <m:oMath>
        <m:sSup>
          <m:e>
            <m:r>
              <m:t>ξ</m:t>
            </m:r>
          </m:e>
          <m:sup>
            <m:r>
              <m:rPr>
                <m:sty m:val="p"/>
              </m:rPr>
              <m:t>*</m:t>
            </m:r>
          </m:sup>
        </m:sSup>
      </m:oMath>
      <w:r>
        <w:t xml:space="preserve"> </w:t>
      </w:r>
      <w:r>
        <w:t xml:space="preserve">is at most 3.6 × 10⁻⁷ in every case.</w:t>
      </w:r>
    </w:p>
    <w:tbl>
      <w:tblPr>
        <w:tblStyle w:val="Table"/>
        <w:tblW w:type="auto" w:w="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1414"/>
        <w:gridCol w:w="1913"/>
        <w:gridCol w:w="1913"/>
        <w:gridCol w:w="1913"/>
        <w:gridCol w:w="1913"/>
      </w:tblGrid>
      <w:tr>
        <w:trPr>
          <w:tblHeader w:val="true"/>
        </w:trPr>
        <w:tc>
          <w:tcPr>
            <w:tcW w:type="dxa" w:w="1414"/>
            <w:tcBorders>
              <w:top w:val="nil"/>
              <w:left w:val="nil"/>
              <w:bottom w:val="single" w:sz="6" w:space="0" w:color="000000"/>
              <w:right w:val="nil"/>
            </w:tcBorders>
          </w:tcPr>
          <w:p>
            <w:pPr>
              <w:pStyle w:val="Compact"/>
              <w:jc w:val="left"/>
            </w:pPr>
            <m:oMath>
              <m:r>
                <m:t>β</m:t>
              </m:r>
            </m:oMath>
          </w:p>
        </w:tc>
        <w:tc>
          <w:tcPr>
            <w:tcW w:type="dxa" w:w="1913"/>
            <w:tcBorders>
              <w:top w:val="nil"/>
              <w:left w:val="nil"/>
              <w:bottom w:val="single" w:sz="6" w:space="0" w:color="000000"/>
              <w:right w:val="nil"/>
            </w:tcBorders>
          </w:tcPr>
          <w:p>
            <w:pPr>
              <w:pStyle w:val="Compact"/>
              <w:jc w:val="left"/>
            </w:pPr>
            <m:oMath>
              <m:r>
                <m:t>μ</m:t>
              </m:r>
            </m:oMath>
          </w:p>
        </w:tc>
        <w:tc>
          <w:tcPr>
            <w:tcW w:type="dxa" w:w="1913"/>
            <w:tcBorders>
              <w:top w:val="nil"/>
              <w:left w:val="nil"/>
              <w:bottom w:val="single" w:sz="6" w:space="0" w:color="000000"/>
              <w:right w:val="nil"/>
            </w:tcBorders>
          </w:tcPr>
          <w:p>
            <w:pPr>
              <w:pStyle w:val="Compact"/>
              <w:jc w:val="left"/>
            </w:pPr>
            <m:oMath>
              <m:sSup>
                <m:e>
                  <m:r>
                    <m:t>ξ</m:t>
                  </m:r>
                </m:e>
                <m:sup>
                  <m:r>
                    <m:rPr>
                      <m:sty m:val="p"/>
                    </m:rPr>
                    <m:t>*</m:t>
                  </m:r>
                </m:sup>
              </m:sSup>
            </m:oMath>
          </w:p>
        </w:tc>
        <w:tc>
          <w:tcPr>
            <w:tcW w:type="dxa" w:w="1913"/>
            <w:tcBorders>
              <w:top w:val="nil"/>
              <w:left w:val="nil"/>
              <w:bottom w:val="single" w:sz="6" w:space="0" w:color="000000"/>
              <w:right w:val="nil"/>
            </w:tcBorders>
          </w:tcPr>
          <w:p>
            <w:pPr>
              <w:pStyle w:val="Compact"/>
              <w:jc w:val="left"/>
            </w:pPr>
            <w:r>
              <w:t xml:space="preserve">At</w:t>
            </w:r>
            <w:r>
              <w:t xml:space="preserve"> </w:t>
            </w:r>
            <m:oMath>
              <m:sSup>
                <m:e>
                  <m:r>
                    <m:t>ξ</m:t>
                  </m:r>
                </m:e>
                <m:sup>
                  <m:r>
                    <m:rPr>
                      <m:sty m:val="p"/>
                    </m:rPr>
                    <m:t>*</m:t>
                  </m:r>
                </m:sup>
              </m:sSup>
            </m:oMath>
          </w:p>
        </w:tc>
        <w:tc>
          <w:tcPr>
            <w:tcW w:type="dxa" w:w="1913"/>
            <w:tcBorders>
              <w:top w:val="nil"/>
              <w:left w:val="nil"/>
              <w:bottom w:val="single" w:sz="6" w:space="0" w:color="000000"/>
              <w:right w:val="nil"/>
            </w:tcBorders>
          </w:tcPr>
          <w:p>
            <w:pPr>
              <w:pStyle w:val="Compact"/>
              <w:jc w:val="left"/>
            </w:pPr>
            <w:r>
              <w:t xml:space="preserve">At</w:t>
            </w:r>
            <w:r>
              <w:t xml:space="preserve"> </w:t>
            </w:r>
            <m:oMath>
              <m:r>
                <m:t>ξ</m:t>
              </m:r>
              <m:r>
                <m:rPr>
                  <m:sty m:val="p"/>
                </m:rPr>
                <m:t>=</m:t>
              </m:r>
              <m:r>
                <m:t>1</m:t>
              </m:r>
              <m:r>
                <m:rPr>
                  <m:sty m:val="p"/>
                </m:rPr>
                <m:t>/</m:t>
              </m:r>
              <m:r>
                <m:t>2</m:t>
              </m:r>
            </m:oMath>
          </w:p>
        </w:tc>
      </w:tr>
      <w:tr>
        <w:tc>
          <w:tcPr>
            <w:tcW w:type="dxa" w:w="1414"/>
          </w:tcPr>
          <w:p>
            <w:pPr>
              <w:pStyle w:val="Compact"/>
              <w:jc w:val="left"/>
            </w:pPr>
            <w:r>
              <w:t xml:space="preserve">1.0</w:t>
            </w:r>
          </w:p>
        </w:tc>
        <w:tc>
          <w:tcPr>
            <w:tcW w:type="dxa" w:w="1913"/>
          </w:tcPr>
          <w:p>
            <w:pPr>
              <w:pStyle w:val="Compact"/>
              <w:jc w:val="left"/>
            </w:pPr>
            <w:r>
              <w:t xml:space="preserve">0.80000000</w:t>
            </w:r>
          </w:p>
        </w:tc>
        <w:tc>
          <w:tcPr>
            <w:tcW w:type="dxa" w:w="1913"/>
          </w:tcPr>
          <w:p>
            <w:pPr>
              <w:pStyle w:val="Compact"/>
              <w:jc w:val="left"/>
            </w:pPr>
            <w:r>
              <w:t xml:space="preserve">0.44603660</w:t>
            </w:r>
          </w:p>
        </w:tc>
        <w:tc>
          <w:tcPr>
            <w:tcW w:type="dxa" w:w="1913"/>
          </w:tcPr>
          <w:p>
            <w:pPr>
              <w:pStyle w:val="Compact"/>
              <w:jc w:val="left"/>
            </w:pPr>
            <w:r>
              <w:t xml:space="preserve">1.32176895</w:t>
            </w:r>
          </w:p>
        </w:tc>
        <w:tc>
          <w:tcPr>
            <w:tcW w:type="dxa" w:w="1913"/>
          </w:tcPr>
          <w:p>
            <w:pPr>
              <w:pStyle w:val="Compact"/>
              <w:jc w:val="left"/>
            </w:pPr>
            <w:r>
              <w:t xml:space="preserve">1.30000000</w:t>
            </w:r>
          </w:p>
        </w:tc>
      </w:tr>
      <w:tr>
        <w:tc>
          <w:tcPr>
            <w:tcW w:type="dxa" w:w="1414"/>
          </w:tcPr>
          <w:p>
            <w:pPr>
              <w:pStyle w:val="Compact"/>
              <w:jc w:val="left"/>
            </w:pPr>
            <w:r>
              <w:t xml:space="preserve">1.2</w:t>
            </w:r>
          </w:p>
        </w:tc>
        <w:tc>
          <w:tcPr>
            <w:tcW w:type="dxa" w:w="1913"/>
          </w:tcPr>
          <w:p>
            <w:pPr>
              <w:pStyle w:val="Compact"/>
              <w:jc w:val="left"/>
            </w:pPr>
            <w:r>
              <w:t xml:space="preserve">0.97428571</w:t>
            </w:r>
          </w:p>
        </w:tc>
        <w:tc>
          <w:tcPr>
            <w:tcW w:type="dxa" w:w="1913"/>
          </w:tcPr>
          <w:p>
            <w:pPr>
              <w:pStyle w:val="Compact"/>
              <w:jc w:val="left"/>
            </w:pPr>
            <w:r>
              <w:t xml:space="preserve">0.42508293</w:t>
            </w:r>
          </w:p>
        </w:tc>
        <w:tc>
          <w:tcPr>
            <w:tcW w:type="dxa" w:w="1913"/>
          </w:tcPr>
          <w:p>
            <w:pPr>
              <w:pStyle w:val="Compact"/>
              <w:jc w:val="left"/>
            </w:pPr>
            <w:r>
              <w:t xml:space="preserve">1.07563406</w:t>
            </w:r>
          </w:p>
        </w:tc>
        <w:tc>
          <w:tcPr>
            <w:tcW w:type="dxa" w:w="1913"/>
          </w:tcPr>
          <w:p>
            <w:pPr>
              <w:pStyle w:val="Compact"/>
              <w:jc w:val="left"/>
            </w:pPr>
            <w:r>
              <w:t xml:space="preserve">1.03857143</w:t>
            </w:r>
          </w:p>
        </w:tc>
      </w:tr>
      <w:tr>
        <w:tc>
          <w:tcPr>
            <w:tcW w:type="dxa" w:w="1414"/>
          </w:tcPr>
          <w:p>
            <w:pPr>
              <w:pStyle w:val="Compact"/>
              <w:jc w:val="left"/>
            </w:pPr>
            <w:r>
              <w:t xml:space="preserve">1.4</w:t>
            </w:r>
          </w:p>
        </w:tc>
        <w:tc>
          <w:tcPr>
            <w:tcW w:type="dxa" w:w="1913"/>
          </w:tcPr>
          <w:p>
            <w:pPr>
              <w:pStyle w:val="Compact"/>
              <w:jc w:val="left"/>
            </w:pPr>
            <w:r>
              <w:t xml:space="preserve">1.20774194</w:t>
            </w:r>
          </w:p>
        </w:tc>
        <w:tc>
          <w:tcPr>
            <w:tcW w:type="dxa" w:w="1913"/>
          </w:tcPr>
          <w:p>
            <w:pPr>
              <w:pStyle w:val="Compact"/>
              <w:jc w:val="left"/>
            </w:pPr>
            <w:r>
              <w:t xml:space="preserve">0.38747142</w:t>
            </w:r>
          </w:p>
        </w:tc>
        <w:tc>
          <w:tcPr>
            <w:tcW w:type="dxa" w:w="1913"/>
          </w:tcPr>
          <w:p>
            <w:pPr>
              <w:pStyle w:val="Compact"/>
              <w:jc w:val="left"/>
            </w:pPr>
            <w:r>
              <w:t xml:space="preserve">0.75849895</w:t>
            </w:r>
          </w:p>
        </w:tc>
        <w:tc>
          <w:tcPr>
            <w:tcW w:type="dxa" w:w="1913"/>
          </w:tcPr>
          <w:p>
            <w:pPr>
              <w:pStyle w:val="Compact"/>
              <w:jc w:val="left"/>
            </w:pPr>
            <w:r>
              <w:t xml:space="preserve">0.68838710</w:t>
            </w:r>
          </w:p>
        </w:tc>
      </w:tr>
      <w:tr>
        <w:tc>
          <w:tcPr>
            <w:tcW w:type="dxa" w:w="1414"/>
          </w:tcPr>
          <w:p>
            <w:pPr>
              <w:pStyle w:val="Compact"/>
              <w:jc w:val="left"/>
            </w:pPr>
            <w:r>
              <w:t xml:space="preserve">1.5</w:t>
            </w:r>
          </w:p>
        </w:tc>
        <w:tc>
          <w:tcPr>
            <w:tcW w:type="dxa" w:w="1913"/>
          </w:tcPr>
          <w:p>
            <w:pPr>
              <w:pStyle w:val="Compact"/>
              <w:jc w:val="left"/>
            </w:pPr>
            <w:r>
              <w:t xml:space="preserve">1.34615385</w:t>
            </w:r>
          </w:p>
        </w:tc>
        <w:tc>
          <w:tcPr>
            <w:tcW w:type="dxa" w:w="1913"/>
          </w:tcPr>
          <w:p>
            <w:pPr>
              <w:pStyle w:val="Compact"/>
              <w:jc w:val="left"/>
            </w:pPr>
            <w:r>
              <w:t xml:space="preserve">0.35820014</w:t>
            </w:r>
          </w:p>
        </w:tc>
        <w:tc>
          <w:tcPr>
            <w:tcW w:type="dxa" w:w="1913"/>
          </w:tcPr>
          <w:p>
            <w:pPr>
              <w:pStyle w:val="Compact"/>
              <w:jc w:val="left"/>
            </w:pPr>
            <w:r>
              <w:t xml:space="preserve">0.58065335</w:t>
            </w:r>
          </w:p>
        </w:tc>
        <w:tc>
          <w:tcPr>
            <w:tcW w:type="dxa" w:w="1913"/>
          </w:tcPr>
          <w:p>
            <w:pPr>
              <w:pStyle w:val="Compact"/>
              <w:jc w:val="left"/>
            </w:pPr>
            <w:r>
              <w:t xml:space="preserve">0.48076923</w:t>
            </w:r>
          </w:p>
        </w:tc>
      </w:tr>
      <w:tr>
        <w:tc>
          <w:tcPr>
            <w:tcW w:type="dxa" w:w="1414"/>
          </w:tcPr>
          <w:p>
            <w:pPr>
              <w:pStyle w:val="Compact"/>
              <w:jc w:val="left"/>
            </w:pPr>
            <w:r>
              <w:t xml:space="preserve">1.63636</w:t>
            </w:r>
          </w:p>
        </w:tc>
        <w:tc>
          <w:tcPr>
            <w:tcW w:type="dxa" w:w="1913"/>
          </w:tcPr>
          <w:p>
            <w:pPr>
              <w:pStyle w:val="Compact"/>
              <w:jc w:val="left"/>
            </w:pPr>
            <w:r>
              <w:t xml:space="preserve">1.55785124</w:t>
            </w:r>
          </w:p>
        </w:tc>
        <w:tc>
          <w:tcPr>
            <w:tcW w:type="dxa" w:w="1913"/>
          </w:tcPr>
          <w:p>
            <w:pPr>
              <w:pStyle w:val="Compact"/>
              <w:jc w:val="left"/>
            </w:pPr>
            <w:r>
              <w:t xml:space="preserve">0.29944923</w:t>
            </w:r>
          </w:p>
        </w:tc>
        <w:tc>
          <w:tcPr>
            <w:tcW w:type="dxa" w:w="1913"/>
          </w:tcPr>
          <w:p>
            <w:pPr>
              <w:pStyle w:val="Compact"/>
              <w:jc w:val="left"/>
            </w:pPr>
            <w:r>
              <w:t xml:space="preserve">0.33162780</w:t>
            </w:r>
          </w:p>
        </w:tc>
        <w:tc>
          <w:tcPr>
            <w:tcW w:type="dxa" w:w="1913"/>
          </w:tcPr>
          <w:p>
            <w:pPr>
              <w:pStyle w:val="Compact"/>
              <w:jc w:val="left"/>
            </w:pPr>
            <w:r>
              <w:t xml:space="preserve">0.16322314</w:t>
            </w:r>
          </w:p>
        </w:tc>
      </w:tr>
      <w:tr>
        <w:tc>
          <w:tcPr>
            <w:tcW w:type="dxa" w:w="1414"/>
          </w:tcPr>
          <w:p>
            <w:pPr>
              <w:pStyle w:val="Compact"/>
              <w:jc w:val="left"/>
            </w:pPr>
            <w:r>
              <w:t xml:space="preserve">1.7</w:t>
            </w:r>
          </w:p>
        </w:tc>
        <w:tc>
          <w:tcPr>
            <w:tcW w:type="dxa" w:w="1913"/>
          </w:tcPr>
          <w:p>
            <w:pPr>
              <w:pStyle w:val="Compact"/>
              <w:jc w:val="left"/>
            </w:pPr>
            <w:r>
              <w:t xml:space="preserve">1.66563380</w:t>
            </w:r>
          </w:p>
        </w:tc>
        <w:tc>
          <w:tcPr>
            <w:tcW w:type="dxa" w:w="1913"/>
          </w:tcPr>
          <w:p>
            <w:pPr>
              <w:pStyle w:val="Compact"/>
              <w:jc w:val="left"/>
            </w:pPr>
            <w:r>
              <w:t xml:space="preserve">0.26077470</w:t>
            </w:r>
          </w:p>
        </w:tc>
        <w:tc>
          <w:tcPr>
            <w:tcW w:type="dxa" w:w="1913"/>
          </w:tcPr>
          <w:p>
            <w:pPr>
              <w:pStyle w:val="Compact"/>
              <w:jc w:val="left"/>
            </w:pPr>
            <w:r>
              <w:t xml:space="preserve">0.22018607</w:t>
            </w:r>
          </w:p>
        </w:tc>
        <w:tc>
          <w:tcPr>
            <w:tcW w:type="dxa" w:w="1913"/>
          </w:tcPr>
          <w:p>
            <w:pPr>
              <w:pStyle w:val="Compact"/>
              <w:jc w:val="left"/>
            </w:pPr>
            <w:r>
              <w:t xml:space="preserve">0.00154930</w:t>
            </w:r>
          </w:p>
        </w:tc>
      </w:tr>
    </w:tbl>
    <w:p>
      <w:pPr>
        <w:pStyle w:val="BodyText"/>
      </w:pPr>
      <w:r>
        <w:t xml:space="preserve">Fig. 3a maps the indicator over</w:t>
      </w:r>
      <w:r>
        <w:t xml:space="preserve"> </w:t>
      </w:r>
      <m:oMath>
        <m:r>
          <m:t>β</m:t>
        </m:r>
      </m:oMath>
      <w:r>
        <w:t xml:space="preserve"> </w:t>
      </w:r>
      <w:r>
        <w:t xml:space="preserve">and</w:t>
      </w:r>
      <w:r>
        <w:t xml:space="preserve"> </w:t>
      </w:r>
      <m:oMath>
        <m:r>
          <m:t>ξ</m:t>
        </m:r>
      </m:oMath>
      <w:r>
        <w:t xml:space="preserve">, with the blind locus, the near-blind band and</w:t>
      </w:r>
      <w:r>
        <w:t xml:space="preserve"> </w:t>
      </w:r>
      <m:oMath>
        <m:sSup>
          <m:e>
            <m:r>
              <m:t>ξ</m:t>
            </m:r>
          </m:e>
          <m:sup>
            <m:r>
              <m:rPr>
                <m:sty m:val="p"/>
              </m:rPr>
              <m:t>*</m:t>
            </m:r>
          </m:sup>
        </m:sSup>
        <m:d>
          <m:dPr>
            <m:begChr m:val="("/>
            <m:endChr m:val=")"/>
            <m:sepChr m:val=""/>
            <m:grow/>
          </m:dPr>
          <m:e>
            <m:r>
              <m:t>β</m:t>
            </m:r>
          </m:e>
        </m:d>
      </m:oMath>
      <w:r>
        <w:t xml:space="preserve">. Fig. 3b treats asymmetric layouts with the general closed form (Appendix D). The far side span matters little while it is short: for</w:t>
      </w:r>
      <w:r>
        <w:t xml:space="preserve"> </w:t>
      </w:r>
      <m:oMath>
        <m:sSub>
          <m:e>
            <m:r>
              <m:t>L</m:t>
            </m:r>
          </m:e>
          <m:sub>
            <m:r>
              <m:t>3</m:t>
            </m:r>
          </m:sub>
        </m:sSub>
        <m:r>
          <m:rPr>
            <m:sty m:val="p"/>
          </m:rPr>
          <m:t>/</m:t>
        </m:r>
        <m:sSub>
          <m:e>
            <m:r>
              <m:t>L</m:t>
            </m:r>
          </m:e>
          <m:sub>
            <m:r>
              <m:t>2</m:t>
            </m:r>
          </m:sub>
        </m:sSub>
      </m:oMath>
      <w:r>
        <w:t xml:space="preserve"> </w:t>
      </w:r>
      <w:r>
        <w:t xml:space="preserve">between 0.3 and 0.6, the blind ratio</w:t>
      </w:r>
      <w:r>
        <w:t xml:space="preserve"> </w:t>
      </w:r>
      <m:oMath>
        <m:sSub>
          <m:e>
            <m:r>
              <m:t>L</m:t>
            </m:r>
          </m:e>
          <m:sub>
            <m:r>
              <m:t>1</m:t>
            </m:r>
          </m:sub>
        </m:sSub>
        <m:r>
          <m:rPr>
            <m:sty m:val="p"/>
          </m:rPr>
          <m:t>/</m:t>
        </m:r>
        <m:sSub>
          <m:e>
            <m:r>
              <m:t>L</m:t>
            </m:r>
          </m:e>
          <m:sub>
            <m:r>
              <m:t>2</m:t>
            </m:r>
          </m:sub>
        </m:sSub>
      </m:oMath>
      <w:r>
        <w:t xml:space="preserve"> </w:t>
      </w:r>
      <w:r>
        <w:t xml:space="preserve">for a mid span-1 sensor stays between 0.587 and 0.592.</w:t>
      </w:r>
    </w:p>
    <w:bookmarkEnd w:id="25"/>
    <w:bookmarkStart w:id="26" w:name="estimators-and-observability-indicators"/>
    <w:p>
      <w:pPr>
        <w:pStyle w:val="Heading3"/>
      </w:pPr>
      <w:r>
        <w:t xml:space="preserve">2.4. Estimators and observability indicators</w:t>
      </w:r>
    </w:p>
    <w:p>
      <w:pPr>
        <w:pStyle w:val="FirstParagraph"/>
      </w:pPr>
      <w:r>
        <w:t xml:space="preserve">If</w:t>
      </w:r>
      <w:r>
        <w:t xml:space="preserve"> </w:t>
      </w:r>
      <m:oMath>
        <m:r>
          <m:t>E</m:t>
        </m:r>
      </m:oMath>
      <w:r>
        <w:t xml:space="preserve">,</w:t>
      </w:r>
      <w:r>
        <w:t xml:space="preserve"> </w:t>
      </w:r>
      <m:oMath>
        <m:r>
          <m:t>I</m:t>
        </m:r>
      </m:oMath>
      <w:r>
        <w:t xml:space="preserve"> </w:t>
      </w:r>
      <w:r>
        <w:t xml:space="preserve">and the spans are known, Eq. (2) gives the beam-property method (BPM),</w:t>
      </w:r>
      <w:r>
        <w:t xml:space="preserve"> </w:t>
      </w:r>
      <m:oMath>
        <m:sSub>
          <m:e>
            <m:r>
              <m:t>P</m:t>
            </m:r>
          </m:e>
          <m:sub>
            <m:r>
              <m:rPr>
                <m:sty m:val="p"/>
              </m:rPr>
              <m:t>t</m:t>
            </m:r>
            <m:r>
              <m:rPr>
                <m:sty m:val="p"/>
              </m:rPr>
              <m:t>o</m:t>
            </m:r>
            <m:r>
              <m:rPr>
                <m:sty m:val="p"/>
              </m:rPr>
              <m:t>t</m:t>
            </m:r>
          </m:sub>
        </m:sSub>
        <m:r>
          <m:rPr>
            <m:sty m:val="p"/>
          </m:rPr>
          <m:t>=</m:t>
        </m:r>
        <m:sSub>
          <m:e>
            <m:r>
              <m:t>I</m:t>
            </m:r>
          </m:e>
          <m:sub>
            <m:r>
              <m:t>y</m:t>
            </m:r>
          </m:sub>
        </m:sSub>
        <m:r>
          <m:rPr>
            <m:sty m:val="p"/>
          </m:rPr>
          <m:t>/</m:t>
        </m:r>
        <m:sSub>
          <m:e>
            <m:r>
              <m:t>C</m:t>
            </m:r>
          </m:e>
          <m:sub>
            <m:r>
              <m:t>m</m:t>
            </m:r>
          </m:sub>
        </m:sSub>
      </m:oMath>
      <w:r>
        <w:t xml:space="preserve">. Because</w:t>
      </w:r>
      <w:r>
        <w:t xml:space="preserve"> </w:t>
      </w:r>
      <m:oMath>
        <m:sSub>
          <m:e>
            <m:r>
              <m:t>C</m:t>
            </m:r>
          </m:e>
          <m:sub>
            <m:r>
              <m:t>m</m:t>
            </m:r>
          </m:sub>
        </m:sSub>
        <m:r>
          <m:rPr>
            <m:sty m:val="p"/>
          </m:rPr>
          <m:t>∝</m:t>
        </m:r>
        <m:sSup>
          <m:e>
            <m:r>
              <m:t>L</m:t>
            </m:r>
          </m:e>
          <m:sup>
            <m:r>
              <m:t>4</m:t>
            </m:r>
          </m:sup>
        </m:sSup>
      </m:oMath>
      <w:r>
        <w:t xml:space="preserve">, a 1 % error in span length produces a 4 % error in the load, and on an existing bridge</w:t>
      </w:r>
      <w:r>
        <w:t xml:space="preserve"> </w:t>
      </w:r>
      <m:oMath>
        <m:r>
          <m:t>E</m:t>
        </m:r>
        <m:r>
          <m:t>I</m:t>
        </m:r>
      </m:oMath>
      <w:r>
        <w:t xml:space="preserve"> </w:t>
      </w:r>
      <w:r>
        <w:t xml:space="preserve">is rarely known to better than a few per cent. The standard-load method (SLM) removes this requirement: a load of known total weight</w:t>
      </w:r>
      <w:r>
        <w:t xml:space="preserve"> </w:t>
      </w:r>
      <m:oMath>
        <m:sSub>
          <m:e>
            <m:r>
              <m:t>P</m:t>
            </m:r>
          </m:e>
          <m:sub>
            <m:r>
              <m:t>0</m:t>
            </m:r>
          </m:sub>
        </m:sSub>
      </m:oMath>
      <w:r>
        <w:t xml:space="preserve"> </w:t>
      </w:r>
      <w:r>
        <w:t xml:space="preserve">crosses the structure, and since both crossings share</w:t>
      </w:r>
      <w:r>
        <w:t xml:space="preserve"> </w:t>
      </w:r>
      <m:oMath>
        <m:sSub>
          <m:e>
            <m:r>
              <m:t>C</m:t>
            </m:r>
          </m:e>
          <m:sub>
            <m:r>
              <m:t>m</m:t>
            </m:r>
          </m:sub>
        </m:sSub>
      </m:oMath>
      <w:r>
        <w:t xml:space="preserve">,</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P</m:t>
                    </m:r>
                  </m:e>
                  <m:sub>
                    <m:r>
                      <m:t>t</m:t>
                    </m:r>
                  </m:sub>
                </m:sSub>
                <m:r>
                  <m:rPr>
                    <m:sty m:val="p"/>
                  </m:rPr>
                  <m:t>=</m:t>
                </m:r>
                <m:sSub>
                  <m:e>
                    <m:r>
                      <m:t>P</m:t>
                    </m:r>
                  </m:e>
                  <m:sub>
                    <m:r>
                      <m:t>0</m:t>
                    </m:r>
                  </m:sub>
                </m:sSub>
                <m:r>
                  <m:t> </m:t>
                </m:r>
                <m:f>
                  <m:fPr>
                    <m:type m:val="bar"/>
                  </m:fPr>
                  <m:num>
                    <m:sSub>
                      <m:e>
                        <m:r>
                          <m:t>I</m:t>
                        </m:r>
                      </m:e>
                      <m:sub>
                        <m:r>
                          <m:t>y</m:t>
                        </m:r>
                        <m:r>
                          <m:rPr>
                            <m:sty m:val="p"/>
                          </m:rPr>
                          <m:t>,</m:t>
                        </m:r>
                        <m:r>
                          <m:t>t</m:t>
                        </m:r>
                      </m:sub>
                    </m:sSub>
                  </m:num>
                  <m:den>
                    <m:sSub>
                      <m:e>
                        <m:r>
                          <m:t>I</m:t>
                        </m:r>
                      </m:e>
                      <m:sub>
                        <m:r>
                          <m:t>y</m:t>
                        </m:r>
                        <m:r>
                          <m:rPr>
                            <m:sty m:val="p"/>
                          </m:rPr>
                          <m:t>,</m:t>
                        </m:r>
                        <m:r>
                          <m:t>0</m:t>
                        </m:r>
                      </m:sub>
                    </m:sSub>
                  </m:den>
                </m:f>
                <m:r>
                  <m:rPr>
                    <m:sty m:val="p"/>
                  </m:rPr>
                  <m:t>.</m:t>
                </m:r>
              </m:oMath>
            </m:oMathPara>
          </w:p>
        </w:tc>
        <w:tc>
          <w:tcPr>
            <w:tcW w:type="dxa" w:w="1088"/>
            <w:vAlign w:val="center"/>
          </w:tcPr>
          <w:p>
            <w:pPr>
              <w:jc w:val="right"/>
            </w:pPr>
            <w:r>
              <w:t xml:space="preserve">(11)</w:t>
            </w:r>
          </w:p>
        </w:tc>
      </w:tr>
    </w:tbl>
    <w:p>
      <w:pPr>
        <w:pStyle w:val="BodyText"/>
      </w:pPr>
      <w:r>
        <w:t xml:space="preserve">Eq. (11) is the influence-area calibration of Ojio and Yamada [27] written for a deflection record. The procedure is: (i) weigh a reference load; (ii) record one or, preferably, several complete crossings of it and average the integrals; (iii) record the unknown crossing; (iv) evaluate both integrals with the same quadrature rule and sampling grid; (v) apply Eq. (11). SLM cancels the structural factor shared by the two crossings, and with it the dependence on flexural rigidity, span length and support conditions. Other systematic errors cancel only to the extent that they are common to the two crossings, and independent random errors do not cancel at all (Section 6).</w:t>
      </w:r>
    </w:p>
    <w:p>
      <w:pPr>
        <w:pStyle w:val="BodyText"/>
      </w:pPr>
      <w:r>
        <w:t xml:space="preserve">Records are discrete. With samples</w:t>
      </w:r>
      <w:r>
        <w:t xml:space="preserve"> </w:t>
      </w:r>
      <m:oMath>
        <m:sSub>
          <m:e>
            <m:r>
              <m:t>y</m:t>
            </m:r>
          </m:e>
          <m:sub>
            <m:r>
              <m:t>i</m:t>
            </m:r>
          </m:sub>
        </m:sSub>
      </m:oMath>
      <w:r>
        <w:t xml:space="preserve"> </w:t>
      </w:r>
      <w:r>
        <w:t xml:space="preserve">at</w:t>
      </w:r>
      <w:r>
        <w:t xml:space="preserve"> </w:t>
      </w:r>
      <m:oMath>
        <m:sSub>
          <m:e>
            <m:r>
              <m:t>x</m:t>
            </m:r>
          </m:e>
          <m:sub>
            <m:r>
              <m:t>i</m:t>
            </m:r>
          </m:sub>
        </m:sSub>
        <m:r>
          <m:rPr>
            <m:sty m:val="p"/>
          </m:rPr>
          <m:t>=</m:t>
        </m:r>
        <m:r>
          <m:t>i</m:t>
        </m:r>
        <m:r>
          <m:t>Δ</m:t>
        </m:r>
        <m:r>
          <m:t>x</m:t>
        </m:r>
      </m:oMath>
      <w:r>
        <w:t xml:space="preserve"> </w:t>
      </w:r>
      <w:r>
        <w:t xml:space="preserve">the trapezoidal and Simpson rules are</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Sup>
                  <m:e>
                    <m:r>
                      <m:t>I</m:t>
                    </m:r>
                  </m:e>
                  <m:sub>
                    <m:r>
                      <m:t>y</m:t>
                    </m:r>
                  </m:sub>
                  <m:sup>
                    <m:r>
                      <m:rPr>
                        <m:sty m:val="p"/>
                      </m:rPr>
                      <m:t>t</m:t>
                    </m:r>
                    <m:r>
                      <m:rPr>
                        <m:sty m:val="p"/>
                      </m:rPr>
                      <m:t>r</m:t>
                    </m:r>
                    <m:r>
                      <m:rPr>
                        <m:sty m:val="p"/>
                      </m:rPr>
                      <m:t>a</m:t>
                    </m:r>
                    <m:r>
                      <m:rPr>
                        <m:sty m:val="p"/>
                      </m:rPr>
                      <m:t>p</m:t>
                    </m:r>
                  </m:sup>
                </m:sSubSup>
                <m:r>
                  <m:rPr>
                    <m:sty m:val="p"/>
                  </m:rPr>
                  <m:t>=</m:t>
                </m:r>
                <m:r>
                  <m:t>Δ</m:t>
                </m:r>
                <m:r>
                  <m:t>x</m:t>
                </m:r>
                <m:d>
                  <m:dPr>
                    <m:begChr m:val="["/>
                    <m:endChr m:val="]"/>
                    <m:sepChr m:val=""/>
                    <m:grow/>
                  </m:dPr>
                  <m:e>
                    <m:f>
                      <m:fPr>
                        <m:type m:val="lin"/>
                      </m:fPr>
                      <m:num>
                        <m:sSub>
                          <m:e>
                            <m:r>
                              <m:t>y</m:t>
                            </m:r>
                          </m:e>
                          <m:sub>
                            <m:r>
                              <m:t>0</m:t>
                            </m:r>
                          </m:sub>
                        </m:sSub>
                      </m:num>
                      <m:den>
                        <m:r>
                          <m:t>2</m:t>
                        </m:r>
                      </m:den>
                    </m:f>
                    <m:r>
                      <m:rPr>
                        <m:sty m:val="p"/>
                      </m:rPr>
                      <m:t>+</m:t>
                    </m:r>
                    <m:nary>
                      <m:naryPr>
                        <m:chr m:val="∑"/>
                        <m:limLoc m:val="undOvr"/>
                        <m:subHide m:val="off"/>
                        <m:supHide m:val="off"/>
                      </m:naryPr>
                      <m:sub>
                        <m:r>
                          <m:t>i</m:t>
                        </m:r>
                        <m:r>
                          <m:rPr>
                            <m:sty m:val="p"/>
                          </m:rPr>
                          <m:t>=</m:t>
                        </m:r>
                        <m:r>
                          <m:t>1</m:t>
                        </m:r>
                      </m:sub>
                      <m:sup>
                        <m:r>
                          <m:t>n</m:t>
                        </m:r>
                        <m:r>
                          <m:rPr>
                            <m:sty m:val="p"/>
                          </m:rPr>
                          <m:t>−</m:t>
                        </m:r>
                        <m:r>
                          <m:t>1</m:t>
                        </m:r>
                      </m:sup>
                      <m:e>
                        <m:sSub>
                          <m:e>
                            <m:r>
                              <m:t>y</m:t>
                            </m:r>
                          </m:e>
                          <m:sub>
                            <m:r>
                              <m:t>i</m:t>
                            </m:r>
                          </m:sub>
                        </m:sSub>
                      </m:e>
                    </m:nary>
                    <m:r>
                      <m:rPr>
                        <m:sty m:val="p"/>
                      </m:rPr>
                      <m:t>+</m:t>
                    </m:r>
                    <m:f>
                      <m:fPr>
                        <m:type m:val="lin"/>
                      </m:fPr>
                      <m:num>
                        <m:sSub>
                          <m:e>
                            <m:r>
                              <m:t>y</m:t>
                            </m:r>
                          </m:e>
                          <m:sub>
                            <m:r>
                              <m:t>n</m:t>
                            </m:r>
                          </m:sub>
                        </m:sSub>
                      </m:num>
                      <m:den>
                        <m:r>
                          <m:t>2</m:t>
                        </m:r>
                      </m:den>
                    </m:f>
                  </m:e>
                </m:d>
                <m:r>
                  <m:rPr>
                    <m:sty m:val="p"/>
                  </m:rPr>
                  <m:t>,</m:t>
                </m:r>
                <m:r>
                  <m:t>  </m:t>
                </m:r>
                <m:sSubSup>
                  <m:e>
                    <m:r>
                      <m:t>I</m:t>
                    </m:r>
                  </m:e>
                  <m:sub>
                    <m:r>
                      <m:t>y</m:t>
                    </m:r>
                  </m:sub>
                  <m:sup>
                    <m:r>
                      <m:rPr>
                        <m:sty m:val="p"/>
                      </m:rPr>
                      <m:t>S</m:t>
                    </m:r>
                    <m:r>
                      <m:rPr>
                        <m:sty m:val="p"/>
                      </m:rPr>
                      <m:t>i</m:t>
                    </m:r>
                    <m:r>
                      <m:rPr>
                        <m:sty m:val="p"/>
                      </m:rPr>
                      <m:t>m</m:t>
                    </m:r>
                    <m:r>
                      <m:rPr>
                        <m:sty m:val="p"/>
                      </m:rPr>
                      <m:t>p</m:t>
                    </m:r>
                  </m:sup>
                </m:sSubSup>
                <m:r>
                  <m:rPr>
                    <m:sty m:val="p"/>
                  </m:rPr>
                  <m:t>=</m:t>
                </m:r>
                <m:f>
                  <m:fPr>
                    <m:type m:val="bar"/>
                  </m:fPr>
                  <m:num>
                    <m:r>
                      <m:t>Δ</m:t>
                    </m:r>
                    <m:r>
                      <m:t>x</m:t>
                    </m:r>
                  </m:num>
                  <m:den>
                    <m:r>
                      <m:t>3</m:t>
                    </m:r>
                  </m:den>
                </m:f>
                <m:d>
                  <m:dPr>
                    <m:begChr m:val="["/>
                    <m:endChr m:val="]"/>
                    <m:sepChr m:val=""/>
                    <m:grow/>
                  </m:dPr>
                  <m:e>
                    <m:sSub>
                      <m:e>
                        <m:r>
                          <m:t>y</m:t>
                        </m:r>
                      </m:e>
                      <m:sub>
                        <m:r>
                          <m:t>0</m:t>
                        </m:r>
                      </m:sub>
                    </m:sSub>
                    <m:r>
                      <m:rPr>
                        <m:sty m:val="p"/>
                      </m:rPr>
                      <m:t>+</m:t>
                    </m:r>
                    <m:r>
                      <m:t>4</m:t>
                    </m:r>
                    <m:r>
                      <m:t>​</m:t>
                    </m:r>
                    <m:nary>
                      <m:naryPr>
                        <m:chr m:val="∑"/>
                        <m:limLoc m:val="undOvr"/>
                        <m:subHide m:val="off"/>
                        <m:supHide m:val="on"/>
                      </m:naryPr>
                      <m:sub>
                        <m:r>
                          <m:t>i</m:t>
                        </m:r>
                        <m:r>
                          <m:t> </m:t>
                        </m:r>
                        <m:r>
                          <m:rPr>
                            <m:sty m:val="p"/>
                          </m:rPr>
                          <m:t>o</m:t>
                        </m:r>
                        <m:r>
                          <m:rPr>
                            <m:sty m:val="p"/>
                          </m:rPr>
                          <m:t>d</m:t>
                        </m:r>
                        <m:r>
                          <m:rPr>
                            <m:sty m:val="p"/>
                          </m:rPr>
                          <m:t>d</m:t>
                        </m:r>
                      </m:sub>
                      <m:sup>
                        <m:r>
                          <m:t>​</m:t>
                        </m:r>
                      </m:sup>
                      <m:e>
                        <m:r>
                          <m:t>​</m:t>
                        </m:r>
                      </m:e>
                    </m:nary>
                    <m:sSub>
                      <m:e>
                        <m:r>
                          <m:t>y</m:t>
                        </m:r>
                      </m:e>
                      <m:sub>
                        <m:r>
                          <m:t>i</m:t>
                        </m:r>
                      </m:sub>
                    </m:sSub>
                    <m:r>
                      <m:rPr>
                        <m:sty m:val="p"/>
                      </m:rPr>
                      <m:t>+</m:t>
                    </m:r>
                    <m:r>
                      <m:t>2</m:t>
                    </m:r>
                    <m:r>
                      <m:t>​</m:t>
                    </m:r>
                    <m:r>
                      <m:t>​</m:t>
                    </m:r>
                    <m:nary>
                      <m:naryPr>
                        <m:chr m:val="∑"/>
                        <m:limLoc m:val="undOvr"/>
                        <m:subHide m:val="off"/>
                        <m:supHide m:val="on"/>
                      </m:naryPr>
                      <m:sub>
                        <m:r>
                          <m:t>i</m:t>
                        </m:r>
                        <m:r>
                          <m:t> </m:t>
                        </m:r>
                        <m:r>
                          <m:rPr>
                            <m:sty m:val="p"/>
                          </m:rPr>
                          <m:t>e</m:t>
                        </m:r>
                        <m:r>
                          <m:rPr>
                            <m:sty m:val="p"/>
                          </m:rPr>
                          <m:t>v</m:t>
                        </m:r>
                        <m:r>
                          <m:rPr>
                            <m:sty m:val="p"/>
                          </m:rPr>
                          <m:t>e</m:t>
                        </m:r>
                        <m:r>
                          <m:rPr>
                            <m:sty m:val="p"/>
                          </m:rPr>
                          <m:t>n</m:t>
                        </m:r>
                        <m:r>
                          <m:rPr>
                            <m:sty m:val="p"/>
                          </m:rPr>
                          <m:t>≠</m:t>
                        </m:r>
                        <m:r>
                          <m:t>0</m:t>
                        </m:r>
                        <m:r>
                          <m:rPr>
                            <m:sty m:val="p"/>
                          </m:rPr>
                          <m:t>,</m:t>
                        </m:r>
                        <m:r>
                          <m:t>n</m:t>
                        </m:r>
                      </m:sub>
                      <m:sup>
                        <m:r>
                          <m:t>​</m:t>
                        </m:r>
                      </m:sup>
                      <m:e>
                        <m:r>
                          <m:t>​</m:t>
                        </m:r>
                      </m:e>
                    </m:nary>
                    <m:r>
                      <m:t>​</m:t>
                    </m:r>
                    <m:sSub>
                      <m:e>
                        <m:r>
                          <m:t>y</m:t>
                        </m:r>
                      </m:e>
                      <m:sub>
                        <m:r>
                          <m:t>i</m:t>
                        </m:r>
                      </m:sub>
                    </m:sSub>
                    <m:r>
                      <m:rPr>
                        <m:sty m:val="p"/>
                      </m:rPr>
                      <m:t>+</m:t>
                    </m:r>
                    <m:sSub>
                      <m:e>
                        <m:r>
                          <m:t>y</m:t>
                        </m:r>
                      </m:e>
                      <m:sub>
                        <m:r>
                          <m:t>n</m:t>
                        </m:r>
                      </m:sub>
                    </m:sSub>
                  </m:e>
                </m:d>
                <m:r>
                  <m:rPr>
                    <m:sty m:val="p"/>
                  </m:rPr>
                  <m:t>.</m:t>
                </m:r>
              </m:oMath>
            </m:oMathPara>
          </w:p>
        </w:tc>
        <w:tc>
          <w:tcPr>
            <w:tcW w:type="dxa" w:w="1088"/>
            <w:vAlign w:val="center"/>
          </w:tcPr>
          <w:p>
            <w:pPr>
              <w:jc w:val="right"/>
            </w:pPr>
            <w:r>
              <w:t xml:space="preserve">(12)</w:t>
            </w:r>
          </w:p>
        </w:tc>
      </w:tr>
    </w:tbl>
    <w:p>
      <w:pPr>
        <w:pStyle w:val="BodyText"/>
      </w:pPr>
      <w:r>
        <w:t xml:space="preserve">The Simpson rule of Eq. (12) needs an even number of intervals</w:t>
      </w:r>
      <w:r>
        <w:t xml:space="preserve"> </w:t>
      </w:r>
      <m:oMath>
        <m:r>
          <m:t>n</m:t>
        </m:r>
      </m:oMath>
      <w:r>
        <w:t xml:space="preserve">; for odd</w:t>
      </w:r>
      <w:r>
        <w:t xml:space="preserve"> </w:t>
      </w:r>
      <m:oMath>
        <m:r>
          <m:t>n</m:t>
        </m:r>
      </m:oMath>
      <w:r>
        <w:t xml:space="preserve"> </w:t>
      </w:r>
      <w:r>
        <w:t xml:space="preserve">the last three intervals use Simpson’s 3/8 rule. The end half-weights vanish only for a record that starts and ends at zero deflection, as in the laboratory but not on a bridge with residual deflection. Because the influence line of a continuous beam is piecewise cubic and twice differentiable, Simpson quadrature is nearly exact for a single load, whereas the trapezoidal rule converges only as</w:t>
      </w:r>
      <w:r>
        <w:t xml:space="preserve"> </w:t>
      </w:r>
      <m:oMath>
        <m:r>
          <m:t>Δ</m:t>
        </m:r>
        <m:sSup>
          <m:e>
            <m:r>
              <m:t>x</m:t>
            </m:r>
          </m:e>
          <m:sup>
            <m:r>
              <m:t>2</m:t>
            </m:r>
          </m:sup>
        </m:sSup>
      </m:oMath>
      <w:r>
        <w:t xml:space="preserve"> </w:t>
      </w:r>
      <w:r>
        <w:t xml:space="preserve">(Section 3.2). Each further axle, however, adds slope discontinuities where it enters and leaves the beam, and Simpson quadrature keeps this accuracy only when these kinks fall on panel edges; otherwise the trapezoidal rule with</w:t>
      </w:r>
      <w:r>
        <w:t xml:space="preserve"> </w:t>
      </w:r>
      <m:oMath>
        <m:r>
          <m:t>Δ</m:t>
        </m:r>
        <m:r>
          <m:t>x</m:t>
        </m:r>
        <m:r>
          <m:rPr>
            <m:sty m:val="p"/>
          </m:rPr>
          <m:t>≤</m:t>
        </m:r>
        <m:r>
          <m:t>l</m:t>
        </m:r>
        <m:r>
          <m:rPr>
            <m:sty m:val="p"/>
          </m:rPr>
          <m:t>/</m:t>
        </m:r>
        <m:r>
          <m:t>20</m:t>
        </m:r>
      </m:oMath>
      <w:r>
        <w:t xml:space="preserve"> </w:t>
      </w:r>
      <w:r>
        <w:t xml:space="preserve">is the safer choice.</w:t>
      </w:r>
    </w:p>
    <w:p>
      <w:pPr>
        <w:pStyle w:val="BodyText"/>
      </w:pPr>
      <w:r>
        <w:t xml:space="preserve">Both estimators divide by</w:t>
      </w:r>
      <w:r>
        <w:t xml:space="preserve"> </w:t>
      </w:r>
      <m:oMath>
        <m:sSub>
          <m:e>
            <m:r>
              <m:t>C</m:t>
            </m:r>
          </m:e>
          <m:sub>
            <m:r>
              <m:t>m</m:t>
            </m:r>
          </m:sub>
        </m:sSub>
      </m:oMath>
      <w:r>
        <w:t xml:space="preserve">, so to first order the measurement sensitivity scales as</w:t>
      </w:r>
      <w:r>
        <w:t xml:space="preserve"> </w:t>
      </w:r>
      <m:oMath>
        <m:r>
          <m:t>1</m:t>
        </m:r>
        <m:r>
          <m:rPr>
            <m:sty m:val="p"/>
          </m:rPr>
          <m:t>/</m:t>
        </m:r>
        <m:d>
          <m:dPr>
            <m:begChr m:val="|"/>
            <m:endChr m:val="|"/>
            <m:sepChr m:val=""/>
            <m:grow/>
          </m:dPr>
          <m:e>
            <m:sSub>
              <m:e>
                <m:r>
                  <m:t>C</m:t>
                </m:r>
              </m:e>
              <m:sub>
                <m:r>
                  <m:t>m</m:t>
                </m:r>
              </m:sub>
            </m:sSub>
          </m:e>
        </m:d>
      </m:oMath>
      <w:r>
        <w:t xml:space="preserve">. We therefore propose</w:t>
      </w:r>
      <w:r>
        <w:t xml:space="preserve"> </w:t>
      </w:r>
      <m:oMath>
        <m:d>
          <m:dPr>
            <m:begChr m:val="|"/>
            <m:endChr m:val="|"/>
            <m:sepChr m:val=""/>
            <m:grow/>
          </m:dPr>
          <m:e>
            <m:sSub>
              <m:e>
                <m:r>
                  <m:t>C</m:t>
                </m:r>
              </m:e>
              <m:sub>
                <m:r>
                  <m:t>m</m:t>
                </m:r>
              </m:sub>
            </m:sSub>
          </m:e>
        </m:d>
      </m:oMath>
      <w:r>
        <w:t xml:space="preserve">, in the normalised form</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N</m:t>
                    </m:r>
                  </m:e>
                  <m:sub>
                    <m:r>
                      <m:t>m</m:t>
                    </m:r>
                  </m:sub>
                </m:sSub>
                <m:r>
                  <m:rPr>
                    <m:sty m:val="p"/>
                  </m:rPr>
                  <m:t>=</m:t>
                </m:r>
                <m:f>
                  <m:fPr>
                    <m:type m:val="bar"/>
                  </m:fPr>
                  <m:num>
                    <m:r>
                      <m:t>192</m:t>
                    </m:r>
                    <m:r>
                      <m:t>E</m:t>
                    </m:r>
                    <m:sSub>
                      <m:e>
                        <m:r>
                          <m:t>I</m:t>
                        </m:r>
                      </m:e>
                      <m:sub>
                        <m:r>
                          <m:rPr>
                            <m:sty m:val="p"/>
                          </m:rPr>
                          <m:t>r</m:t>
                        </m:r>
                        <m:r>
                          <m:rPr>
                            <m:sty m:val="p"/>
                          </m:rPr>
                          <m:t>e</m:t>
                        </m:r>
                        <m:r>
                          <m:rPr>
                            <m:sty m:val="p"/>
                          </m:rPr>
                          <m:t>f</m:t>
                        </m:r>
                      </m:sub>
                    </m:sSub>
                    <m:sSub>
                      <m:e>
                        <m:r>
                          <m:t>C</m:t>
                        </m:r>
                      </m:e>
                      <m:sub>
                        <m:r>
                          <m:t>m</m:t>
                        </m:r>
                      </m:sub>
                    </m:sSub>
                  </m:num>
                  <m:den>
                    <m:sSup>
                      <m:e>
                        <m:r>
                          <m:t>L</m:t>
                        </m:r>
                      </m:e>
                      <m:sup>
                        <m:r>
                          <m:t>4</m:t>
                        </m:r>
                      </m:sup>
                    </m:sSup>
                  </m:den>
                </m:f>
                <m:r>
                  <m:rPr>
                    <m:sty m:val="p"/>
                  </m:rPr>
                  <m:t>,</m:t>
                </m:r>
              </m:oMath>
            </m:oMathPara>
          </w:p>
        </w:tc>
        <w:tc>
          <w:tcPr>
            <w:tcW w:type="dxa" w:w="1088"/>
            <w:vAlign w:val="center"/>
          </w:tcPr>
          <w:p>
            <w:pPr>
              <w:jc w:val="right"/>
            </w:pPr>
            <w:r>
              <w:t xml:space="preserve">(13)</w:t>
            </w:r>
          </w:p>
        </w:tc>
      </w:tr>
    </w:tbl>
    <w:p>
      <w:pPr>
        <w:pStyle w:val="BodyText"/>
      </w:pPr>
      <w:r>
        <w:t xml:space="preserve">as a pre-installation observability indicator, with</w:t>
      </w:r>
      <w:r>
        <w:t xml:space="preserve"> </w:t>
      </w:r>
      <m:oMath>
        <m:r>
          <m:t>L</m:t>
        </m:r>
      </m:oMath>
      <w:r>
        <w:t xml:space="preserve"> </w:t>
      </w:r>
      <w:r>
        <w:t xml:space="preserve">the span containing the sensor. It answers three questions at once: whether a span arrangement can observe the load from a given point, where to place the sensor, and how tight the baseline stability must be (Section 6.2). The threshold</w:t>
      </w:r>
      <w:r>
        <w:t xml:space="preserve"> </w:t>
      </w:r>
      <m:oMath>
        <m:d>
          <m:dPr>
            <m:begChr m:val="|"/>
            <m:endChr m:val="|"/>
            <m:sepChr m:val=""/>
            <m:grow/>
          </m:dPr>
          <m:e>
            <m:sSub>
              <m:e>
                <m:r>
                  <m:t>N</m:t>
                </m:r>
              </m:e>
              <m:sub>
                <m:r>
                  <m:t>m</m:t>
                </m:r>
              </m:sub>
            </m:sSub>
          </m:e>
        </m:d>
        <m:r>
          <m:rPr>
            <m:sty m:val="p"/>
          </m:rPr>
          <m:t>&lt;</m:t>
        </m:r>
        <m:r>
          <m:t>0.2</m:t>
        </m:r>
      </m:oMath>
      <w:r>
        <w:t xml:space="preserve"> </w:t>
      </w:r>
      <w:r>
        <w:t xml:space="preserve">of Eq. (13) marks near-blind locations for prismatic beams.</w:t>
      </w:r>
    </w:p>
    <w:p>
      <w:pPr>
        <w:pStyle w:val="BodyText"/>
      </w:pPr>
      <w:r>
        <w:t xml:space="preserve">For non-prismatic girders</w:t>
      </w:r>
      <w:r>
        <w:t xml:space="preserve"> </w:t>
      </w:r>
      <m:oMath>
        <m:sSub>
          <m:e>
            <m:r>
              <m:t>N</m:t>
            </m:r>
          </m:e>
          <m:sub>
            <m:r>
              <m:t>m</m:t>
            </m:r>
          </m:sub>
        </m:sSub>
      </m:oMath>
      <w:r>
        <w:t xml:space="preserve"> </w:t>
      </w:r>
      <w:r>
        <w:t xml:space="preserve">depends on the choice of</w:t>
      </w:r>
      <w:r>
        <w:t xml:space="preserve"> </w:t>
      </w:r>
      <m:oMath>
        <m:r>
          <m:t>E</m:t>
        </m:r>
        <m:sSub>
          <m:e>
            <m:r>
              <m:t>I</m:t>
            </m:r>
          </m:e>
          <m:sub>
            <m:r>
              <m:rPr>
                <m:sty m:val="p"/>
              </m:rPr>
              <m:t>r</m:t>
            </m:r>
            <m:r>
              <m:rPr>
                <m:sty m:val="p"/>
              </m:rPr>
              <m:t>e</m:t>
            </m:r>
            <m:r>
              <m:rPr>
                <m:sty m:val="p"/>
              </m:rPr>
              <m:t>f</m:t>
            </m:r>
          </m:sub>
        </m:sSub>
      </m:oMath>
      <w:r>
        <w:t xml:space="preserve">, and Section 4 shows that this choice can dominate the result. A complementary measure that does not need a reference stiffness is the cancellation ratio</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R</m:t>
                    </m:r>
                  </m:e>
                  <m:sub>
                    <m:r>
                      <m:t>m</m:t>
                    </m:r>
                  </m:sub>
                </m:sSub>
                <m:r>
                  <m:rPr>
                    <m:sty m:val="p"/>
                  </m:rPr>
                  <m:t>=</m:t>
                </m:r>
                <m:f>
                  <m:fPr>
                    <m:type m:val="bar"/>
                  </m:fPr>
                  <m:num>
                    <m:sSub>
                      <m:e>
                        <m:r>
                          <m:t>C</m:t>
                        </m:r>
                      </m:e>
                      <m:sub>
                        <m:r>
                          <m:t>m</m:t>
                        </m:r>
                      </m:sub>
                    </m:sSub>
                  </m:num>
                  <m:den>
                    <m:sSup>
                      <m:e>
                        <m:r>
                          <m:t>A</m:t>
                        </m:r>
                      </m:e>
                      <m:sup>
                        <m:r>
                          <m:rPr>
                            <m:sty m:val="p"/>
                          </m:rPr>
                          <m:t>+</m:t>
                        </m:r>
                      </m:sup>
                    </m:sSup>
                  </m:den>
                </m:f>
                <m:r>
                  <m:rPr>
                    <m:sty m:val="p"/>
                  </m:rPr>
                  <m:t>=</m:t>
                </m:r>
                <m:r>
                  <m:t>1</m:t>
                </m:r>
                <m:r>
                  <m:rPr>
                    <m:sty m:val="p"/>
                  </m:rPr>
                  <m:t>−</m:t>
                </m:r>
                <m:f>
                  <m:fPr>
                    <m:type m:val="bar"/>
                  </m:fPr>
                  <m:num>
                    <m:d>
                      <m:dPr>
                        <m:begChr m:val="|"/>
                        <m:endChr m:val="|"/>
                        <m:sepChr m:val=""/>
                        <m:grow/>
                      </m:dPr>
                      <m:e>
                        <m:sSup>
                          <m:e>
                            <m:r>
                              <m:t>A</m:t>
                            </m:r>
                          </m:e>
                          <m:sup>
                            <m:r>
                              <m:rPr>
                                <m:sty m:val="p"/>
                              </m:rPr>
                              <m:t>−</m:t>
                            </m:r>
                          </m:sup>
                        </m:sSup>
                      </m:e>
                    </m:d>
                  </m:num>
                  <m:den>
                    <m:sSup>
                      <m:e>
                        <m:r>
                          <m:t>A</m:t>
                        </m:r>
                      </m:e>
                      <m:sup>
                        <m:r>
                          <m:rPr>
                            <m:sty m:val="p"/>
                          </m:rPr>
                          <m:t>+</m:t>
                        </m:r>
                      </m:sup>
                    </m:sSup>
                  </m:den>
                </m:f>
                <m:r>
                  <m:rPr>
                    <m:sty m:val="p"/>
                  </m:rPr>
                  <m:t>,</m:t>
                </m:r>
              </m:oMath>
            </m:oMathPara>
          </w:p>
        </w:tc>
        <w:tc>
          <w:tcPr>
            <w:tcW w:type="dxa" w:w="1088"/>
            <w:vAlign w:val="center"/>
          </w:tcPr>
          <w:p>
            <w:pPr>
              <w:jc w:val="right"/>
            </w:pPr>
            <w:r>
              <w:t xml:space="preserve">(14)</w:t>
            </w:r>
          </w:p>
        </w:tc>
      </w:tr>
    </w:tbl>
    <w:p>
      <w:pPr>
        <w:pStyle w:val="BodyText"/>
      </w:pPr>
      <w:r>
        <w:t xml:space="preserve">the net influence area divided by its positive part.</w:t>
      </w:r>
      <w:r>
        <w:t xml:space="preserve"> </w:t>
      </w:r>
      <m:oMath>
        <m:sSub>
          <m:e>
            <m:r>
              <m:t>R</m:t>
            </m:r>
          </m:e>
          <m:sub>
            <m:r>
              <m:t>m</m:t>
            </m:r>
          </m:sub>
        </m:sSub>
        <m:r>
          <m:rPr>
            <m:sty m:val="p"/>
          </m:rPr>
          <m:t>=</m:t>
        </m:r>
        <m:r>
          <m:t>1</m:t>
        </m:r>
      </m:oMath>
      <w:r>
        <w:t xml:space="preserve"> </w:t>
      </w:r>
      <w:r>
        <w:t xml:space="preserve">for a simply supported beam,</w:t>
      </w:r>
      <w:r>
        <w:t xml:space="preserve"> </w:t>
      </w:r>
      <m:oMath>
        <m:sSub>
          <m:e>
            <m:r>
              <m:t>R</m:t>
            </m:r>
          </m:e>
          <m:sub>
            <m:r>
              <m:t>m</m:t>
            </m:r>
          </m:sub>
        </m:sSub>
        <m:r>
          <m:rPr>
            <m:sty m:val="p"/>
          </m:rPr>
          <m:t>=</m:t>
        </m:r>
        <m:r>
          <m:t>4</m:t>
        </m:r>
        <m:r>
          <m:rPr>
            <m:sty m:val="p"/>
          </m:rPr>
          <m:t>/</m:t>
        </m:r>
        <m:r>
          <m:t>7</m:t>
        </m:r>
      </m:oMath>
      <w:r>
        <w:t xml:space="preserve"> </w:t>
      </w:r>
      <w:r>
        <w:t xml:space="preserve">for an equal two-span beam instrumented at mid-span,</w:t>
      </w:r>
      <w:r>
        <w:t xml:space="preserve"> </w:t>
      </w:r>
      <m:oMath>
        <m:sSub>
          <m:e>
            <m:r>
              <m:t>R</m:t>
            </m:r>
          </m:e>
          <m:sub>
            <m:r>
              <m:t>m</m:t>
            </m:r>
          </m:sub>
        </m:sSub>
        <m:r>
          <m:rPr>
            <m:sty m:val="p"/>
          </m:rPr>
          <m:t>=</m:t>
        </m:r>
        <m:r>
          <m:t>0</m:t>
        </m:r>
      </m:oMath>
      <w:r>
        <w:t xml:space="preserve"> </w:t>
      </w:r>
      <w:r>
        <w:t xml:space="preserve">at a blind configuration and</w:t>
      </w:r>
      <w:r>
        <w:t xml:space="preserve"> </w:t>
      </w:r>
      <m:oMath>
        <m:sSub>
          <m:e>
            <m:r>
              <m:t>R</m:t>
            </m:r>
          </m:e>
          <m:sub>
            <m:r>
              <m:t>m</m:t>
            </m:r>
          </m:sub>
        </m:sSub>
        <m:r>
          <m:rPr>
            <m:sty m:val="p"/>
          </m:rPr>
          <m:t>&lt;</m:t>
        </m:r>
        <m:r>
          <m:t>0</m:t>
        </m:r>
      </m:oMath>
      <w:r>
        <w:t xml:space="preserve"> </w:t>
      </w:r>
      <w:r>
        <w:t xml:space="preserve">beyond it.</w:t>
      </w:r>
      <w:r>
        <w:t xml:space="preserve"> </w:t>
      </w:r>
      <m:oMath>
        <m:sSub>
          <m:e>
            <m:r>
              <m:t>N</m:t>
            </m:r>
          </m:e>
          <m:sub>
            <m:r>
              <m:t>m</m:t>
            </m:r>
          </m:sub>
        </m:sSub>
      </m:oMath>
      <w:r>
        <w:t xml:space="preserve"> </w:t>
      </w:r>
      <w:r>
        <w:t xml:space="preserve">measures the signal relative to the local flexibility;</w:t>
      </w:r>
      <w:r>
        <w:t xml:space="preserve"> </w:t>
      </w:r>
      <m:oMath>
        <m:sSub>
          <m:e>
            <m:r>
              <m:t>R</m:t>
            </m:r>
          </m:e>
          <m:sub>
            <m:r>
              <m:t>m</m:t>
            </m:r>
          </m:sub>
        </m:sSub>
      </m:oMath>
      <w:r>
        <w:t xml:space="preserve"> </w:t>
      </w:r>
      <w:r>
        <w:t xml:space="preserve">measures how much of it the adjacent spans cancel. No threshold is proposed for</w:t>
      </w:r>
      <w:r>
        <w:t xml:space="preserve"> </w:t>
      </w:r>
      <m:oMath>
        <m:sSub>
          <m:e>
            <m:r>
              <m:t>R</m:t>
            </m:r>
          </m:e>
          <m:sub>
            <m:r>
              <m:t>m</m:t>
            </m:r>
          </m:sub>
        </m:sSub>
      </m:oMath>
      <w:r>
        <w:t xml:space="preserve">; it is used to rank candidate locations by</w:t>
      </w:r>
      <w:r>
        <w:t xml:space="preserve"> </w:t>
      </w:r>
      <m:oMath>
        <m:d>
          <m:dPr>
            <m:begChr m:val="|"/>
            <m:endChr m:val="|"/>
            <m:sepChr m:val=""/>
            <m:grow/>
          </m:dPr>
          <m:e>
            <m:sSub>
              <m:e>
                <m:r>
                  <m:t>R</m:t>
                </m:r>
              </m:e>
              <m:sub>
                <m:r>
                  <m:t>m</m:t>
                </m:r>
              </m:sub>
            </m:sSub>
          </m:e>
        </m:d>
      </m:oMath>
      <w:r>
        <w:t xml:space="preserve">. Neither index carries the absolute signal level, on which the offset error depends; the offset-equivalent load of Section 6.2 supplies it.</w:t>
      </w:r>
    </w:p>
    <w:p>
      <w:pPr>
        <w:pStyle w:val="BodyText"/>
      </w:pPr>
      <w:r>
        <w:t xml:space="preserve">A third index states what invariance costs. The integral weights the record uniformly, the only weight invariant to translation, whereas under white noise and with the structure and axle positions known the optimal weight would be the influence line itself (a matched filter). By the Cauchy–Schwarz inequality the ratio of the standard deviations of the two estimators is</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O</m:t>
                    </m:r>
                  </m:e>
                  <m:sub>
                    <m:r>
                      <m:t>m</m:t>
                    </m:r>
                  </m:sub>
                </m:sSub>
                <m:r>
                  <m:rPr>
                    <m:sty m:val="p"/>
                  </m:rPr>
                  <m:t>=</m:t>
                </m:r>
                <m:f>
                  <m:fPr>
                    <m:type m:val="bar"/>
                  </m:fPr>
                  <m:num>
                    <m:d>
                      <m:dPr>
                        <m:begChr m:val="|"/>
                        <m:endChr m:val="|"/>
                        <m:sepChr m:val=""/>
                        <m:grow/>
                      </m:dPr>
                      <m:e>
                        <m:sSub>
                          <m:e>
                            <m:r>
                              <m:t>C</m:t>
                            </m:r>
                          </m:e>
                          <m:sub>
                            <m:r>
                              <m:t>m</m:t>
                            </m:r>
                          </m:sub>
                        </m:sSub>
                      </m:e>
                    </m:d>
                  </m:num>
                  <m:den>
                    <m:rad>
                      <m:radPr>
                        <m:degHide m:val="on"/>
                      </m:radPr>
                      <m:deg/>
                      <m:e>
                        <m:sSub>
                          <m:e>
                            <m:r>
                              <m:t>L</m:t>
                            </m:r>
                          </m:e>
                          <m:sub>
                            <m:r>
                              <m:rPr>
                                <m:sty m:val="p"/>
                              </m:rPr>
                              <m:t>t</m:t>
                            </m:r>
                            <m:r>
                              <m:rPr>
                                <m:sty m:val="p"/>
                              </m:rPr>
                              <m:t>o</m:t>
                            </m:r>
                            <m:r>
                              <m:rPr>
                                <m:sty m:val="p"/>
                              </m:rPr>
                              <m:t>t</m:t>
                            </m:r>
                          </m:sub>
                        </m:sSub>
                        <m:nary>
                          <m:naryPr>
                            <m:chr m:val="∫"/>
                            <m:limLoc m:val="subSup"/>
                            <m:subHide m:val="off"/>
                            <m:supHide m:val="off"/>
                          </m:naryPr>
                          <m:sub>
                            <m:r>
                              <m:t>0</m:t>
                            </m:r>
                          </m:sub>
                          <m:sup>
                            <m:r>
                              <m:t>L</m:t>
                            </m:r>
                          </m:sup>
                          <m:e>
                            <m:sSubSup>
                              <m:e>
                                <m:r>
                                  <m:t>η</m:t>
                                </m:r>
                              </m:e>
                              <m:sub>
                                <m:r>
                                  <m:t>m</m:t>
                                </m:r>
                              </m:sub>
                              <m:sup>
                                <m:r>
                                  <m:t>2</m:t>
                                </m:r>
                              </m:sup>
                            </m:sSubSup>
                          </m:e>
                        </m:nary>
                        <m:r>
                          <m:t> </m:t>
                        </m:r>
                        <m:r>
                          <m:rPr>
                            <m:sty m:val="p"/>
                          </m:rPr>
                          <m:t>d</m:t>
                        </m:r>
                        <m:r>
                          <m:t>x</m:t>
                        </m:r>
                      </m:e>
                    </m:rad>
                  </m:den>
                </m:f>
                <m:r>
                  <m:rPr>
                    <m:sty m:val="p"/>
                  </m:rPr>
                  <m:t>≤</m:t>
                </m:r>
                <m:r>
                  <m:t>1</m:t>
                </m:r>
                <m:r>
                  <m:rPr>
                    <m:sty m:val="p"/>
                  </m:rPr>
                  <m:t>.</m:t>
                </m:r>
              </m:oMath>
            </m:oMathPara>
          </w:p>
        </w:tc>
        <w:tc>
          <w:tcPr>
            <w:tcW w:type="dxa" w:w="1088"/>
            <w:vAlign w:val="center"/>
          </w:tcPr>
          <w:p>
            <w:pPr>
              <w:jc w:val="right"/>
            </w:pPr>
            <w:r>
              <w:t xml:space="preserve">(15)</w:t>
            </w:r>
          </w:p>
        </w:tc>
      </w:tr>
    </w:tbl>
    <w:p>
      <w:pPr>
        <w:pStyle w:val="BodyText"/>
      </w:pPr>
      <w:r>
        <w:t xml:space="preserve">For the equal two-span beam instrumented at mid-span, Eq. (15) gives</w:t>
      </w:r>
      <w:r>
        <w:t xml:space="preserve"> </w:t>
      </w:r>
      <m:oMath>
        <m:sSub>
          <m:e>
            <m:r>
              <m:t>O</m:t>
            </m:r>
          </m:e>
          <m:sub>
            <m:r>
              <m:t>m</m:t>
            </m:r>
          </m:sub>
        </m:sSub>
        <m:r>
          <m:rPr>
            <m:sty m:val="p"/>
          </m:rPr>
          <m:t>=</m:t>
        </m:r>
        <m:r>
          <m:t>2</m:t>
        </m:r>
        <m:rad>
          <m:radPr>
            <m:degHide m:val="on"/>
          </m:radPr>
          <m:deg/>
          <m:e>
            <m:r>
              <m:t>44765</m:t>
            </m:r>
          </m:e>
        </m:rad>
        <m:r>
          <m:rPr>
            <m:sty m:val="p"/>
          </m:rPr>
          <m:t>/</m:t>
        </m:r>
        <m:r>
          <m:t>1279</m:t>
        </m:r>
        <m:r>
          <m:rPr>
            <m:sty m:val="p"/>
          </m:rPr>
          <m:t>=</m:t>
        </m:r>
        <m:r>
          <m:t>0.331</m:t>
        </m:r>
      </m:oMath>
      <w:r>
        <w:t xml:space="preserve">. The integral estimator keeps one third of the precision of an estimator that knows the structure and the axle positions, and in exchange needs neither.</w:t>
      </w:r>
      <w:r>
        <w:t xml:space="preserve"> </w:t>
      </w:r>
      <m:oMath>
        <m:sSub>
          <m:e>
            <m:r>
              <m:t>O</m:t>
            </m:r>
          </m:e>
          <m:sub>
            <m:r>
              <m:t>m</m:t>
            </m:r>
          </m:sub>
        </m:sSub>
      </m:oMath>
      <w:r>
        <w:t xml:space="preserve"> </w:t>
      </w:r>
      <w:r>
        <w:t xml:space="preserve">decreases monotonically as the sensor moves away from the outer support, whereas</w:t>
      </w:r>
      <w:r>
        <w:t xml:space="preserve"> </w:t>
      </w:r>
      <m:oMath>
        <m:d>
          <m:dPr>
            <m:begChr m:val="|"/>
            <m:endChr m:val="|"/>
            <m:sepChr m:val=""/>
            <m:grow/>
          </m:dPr>
          <m:e>
            <m:sSub>
              <m:e>
                <m:r>
                  <m:t>C</m:t>
                </m:r>
              </m:e>
              <m:sub>
                <m:r>
                  <m:t>m</m:t>
                </m:r>
              </m:sub>
            </m:sSub>
          </m:e>
        </m:d>
      </m:oMath>
      <w:r>
        <w:t xml:space="preserve"> </w:t>
      </w:r>
      <w:r>
        <w:t xml:space="preserve">peaks at</w:t>
      </w:r>
      <w:r>
        <w:t xml:space="preserve"> </w:t>
      </w:r>
      <m:oMath>
        <m:sSup>
          <m:e>
            <m:r>
              <m:t>ξ</m:t>
            </m:r>
          </m:e>
          <m:sup>
            <m:r>
              <m:rPr>
                <m:sty m:val="p"/>
              </m:rPr>
              <m:t>*</m:t>
            </m:r>
          </m:sup>
        </m:sSup>
      </m:oMath>
      <w:r>
        <w:t xml:space="preserve">; sensor placement should follow</w:t>
      </w:r>
      <w:r>
        <w:t xml:space="preserve"> </w:t>
      </w:r>
      <m:oMath>
        <m:d>
          <m:dPr>
            <m:begChr m:val="|"/>
            <m:endChr m:val="|"/>
            <m:sepChr m:val=""/>
            <m:grow/>
          </m:dPr>
          <m:e>
            <m:sSub>
              <m:e>
                <m:r>
                  <m:t>C</m:t>
                </m:r>
              </m:e>
              <m:sub>
                <m:r>
                  <m:t>m</m:t>
                </m:r>
              </m:sub>
            </m:sSub>
          </m:e>
        </m:d>
      </m:oMath>
      <w:r>
        <w:t xml:space="preserve">.</w:t>
      </w:r>
    </w:p>
    <w:p>
      <w:pPr>
        <w:pStyle w:val="BodyText"/>
      </w:pPr>
      <w:r>
        <w:t xml:space="preserve">The closed forms of Eqs. (4)–(10) are exact for prismatic or piecewise-prismatic beams. The next two sections test the two-span result on a laboratory beam and apply the indicators to a haunched three-span girder.</w:t>
      </w:r>
    </w:p>
    <w:bookmarkEnd w:id="26"/>
    <w:bookmarkEnd w:id="27"/>
    <w:bookmarkStart w:id="31" w:name="laboratory-verification"/>
    <w:p>
      <w:pPr>
        <w:pStyle w:val="Heading2"/>
      </w:pPr>
      <w:r>
        <w:t xml:space="preserve">3. Laboratory verification</w:t>
      </w:r>
    </w:p>
    <w:p>
      <w:pPr>
        <w:pStyle w:val="FirstParagraph"/>
      </w:pPr>
      <w:r>
        <w:t xml:space="preserve">This section verifies the influence line, the integral and the two estimators on a laboratory two-span beam. The loads were positioned statically at successive points along the beam. The tests therefore verify the model and the algorithm, not performance under moving traffic.</w:t>
      </w:r>
    </w:p>
    <w:p>
      <w:pPr>
        <w:pStyle w:val="BodyText"/>
      </w:pPr>
      <w:r>
        <w:t xml:space="preserve">Every theoretical claim tested here is a dimensionless identity. Eq. (2) holds for any linear-elastic beam, and the ratios of measured to predicted integral and of identified to weighed load do not depend on the size of the beam; the blind conditions are statements about</w:t>
      </w:r>
      <w:r>
        <w:t xml:space="preserve"> </w:t>
      </w:r>
      <m:oMath>
        <m:sSub>
          <m:e>
            <m:r>
              <m:t>ρ</m:t>
            </m:r>
          </m:e>
          <m:sub>
            <m:r>
              <m:t>L</m:t>
            </m:r>
          </m:sub>
        </m:sSub>
      </m:oMath>
      <w:r>
        <w:t xml:space="preserve">,</w:t>
      </w:r>
      <w:r>
        <w:t xml:space="preserve"> </w:t>
      </w:r>
      <m:oMath>
        <m:r>
          <m:t>β</m:t>
        </m:r>
      </m:oMath>
      <w:r>
        <w:t xml:space="preserve"> </w:t>
      </w:r>
      <w:r>
        <w:t xml:space="preserve">and</w:t>
      </w:r>
      <w:r>
        <w:t xml:space="preserve"> </w:t>
      </w:r>
      <m:oMath>
        <m:r>
          <m:t>ξ</m:t>
        </m:r>
      </m:oMath>
      <w:r>
        <w:t xml:space="preserve"> </w:t>
      </w:r>
      <w:r>
        <w:t xml:space="preserve">alone. The laboratory beam therefore tests the identities and the estimators, not the scale. The quantities that do depend on scale, the offset sensitivity</w:t>
      </w:r>
      <w:r>
        <w:t xml:space="preserve"> </w:t>
      </w:r>
      <m:oMath>
        <m:sSub>
          <m:e>
            <m:r>
              <m:t>L</m:t>
            </m:r>
          </m:e>
          <m:sub>
            <m:r>
              <m:rPr>
                <m:sty m:val="p"/>
              </m:rPr>
              <m:t>t</m:t>
            </m:r>
            <m:r>
              <m:rPr>
                <m:sty m:val="p"/>
              </m:rPr>
              <m:t>o</m:t>
            </m:r>
            <m:r>
              <m:rPr>
                <m:sty m:val="p"/>
              </m:rPr>
              <m:t>t</m:t>
            </m:r>
          </m:sub>
        </m:sSub>
        <m:r>
          <m:rPr>
            <m:sty m:val="p"/>
          </m:rPr>
          <m:t>/</m:t>
        </m:r>
        <m:sSub>
          <m:e>
            <m:r>
              <m:t>I</m:t>
            </m:r>
          </m:e>
          <m:sub>
            <m:r>
              <m:t>y</m:t>
            </m:r>
          </m:sub>
        </m:sSub>
      </m:oMath>
      <w:r>
        <w:t xml:space="preserve"> </w:t>
      </w:r>
      <w:r>
        <w:t xml:space="preserve">and the ratio</w:t>
      </w:r>
      <w:r>
        <w:t xml:space="preserve"> </w:t>
      </w:r>
      <m:oMath>
        <m:sSub>
          <m:e>
            <m:r>
              <m:t>T</m:t>
            </m:r>
          </m:e>
          <m:sub>
            <m:r>
              <m:rPr>
                <m:sty m:val="p"/>
              </m:rPr>
              <m:t>c</m:t>
            </m:r>
            <m:r>
              <m:rPr>
                <m:sty m:val="p"/>
              </m:rPr>
              <m:t>r</m:t>
            </m:r>
          </m:sub>
        </m:sSub>
        <m:r>
          <m:rPr>
            <m:sty m:val="p"/>
          </m:rPr>
          <m:t>/</m:t>
        </m:r>
        <m:sSub>
          <m:e>
            <m:r>
              <m:t>T</m:t>
            </m:r>
          </m:e>
          <m:sub>
            <m:r>
              <m:t>1</m:t>
            </m:r>
          </m:sub>
        </m:sSub>
      </m:oMath>
      <w:r>
        <w:t xml:space="preserve">, are evaluated for the in-service bridge and for bridge spans in Sections 6.2 and 6.5.</w:t>
      </w:r>
    </w:p>
    <w:bookmarkStart w:id="28" w:name="specimen-and-procedure"/>
    <w:p>
      <w:pPr>
        <w:pStyle w:val="Heading3"/>
      </w:pPr>
      <w:r>
        <w:t xml:space="preserve">3.1. Specimen and procedure</w:t>
      </w:r>
    </w:p>
    <w:p>
      <w:pPr>
        <w:pStyle w:val="FirstParagraph"/>
      </w:pPr>
      <w:r>
        <w:t xml:space="preserve">Tests were carried out at the Laboratory of Transportation Technology and Systems, Faculty of Bridge and Road Engineering, Hanoi University of Civil Engineering. The specimen (Fig. 4) was a steel beam of total length 5400 mm on three supports forming two equal spans of 2500 mm; the remaining 400 mm of overhang beyond the end supports is neglected in the analytical influence line. The end supports were steel rollers and the interior support a steel knife edge that restrains vertical displacement and allows rotation. The cross-section was a hollow square tube, 25 mm × 25 mm with a wall thickness of 2.03 mm (averaged from measurements), giving</w:t>
      </w:r>
      <w:r>
        <w:t xml:space="preserve"> </w:t>
      </w:r>
      <m:oMath>
        <m:r>
          <m:t>I</m:t>
        </m:r>
        <m:r>
          <m:rPr>
            <m:sty m:val="p"/>
          </m:rPr>
          <m:t>=</m:t>
        </m:r>
        <m:r>
          <m:t>16</m:t>
        </m:r>
        <m:r>
          <m:t> </m:t>
        </m:r>
        <m:r>
          <m:t>529.8</m:t>
        </m:r>
      </m:oMath>
      <w:r>
        <w:t xml:space="preserve"> </w:t>
      </w:r>
      <w:r>
        <w:t xml:space="preserve">mm⁴. With</w:t>
      </w:r>
      <w:r>
        <w:t xml:space="preserve"> </w:t>
      </w:r>
      <m:oMath>
        <m:r>
          <m:t>E</m:t>
        </m:r>
        <m:r>
          <m:rPr>
            <m:sty m:val="p"/>
          </m:rPr>
          <m:t>=</m:t>
        </m:r>
        <m:r>
          <m:t>200</m:t>
        </m:r>
      </m:oMath>
      <w:r>
        <w:t xml:space="preserve"> </w:t>
      </w:r>
      <w:r>
        <w:t xml:space="preserve">GPa,</w:t>
      </w:r>
      <w:r>
        <w:t xml:space="preserve"> </w:t>
      </w:r>
      <m:oMath>
        <m:r>
          <m:t>E</m:t>
        </m:r>
        <m:r>
          <m:t>I</m:t>
        </m:r>
        <m:r>
          <m:rPr>
            <m:sty m:val="p"/>
          </m:rPr>
          <m:t>=</m:t>
        </m:r>
        <m:r>
          <m:t>3.3060</m:t>
        </m:r>
        <m:r>
          <m:rPr>
            <m:sty m:val="p"/>
          </m:rPr>
          <m:t>×</m:t>
        </m:r>
        <m:sSup>
          <m:e>
            <m:r>
              <m:t>10</m:t>
            </m:r>
          </m:e>
          <m:sup>
            <m:r>
              <m:t>9</m:t>
            </m:r>
          </m:sup>
        </m:sSup>
      </m:oMath>
      <w:r>
        <w:t xml:space="preserve"> </w:t>
      </w:r>
      <w:r>
        <w:t xml:space="preserve">N mm² and the theoretical constant at mid-span of the first span is</w:t>
      </w:r>
      <w:r>
        <w:t xml:space="preserve"> </w:t>
      </w:r>
      <m:oMath>
        <m:sSub>
          <m:e>
            <m:r>
              <m:t>C</m:t>
            </m:r>
          </m:e>
          <m:sub>
            <m:r>
              <m:t>m</m:t>
            </m:r>
          </m:sub>
        </m:sSub>
        <m:r>
          <m:rPr>
            <m:sty m:val="p"/>
          </m:rPr>
          <m:t>=</m:t>
        </m:r>
        <m:sSup>
          <m:e>
            <m:r>
              <m:t>l</m:t>
            </m:r>
          </m:e>
          <m:sup>
            <m:r>
              <m:t>4</m:t>
            </m:r>
          </m:sup>
        </m:sSup>
        <m:r>
          <m:rPr>
            <m:sty m:val="p"/>
          </m:rPr>
          <m:t>/</m:t>
        </m:r>
        <m:d>
          <m:dPr>
            <m:begChr m:val="("/>
            <m:endChr m:val=")"/>
            <m:sepChr m:val=""/>
            <m:grow/>
          </m:dPr>
          <m:e>
            <m:r>
              <m:t>192</m:t>
            </m:r>
            <m:r>
              <m:t>E</m:t>
            </m:r>
            <m:r>
              <m:t>I</m:t>
            </m:r>
          </m:e>
        </m:d>
        <m:r>
          <m:rPr>
            <m:sty m:val="p"/>
          </m:rPr>
          <m:t>=</m:t>
        </m:r>
        <m:r>
          <m:t>61.541</m:t>
        </m:r>
      </m:oMath>
      <w:r>
        <w:t xml:space="preserve"> </w:t>
      </w:r>
      <w:r>
        <w:t xml:space="preserve">mm²/N. Shear deformation contributes 8 × 10⁻⁴ of the bending deflection (span-to-depth ratio 100), so Euler–Bernoulli theory applies.</w:t>
      </w:r>
    </w:p>
    <w:p>
      <w:pPr>
        <w:pStyle w:val="BodyText"/>
      </w:pPr>
      <w:r>
        <w:t xml:space="preserve">Deflection at mid-span of the first span was measured with a linear variable differential transformer (LVDT) of range 0–50 mm and resolution 0.005 mm, connected to a TDS-303 data logger. Calibrated steel weights were suspended at positions 250 mm apart along the whole traverse, so</w:t>
      </w:r>
      <w:r>
        <w:t xml:space="preserve"> </w:t>
      </w:r>
      <m:oMath>
        <m:r>
          <m:t>Δ</m:t>
        </m:r>
        <m:r>
          <m:t>x</m:t>
        </m:r>
        <m:r>
          <m:rPr>
            <m:sty m:val="p"/>
          </m:rPr>
          <m:t>=</m:t>
        </m:r>
        <m:r>
          <m:t>250</m:t>
        </m:r>
      </m:oMath>
      <w:r>
        <w:t xml:space="preserve"> </w:t>
      </w:r>
      <w:r>
        <w:t xml:space="preserve">mm. Each reported deflection is the mean of three loading and unloading cycles. Three configurations were tested: a single load of 4.143 kg including its hook (40.64 N), used as the reference; two loads of 2145 g and 4684 g at 250 mm spacing; and three loads of 2550 g, 5100 g and 5100 g, with the 2550 g load leading, the second load 500 mm behind it and the third a further 250 mm behind. This order is the one that fits the record of Appendix C (root-mean-square residual 0.030 mm, against 0.55 mm for the reverse spacing). Each record extends to</w:t>
      </w:r>
      <w:r>
        <w:t xml:space="preserve"> </w:t>
      </w:r>
      <m:oMath>
        <m:r>
          <m:t>2</m:t>
        </m:r>
        <m:r>
          <m:t>l</m:t>
        </m:r>
        <m:r>
          <m:rPr>
            <m:sty m:val="p"/>
          </m:rPr>
          <m:t>+</m:t>
        </m:r>
        <m:sSub>
          <m:e>
            <m:r>
              <m:t>a</m:t>
            </m:r>
          </m:e>
          <m:sub>
            <m:r>
              <m:rPr>
                <m:sty m:val="p"/>
              </m:rPr>
              <m:t>m</m:t>
            </m:r>
            <m:r>
              <m:rPr>
                <m:sty m:val="p"/>
              </m:rPr>
              <m:t>a</m:t>
            </m:r>
            <m:r>
              <m:rPr>
                <m:sty m:val="p"/>
              </m:rPr>
              <m:t>x</m:t>
            </m:r>
          </m:sub>
        </m:sSub>
      </m:oMath>
      <w:r>
        <w:t xml:space="preserve">, that is 5000, 5250 and 5750 mm. The beam was modelled in Abaqus [45] with beam elements; cubic elements reproduce the exact nodal Euler–Bernoulli displacements, so agreement with the analytical influence line verifies the implementation only. The FE model was used to verify Eq. (3) and for the parametric studies.</w:t>
      </w:r>
    </w:p>
    <w:bookmarkEnd w:id="28"/>
    <w:bookmarkStart w:id="29" w:name="influence-line-and-integral"/>
    <w:p>
      <w:pPr>
        <w:pStyle w:val="Heading3"/>
      </w:pPr>
      <w:r>
        <w:t xml:space="preserve">3.2. Influence line and integral</w:t>
      </w:r>
    </w:p>
    <w:p>
      <w:pPr>
        <w:pStyle w:val="FirstParagraph"/>
      </w:pPr>
      <w:r>
        <w:t xml:space="preserve">Fig. 5 compares the analytical influence line (Appendix A, Eq. (A.2)) with the measurements for the single load; the values are listed in Appendix C. The largest absolute deviation is 0.0126 mm, which is 0.44 % of the maximum deflection and two and a half times the LVDT resolution. The residuals are predominantly positive on both spans, which indicates a small systematic component, plausibly slight support flexibility or a small overestimate of</w:t>
      </w:r>
      <w:r>
        <w:t xml:space="preserve"> </w:t>
      </w:r>
      <m:oMath>
        <m:r>
          <m:t>E</m:t>
        </m:r>
        <m:r>
          <m:t>I</m:t>
        </m:r>
      </m:oMath>
      <w:r>
        <w:t xml:space="preserve">.</w:t>
      </w:r>
    </w:p>
    <w:p>
      <w:pPr>
        <w:pStyle w:val="BodyText"/>
      </w:pPr>
      <w:r>
        <w:rPr>
          <w:bCs/>
          <w:b/>
        </w:rPr>
        <w:t xml:space="preserve">Table 3.</w:t>
      </w:r>
      <w:r>
        <w:t xml:space="preserve"> </w:t>
      </w:r>
      <w:r>
        <w:t xml:space="preserve">Deflection integral for the single-load configuration.</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4175"/>
        <w:gridCol w:w="1971"/>
        <w:gridCol w:w="2922"/>
      </w:tblGrid>
      <w:tr>
        <w:trPr>
          <w:tblHeader w:val="true"/>
        </w:trPr>
        <w:tc>
          <w:tcPr>
            <w:tcW w:type="dxa" w:w="4175"/>
            <w:tcBorders>
              <w:top w:val="nil"/>
              <w:left w:val="nil"/>
              <w:bottom w:val="single" w:sz="6" w:space="0" w:color="000000"/>
              <w:right w:val="nil"/>
            </w:tcBorders>
          </w:tcPr>
          <w:p>
            <w:pPr>
              <w:pStyle w:val="Compact"/>
              <w:jc w:val="left"/>
            </w:pPr>
            <w:r>
              <w:t xml:space="preserve">Quantity</w:t>
            </w:r>
          </w:p>
        </w:tc>
        <w:tc>
          <w:tcPr>
            <w:tcW w:type="dxa" w:w="1971"/>
            <w:tcBorders>
              <w:top w:val="nil"/>
              <w:left w:val="nil"/>
              <w:bottom w:val="single" w:sz="6" w:space="0" w:color="000000"/>
              <w:right w:val="nil"/>
            </w:tcBorders>
          </w:tcPr>
          <w:p>
            <w:pPr>
              <w:pStyle w:val="Compact"/>
              <w:jc w:val="left"/>
            </w:pPr>
            <w:r>
              <w:t xml:space="preserve">Value (mm²)</w:t>
            </w:r>
          </w:p>
        </w:tc>
        <w:tc>
          <w:tcPr>
            <w:tcW w:type="dxa" w:w="2922"/>
            <w:tcBorders>
              <w:top w:val="nil"/>
              <w:left w:val="nil"/>
              <w:bottom w:val="single" w:sz="6" w:space="0" w:color="000000"/>
              <w:right w:val="nil"/>
            </w:tcBorders>
          </w:tcPr>
          <w:p>
            <w:pPr>
              <w:pStyle w:val="Compact"/>
              <w:jc w:val="left"/>
            </w:pPr>
            <w:r>
              <w:t xml:space="preserve">Difference from exact</w:t>
            </w:r>
          </w:p>
        </w:tc>
      </w:tr>
      <w:tr>
        <w:tc>
          <w:tcPr>
            <w:tcW w:type="dxa" w:w="4175"/>
          </w:tcPr>
          <w:p>
            <w:pPr>
              <w:pStyle w:val="Compact"/>
              <w:jc w:val="left"/>
            </w:pPr>
            <w:r>
              <w:t xml:space="preserve">Exact,</w:t>
            </w:r>
            <w:r>
              <w:t xml:space="preserve"> </w:t>
            </w:r>
            <m:oMath>
              <m:sSub>
                <m:e>
                  <m:r>
                    <m:t>P</m:t>
                  </m:r>
                </m:e>
                <m:sub>
                  <m:r>
                    <m:t>0</m:t>
                  </m:r>
                </m:sub>
              </m:sSub>
              <m:sSup>
                <m:e>
                  <m:r>
                    <m:t>l</m:t>
                  </m:r>
                </m:e>
                <m:sup>
                  <m:r>
                    <m:t>4</m:t>
                  </m:r>
                </m:sup>
              </m:sSup>
              <m:r>
                <m:rPr>
                  <m:sty m:val="p"/>
                </m:rPr>
                <m:t>/</m:t>
              </m:r>
              <m:d>
                <m:dPr>
                  <m:begChr m:val="("/>
                  <m:endChr m:val=")"/>
                  <m:sepChr m:val=""/>
                  <m:grow/>
                </m:dPr>
                <m:e>
                  <m:r>
                    <m:t>192</m:t>
                  </m:r>
                  <m:r>
                    <m:t>E</m:t>
                  </m:r>
                  <m:r>
                    <m:t>I</m:t>
                  </m:r>
                </m:e>
              </m:d>
            </m:oMath>
          </w:p>
        </w:tc>
        <w:tc>
          <w:tcPr>
            <w:tcW w:type="dxa" w:w="1971"/>
          </w:tcPr>
          <w:p>
            <w:pPr>
              <w:pStyle w:val="Compact"/>
              <w:jc w:val="left"/>
            </w:pPr>
            <w:r>
              <w:t xml:space="preserve">2501.19</w:t>
            </w:r>
          </w:p>
        </w:tc>
        <w:tc>
          <w:tcPr>
            <w:tcW w:type="dxa" w:w="2922"/>
          </w:tcPr>
          <w:p>
            <w:pPr>
              <w:pStyle w:val="Compact"/>
              <w:jc w:val="left"/>
            </w:pPr>
            <w:r>
              <w:t xml:space="preserve">n/a</w:t>
            </w:r>
          </w:p>
        </w:tc>
      </w:tr>
      <w:tr>
        <w:tc>
          <w:tcPr>
            <w:tcW w:type="dxa" w:w="4175"/>
          </w:tcPr>
          <w:p>
            <w:pPr>
              <w:pStyle w:val="Compact"/>
              <w:jc w:val="left"/>
            </w:pPr>
            <w:r>
              <w:t xml:space="preserve">Analytical influence line, trapezoidal rule,</w:t>
            </w:r>
            <w:r>
              <w:t xml:space="preserve"> </w:t>
            </w:r>
            <m:oMath>
              <m:r>
                <m:t>Δ</m:t>
              </m:r>
              <m:r>
                <m:t>x</m:t>
              </m:r>
            </m:oMath>
            <w:r>
              <w:t xml:space="preserve"> </w:t>
            </w:r>
            <w:r>
              <w:t xml:space="preserve">= 250 mm</w:t>
            </w:r>
          </w:p>
        </w:tc>
        <w:tc>
          <w:tcPr>
            <w:tcW w:type="dxa" w:w="1971"/>
          </w:tcPr>
          <w:p>
            <w:pPr>
              <w:pStyle w:val="Compact"/>
              <w:jc w:val="left"/>
            </w:pPr>
            <w:r>
              <w:t xml:space="preserve">2488.68</w:t>
            </w:r>
          </w:p>
        </w:tc>
        <w:tc>
          <w:tcPr>
            <w:tcW w:type="dxa" w:w="2922"/>
          </w:tcPr>
          <w:p>
            <w:pPr>
              <w:pStyle w:val="Compact"/>
              <w:jc w:val="left"/>
            </w:pPr>
            <w:r>
              <w:t xml:space="preserve">−0.500 %</w:t>
            </w:r>
          </w:p>
        </w:tc>
      </w:tr>
      <w:tr>
        <w:tc>
          <w:tcPr>
            <w:tcW w:type="dxa" w:w="4175"/>
          </w:tcPr>
          <w:p>
            <w:pPr>
              <w:pStyle w:val="Compact"/>
              <w:jc w:val="left"/>
            </w:pPr>
            <w:r>
              <w:t xml:space="preserve">Analytical influence line, Simpson rule,</w:t>
            </w:r>
            <w:r>
              <w:t xml:space="preserve"> </w:t>
            </w:r>
            <m:oMath>
              <m:r>
                <m:t>Δ</m:t>
              </m:r>
              <m:r>
                <m:t>x</m:t>
              </m:r>
            </m:oMath>
            <w:r>
              <w:t xml:space="preserve"> </w:t>
            </w:r>
            <w:r>
              <w:t xml:space="preserve">= 250 mm</w:t>
            </w:r>
          </w:p>
        </w:tc>
        <w:tc>
          <w:tcPr>
            <w:tcW w:type="dxa" w:w="1971"/>
          </w:tcPr>
          <w:p>
            <w:pPr>
              <w:pStyle w:val="Compact"/>
              <w:jc w:val="left"/>
            </w:pPr>
            <w:r>
              <w:t xml:space="preserve">2501.85</w:t>
            </w:r>
          </w:p>
        </w:tc>
        <w:tc>
          <w:tcPr>
            <w:tcW w:type="dxa" w:w="2922"/>
          </w:tcPr>
          <w:p>
            <w:pPr>
              <w:pStyle w:val="Compact"/>
              <w:jc w:val="left"/>
            </w:pPr>
            <w:r>
              <w:t xml:space="preserve">+0.027 %</w:t>
            </w:r>
          </w:p>
        </w:tc>
      </w:tr>
      <w:tr>
        <w:tc>
          <w:tcPr>
            <w:tcW w:type="dxa" w:w="4175"/>
          </w:tcPr>
          <w:p>
            <w:pPr>
              <w:pStyle w:val="Compact"/>
              <w:jc w:val="left"/>
            </w:pPr>
            <w:r>
              <w:t xml:space="preserve">Measured, trapezoidal rule,</w:t>
            </w:r>
            <w:r>
              <w:t xml:space="preserve"> </w:t>
            </w:r>
            <m:oMath>
              <m:r>
                <m:t>Δ</m:t>
              </m:r>
              <m:r>
                <m:t>x</m:t>
              </m:r>
            </m:oMath>
            <w:r>
              <w:t xml:space="preserve"> </w:t>
            </w:r>
            <w:r>
              <w:t xml:space="preserve">= 250 mm</w:t>
            </w:r>
          </w:p>
        </w:tc>
        <w:tc>
          <w:tcPr>
            <w:tcW w:type="dxa" w:w="1971"/>
          </w:tcPr>
          <w:p>
            <w:pPr>
              <w:pStyle w:val="Compact"/>
              <w:jc w:val="left"/>
            </w:pPr>
            <w:r>
              <w:t xml:space="preserve">2513.43</w:t>
            </w:r>
          </w:p>
        </w:tc>
        <w:tc>
          <w:tcPr>
            <w:tcW w:type="dxa" w:w="2922"/>
          </w:tcPr>
          <w:p>
            <w:pPr>
              <w:pStyle w:val="Compact"/>
              <w:jc w:val="left"/>
            </w:pPr>
            <w:r>
              <w:t xml:space="preserve">+0.49 %</w:t>
            </w:r>
          </w:p>
        </w:tc>
      </w:tr>
    </w:tbl>
    <w:p>
      <w:pPr>
        <w:pStyle w:val="BodyText"/>
      </w:pPr>
      <w:r>
        <w:t xml:space="preserve">In Table 3, the trapezoidal bias of −0.500 % is a property of the quadrature, not an experimental error, and it propagates one-for-one into BPM. Simpson quadrature on the same grid reduces it to +0.027 % at no experimental cost. The single-load record has 20 intervals; the two- and three-load records have 21 and 23, so Simpson quadrature there needs the 3/8 end panel of Section 2.4. It then loses its advantage: on the analytical records its bias is −0.92 % for the two-load and −0.44 % for the three-load group, against −0.500 % for the trapezoidal rule, because the entry and exit kinks of the trailing loads fall inside Simpson panels.</w:t>
      </w:r>
    </w:p>
    <w:bookmarkEnd w:id="29"/>
    <w:bookmarkStart w:id="30" w:name="total-load-identification"/>
    <w:p>
      <w:pPr>
        <w:pStyle w:val="Heading3"/>
      </w:pPr>
      <w:r>
        <w:t xml:space="preserve">3.3. Total-load identification</w:t>
      </w:r>
    </w:p>
    <w:p>
      <w:pPr>
        <w:pStyle w:val="FirstParagraph"/>
      </w:pPr>
      <w:r>
        <w:t xml:space="preserve">The measured records of the two- and three-load groups (Appendix C) were used to identify the total load by BPM and by SLM, with the single-load record as reference. Table 4 compares the results with direct weighing.</w:t>
      </w:r>
    </w:p>
    <w:p>
      <w:pPr>
        <w:pStyle w:val="BodyText"/>
      </w:pPr>
      <w:r>
        <w:rPr>
          <w:bCs/>
          <w:b/>
        </w:rPr>
        <w:t xml:space="preserve">Table 4.</w:t>
      </w:r>
      <w:r>
        <w:t xml:space="preserve"> </w:t>
      </w:r>
      <w:r>
        <w:t xml:space="preserve">Identified total loads against direct weighing.</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2413"/>
        <w:gridCol w:w="1581"/>
        <w:gridCol w:w="1414"/>
        <w:gridCol w:w="1913"/>
        <w:gridCol w:w="1747"/>
      </w:tblGrid>
      <w:tr>
        <w:trPr>
          <w:tblHeader w:val="true"/>
        </w:trPr>
        <w:tc>
          <w:tcPr>
            <w:tcW w:type="dxa" w:w="2413"/>
            <w:tcBorders>
              <w:top w:val="nil"/>
              <w:left w:val="nil"/>
              <w:bottom w:val="single" w:sz="6" w:space="0" w:color="000000"/>
              <w:right w:val="nil"/>
            </w:tcBorders>
          </w:tcPr>
          <w:p>
            <w:pPr>
              <w:pStyle w:val="Compact"/>
              <w:jc w:val="left"/>
            </w:pPr>
            <w:r>
              <w:t xml:space="preserve">Configuration</w:t>
            </w:r>
          </w:p>
        </w:tc>
        <w:tc>
          <w:tcPr>
            <w:tcW w:type="dxa" w:w="1581"/>
            <w:tcBorders>
              <w:top w:val="nil"/>
              <w:left w:val="nil"/>
              <w:bottom w:val="single" w:sz="6" w:space="0" w:color="000000"/>
              <w:right w:val="nil"/>
            </w:tcBorders>
          </w:tcPr>
          <w:p>
            <w:pPr>
              <w:pStyle w:val="Compact"/>
              <w:jc w:val="left"/>
            </w:pPr>
            <w:r>
              <w:t xml:space="preserve">Method</w:t>
            </w:r>
          </w:p>
        </w:tc>
        <w:tc>
          <w:tcPr>
            <w:tcW w:type="dxa" w:w="1414"/>
            <w:tcBorders>
              <w:top w:val="nil"/>
              <w:left w:val="nil"/>
              <w:bottom w:val="single" w:sz="6" w:space="0" w:color="000000"/>
              <w:right w:val="nil"/>
            </w:tcBorders>
          </w:tcPr>
          <w:p>
            <w:pPr>
              <w:pStyle w:val="Compact"/>
              <w:jc w:val="left"/>
            </w:pPr>
            <m:oMath>
              <m:sSub>
                <m:e>
                  <m:r>
                    <m:t>I</m:t>
                  </m:r>
                </m:e>
                <m:sub>
                  <m:r>
                    <m:t>y</m:t>
                  </m:r>
                </m:sub>
              </m:sSub>
            </m:oMath>
            <w:r>
              <w:t xml:space="preserve"> </w:t>
            </w:r>
            <w:r>
              <w:t xml:space="preserve">(mm²)</w:t>
            </w:r>
          </w:p>
        </w:tc>
        <w:tc>
          <w:tcPr>
            <w:tcW w:type="dxa" w:w="1913"/>
            <w:tcBorders>
              <w:top w:val="nil"/>
              <w:left w:val="nil"/>
              <w:bottom w:val="single" w:sz="6" w:space="0" w:color="000000"/>
              <w:right w:val="nil"/>
            </w:tcBorders>
          </w:tcPr>
          <w:p>
            <w:pPr>
              <w:pStyle w:val="Compact"/>
              <w:jc w:val="left"/>
            </w:pPr>
            <w:r>
              <w:t xml:space="preserve">Identified load (N)</w:t>
            </w:r>
          </w:p>
        </w:tc>
        <w:tc>
          <w:tcPr>
            <w:tcW w:type="dxa" w:w="1747"/>
            <w:tcBorders>
              <w:top w:val="nil"/>
              <w:left w:val="nil"/>
              <w:bottom w:val="single" w:sz="6" w:space="0" w:color="000000"/>
              <w:right w:val="nil"/>
            </w:tcBorders>
          </w:tcPr>
          <w:p>
            <w:pPr>
              <w:pStyle w:val="Compact"/>
              <w:jc w:val="left"/>
            </w:pPr>
            <w:r>
              <w:t xml:space="preserve">Deviation</w:t>
            </w:r>
          </w:p>
        </w:tc>
      </w:tr>
      <w:tr>
        <w:tc>
          <w:tcPr>
            <w:tcW w:type="dxa" w:w="2413"/>
          </w:tcPr>
          <w:p>
            <w:pPr>
              <w:pStyle w:val="Compact"/>
              <w:jc w:val="left"/>
            </w:pPr>
            <w:r>
              <w:t xml:space="preserve">Two loads</w:t>
            </w:r>
          </w:p>
        </w:tc>
        <w:tc>
          <w:tcPr>
            <w:tcW w:type="dxa" w:w="1581"/>
          </w:tcPr>
          <w:p>
            <w:pPr>
              <w:pStyle w:val="Compact"/>
              <w:jc w:val="left"/>
            </w:pPr>
            <w:r>
              <w:t xml:space="preserve">Weighing</w:t>
            </w:r>
          </w:p>
        </w:tc>
        <w:tc>
          <w:tcPr>
            <w:tcW w:type="dxa" w:w="1414"/>
          </w:tcPr>
          <w:p>
            <w:pPr>
              <w:pStyle w:val="Compact"/>
              <w:jc w:val="left"/>
            </w:pPr>
            <w:r>
              <w:t xml:space="preserve">n/a</w:t>
            </w:r>
          </w:p>
        </w:tc>
        <w:tc>
          <w:tcPr>
            <w:tcW w:type="dxa" w:w="1913"/>
          </w:tcPr>
          <w:p>
            <w:pPr>
              <w:pStyle w:val="Compact"/>
              <w:jc w:val="left"/>
            </w:pPr>
            <w:r>
              <w:t xml:space="preserve">66.99</w:t>
            </w:r>
          </w:p>
        </w:tc>
        <w:tc>
          <w:tcPr>
            <w:tcW w:type="dxa" w:w="1747"/>
          </w:tcPr>
          <w:p>
            <w:pPr>
              <w:pStyle w:val="Compact"/>
              <w:jc w:val="left"/>
            </w:pPr>
            <w:r>
              <w:t xml:space="preserve">n/a</w:t>
            </w:r>
          </w:p>
        </w:tc>
      </w:tr>
      <w:tr>
        <w:tc>
          <w:tcPr>
            <w:tcW w:type="dxa" w:w="2413"/>
          </w:tcPr>
          <w:p>
            <w:pPr>
              <w:pStyle w:val="Compact"/>
            </w:pPr>
          </w:p>
        </w:tc>
        <w:tc>
          <w:tcPr>
            <w:tcW w:type="dxa" w:w="1581"/>
          </w:tcPr>
          <w:p>
            <w:pPr>
              <w:pStyle w:val="Compact"/>
              <w:jc w:val="left"/>
            </w:pPr>
            <w:r>
              <w:t xml:space="preserve">BPM</w:t>
            </w:r>
          </w:p>
        </w:tc>
        <w:tc>
          <w:tcPr>
            <w:tcW w:type="dxa" w:w="1414"/>
          </w:tcPr>
          <w:p>
            <w:pPr>
              <w:pStyle w:val="Compact"/>
              <w:jc w:val="left"/>
            </w:pPr>
            <w:r>
              <w:t xml:space="preserve">4168.15</w:t>
            </w:r>
          </w:p>
        </w:tc>
        <w:tc>
          <w:tcPr>
            <w:tcW w:type="dxa" w:w="1913"/>
          </w:tcPr>
          <w:p>
            <w:pPr>
              <w:pStyle w:val="Compact"/>
              <w:jc w:val="left"/>
            </w:pPr>
            <w:r>
              <w:t xml:space="preserve">67.73</w:t>
            </w:r>
          </w:p>
        </w:tc>
        <w:tc>
          <w:tcPr>
            <w:tcW w:type="dxa" w:w="1747"/>
          </w:tcPr>
          <w:p>
            <w:pPr>
              <w:pStyle w:val="Compact"/>
              <w:jc w:val="left"/>
            </w:pPr>
            <w:r>
              <w:t xml:space="preserve">+1.10 %</w:t>
            </w:r>
          </w:p>
        </w:tc>
      </w:tr>
      <w:tr>
        <w:tc>
          <w:tcPr>
            <w:tcW w:type="dxa" w:w="2413"/>
          </w:tcPr>
          <w:p>
            <w:pPr>
              <w:pStyle w:val="Compact"/>
            </w:pPr>
          </w:p>
        </w:tc>
        <w:tc>
          <w:tcPr>
            <w:tcW w:type="dxa" w:w="1581"/>
          </w:tcPr>
          <w:p>
            <w:pPr>
              <w:pStyle w:val="Compact"/>
              <w:jc w:val="left"/>
            </w:pPr>
            <w:r>
              <w:t xml:space="preserve">SLM</w:t>
            </w:r>
          </w:p>
        </w:tc>
        <w:tc>
          <w:tcPr>
            <w:tcW w:type="dxa" w:w="1414"/>
          </w:tcPr>
          <w:p>
            <w:pPr>
              <w:pStyle w:val="Compact"/>
              <w:jc w:val="left"/>
            </w:pPr>
            <w:r>
              <w:t xml:space="preserve">4168.15</w:t>
            </w:r>
          </w:p>
        </w:tc>
        <w:tc>
          <w:tcPr>
            <w:tcW w:type="dxa" w:w="1913"/>
          </w:tcPr>
          <w:p>
            <w:pPr>
              <w:pStyle w:val="Compact"/>
              <w:jc w:val="left"/>
            </w:pPr>
            <w:r>
              <w:t xml:space="preserve">67.40</w:t>
            </w:r>
          </w:p>
        </w:tc>
        <w:tc>
          <w:tcPr>
            <w:tcW w:type="dxa" w:w="1747"/>
          </w:tcPr>
          <w:p>
            <w:pPr>
              <w:pStyle w:val="Compact"/>
              <w:jc w:val="left"/>
            </w:pPr>
            <w:r>
              <w:t xml:space="preserve">+0.61 %</w:t>
            </w:r>
          </w:p>
        </w:tc>
      </w:tr>
      <w:tr>
        <w:tc>
          <w:tcPr>
            <w:tcW w:type="dxa" w:w="2413"/>
          </w:tcPr>
          <w:p>
            <w:pPr>
              <w:pStyle w:val="Compact"/>
              <w:jc w:val="left"/>
            </w:pPr>
            <w:r>
              <w:t xml:space="preserve">Three loads</w:t>
            </w:r>
          </w:p>
        </w:tc>
        <w:tc>
          <w:tcPr>
            <w:tcW w:type="dxa" w:w="1581"/>
          </w:tcPr>
          <w:p>
            <w:pPr>
              <w:pStyle w:val="Compact"/>
              <w:jc w:val="left"/>
            </w:pPr>
            <w:r>
              <w:t xml:space="preserve">Weighing</w:t>
            </w:r>
          </w:p>
        </w:tc>
        <w:tc>
          <w:tcPr>
            <w:tcW w:type="dxa" w:w="1414"/>
          </w:tcPr>
          <w:p>
            <w:pPr>
              <w:pStyle w:val="Compact"/>
              <w:jc w:val="left"/>
            </w:pPr>
            <w:r>
              <w:t xml:space="preserve">n/a</w:t>
            </w:r>
          </w:p>
        </w:tc>
        <w:tc>
          <w:tcPr>
            <w:tcW w:type="dxa" w:w="1913"/>
          </w:tcPr>
          <w:p>
            <w:pPr>
              <w:pStyle w:val="Compact"/>
              <w:jc w:val="left"/>
            </w:pPr>
            <w:r>
              <w:t xml:space="preserve">125.08</w:t>
            </w:r>
          </w:p>
        </w:tc>
        <w:tc>
          <w:tcPr>
            <w:tcW w:type="dxa" w:w="1747"/>
          </w:tcPr>
          <w:p>
            <w:pPr>
              <w:pStyle w:val="Compact"/>
              <w:jc w:val="left"/>
            </w:pPr>
            <w:r>
              <w:t xml:space="preserve">n/a</w:t>
            </w:r>
          </w:p>
        </w:tc>
      </w:tr>
      <w:tr>
        <w:tc>
          <w:tcPr>
            <w:tcW w:type="dxa" w:w="2413"/>
          </w:tcPr>
          <w:p>
            <w:pPr>
              <w:pStyle w:val="Compact"/>
            </w:pPr>
          </w:p>
        </w:tc>
        <w:tc>
          <w:tcPr>
            <w:tcW w:type="dxa" w:w="1581"/>
          </w:tcPr>
          <w:p>
            <w:pPr>
              <w:pStyle w:val="Compact"/>
              <w:jc w:val="left"/>
            </w:pPr>
            <w:r>
              <w:t xml:space="preserve">BPM</w:t>
            </w:r>
          </w:p>
        </w:tc>
        <w:tc>
          <w:tcPr>
            <w:tcW w:type="dxa" w:w="1414"/>
          </w:tcPr>
          <w:p>
            <w:pPr>
              <w:pStyle w:val="Compact"/>
              <w:jc w:val="left"/>
            </w:pPr>
            <w:r>
              <w:t xml:space="preserve">7788.93</w:t>
            </w:r>
          </w:p>
        </w:tc>
        <w:tc>
          <w:tcPr>
            <w:tcW w:type="dxa" w:w="1913"/>
          </w:tcPr>
          <w:p>
            <w:pPr>
              <w:pStyle w:val="Compact"/>
              <w:jc w:val="left"/>
            </w:pPr>
            <w:r>
              <w:t xml:space="preserve">126.57</w:t>
            </w:r>
          </w:p>
        </w:tc>
        <w:tc>
          <w:tcPr>
            <w:tcW w:type="dxa" w:w="1747"/>
          </w:tcPr>
          <w:p>
            <w:pPr>
              <w:pStyle w:val="Compact"/>
              <w:jc w:val="left"/>
            </w:pPr>
            <w:r>
              <w:t xml:space="preserve">+1.19 %</w:t>
            </w:r>
          </w:p>
        </w:tc>
      </w:tr>
      <w:tr>
        <w:tc>
          <w:tcPr>
            <w:tcW w:type="dxa" w:w="2413"/>
          </w:tcPr>
          <w:p>
            <w:pPr>
              <w:pStyle w:val="Compact"/>
            </w:pPr>
          </w:p>
        </w:tc>
        <w:tc>
          <w:tcPr>
            <w:tcW w:type="dxa" w:w="1581"/>
          </w:tcPr>
          <w:p>
            <w:pPr>
              <w:pStyle w:val="Compact"/>
              <w:jc w:val="left"/>
            </w:pPr>
            <w:r>
              <w:t xml:space="preserve">SLM</w:t>
            </w:r>
          </w:p>
        </w:tc>
        <w:tc>
          <w:tcPr>
            <w:tcW w:type="dxa" w:w="1414"/>
          </w:tcPr>
          <w:p>
            <w:pPr>
              <w:pStyle w:val="Compact"/>
              <w:jc w:val="left"/>
            </w:pPr>
            <w:r>
              <w:t xml:space="preserve">7788.93</w:t>
            </w:r>
          </w:p>
        </w:tc>
        <w:tc>
          <w:tcPr>
            <w:tcW w:type="dxa" w:w="1913"/>
          </w:tcPr>
          <w:p>
            <w:pPr>
              <w:pStyle w:val="Compact"/>
              <w:jc w:val="left"/>
            </w:pPr>
            <w:r>
              <w:t xml:space="preserve">125.95</w:t>
            </w:r>
          </w:p>
        </w:tc>
        <w:tc>
          <w:tcPr>
            <w:tcW w:type="dxa" w:w="1747"/>
          </w:tcPr>
          <w:p>
            <w:pPr>
              <w:pStyle w:val="Compact"/>
              <w:jc w:val="left"/>
            </w:pPr>
            <w:r>
              <w:t xml:space="preserve">+0.70 %</w:t>
            </w:r>
          </w:p>
        </w:tc>
      </w:tr>
    </w:tbl>
    <w:p>
      <w:pPr>
        <w:pStyle w:val="BodyText"/>
      </w:pPr>
      <w:r>
        <w:t xml:space="preserve">Both methods identify the total load within 1.2 %, and SLM is the more accurate. The ratio of the two estimates is 1.00489 for both configurations and equals the ratio of the measured reference integral to its exact value, 2513.43/2501.19. The whole difference between BPM and SLM is thus the calibration error of the reference record, which SLM absorbs and BPM does not. The BPM result also benefits from two errors of opposite sign: the trapezoidal rule underestimates the integral by 0.50 %, while the measured deflections exceed theory. Correcting the quadrature bias alone would raise the BPM deviation from +1.10 % to +1.61 %.</w:t>
      </w:r>
    </w:p>
    <w:p>
      <w:pPr>
        <w:pStyle w:val="BodyText"/>
      </w:pPr>
      <w:r>
        <w:t xml:space="preserve">The excess of the measured over the analytical integral, both by the trapezoidal rule on the same grid, depends on the configuration: the ratio is 1.010 for the single load (40.64 N), 1.016 for the two-load group (66.99 N) and 1.017 for the three-load group (125.08 N). SLM divides by the single-load record, so the step from 1.010 to 1.016–1.017 is exactly its residual of 0.61 % and 0.70 %. The present data cannot separate the possible causes: a mild non-proportionality of the support seating, an error in the stated masses, or errors in the positions of the suspended loads would each produce such a step. Linearity is the premise of both Eq. (2) and Eq. (11), so the direct invariance test recommended in Section 7 should repeat each spacing with loads of different magnitude.</w:t>
      </w:r>
    </w:p>
    <w:p>
      <w:pPr>
        <w:pStyle w:val="BodyText"/>
      </w:pPr>
      <w:r>
        <w:t xml:space="preserve">Fig. 6 plots the measured integral against the total load for the three configurations. A regression through the origin gives</w:t>
      </w:r>
      <w:r>
        <w:t xml:space="preserve"> </w:t>
      </w:r>
      <m:oMath>
        <m:sSub>
          <m:e>
            <m:r>
              <m:t>I</m:t>
            </m:r>
          </m:e>
          <m:sub>
            <m:r>
              <m:t>y</m:t>
            </m:r>
          </m:sub>
        </m:sSub>
        <m:r>
          <m:rPr>
            <m:sty m:val="p"/>
          </m:rPr>
          <m:t>=</m:t>
        </m:r>
        <m:r>
          <m:t>62.229</m:t>
        </m:r>
        <m:r>
          <m:t>P</m:t>
        </m:r>
      </m:oMath>
      <w:r>
        <w:t xml:space="preserve"> </w:t>
      </w:r>
      <w:r>
        <w:t xml:space="preserve">with</w:t>
      </w:r>
      <w:r>
        <w:t xml:space="preserve"> </w:t>
      </w:r>
      <m:oMath>
        <m:sSup>
          <m:e>
            <m:r>
              <m:t>R</m:t>
            </m:r>
          </m:e>
          <m:sup>
            <m:r>
              <m:t>2</m:t>
            </m:r>
          </m:sup>
        </m:sSup>
        <m:r>
          <m:rPr>
            <m:sty m:val="p"/>
          </m:rPr>
          <m:t>=</m:t>
        </m:r>
        <m:r>
          <m:t>0.99998</m:t>
        </m:r>
      </m:oMath>
      <w:r>
        <w:t xml:space="preserve">, a slope 1.12 % above the theoretical 61.541 mm²/N, which is consistent with the residual pattern of Fig. 5. Because the three configurations differ in both total load and spacing, this line supports the invariance only indirectly; three points do not make the</w:t>
      </w:r>
      <w:r>
        <w:t xml:space="preserve"> </w:t>
      </w:r>
      <m:oMath>
        <m:sSup>
          <m:e>
            <m:r>
              <m:t>R</m:t>
            </m:r>
          </m:e>
          <m:sup>
            <m:r>
              <m:t>2</m:t>
            </m:r>
          </m:sup>
        </m:sSup>
      </m:oMath>
      <w:r>
        <w:t xml:space="preserve"> </w:t>
      </w:r>
      <w:r>
        <w:t xml:space="preserve">a strong test. A direct test with a fixed total load at varying spacings is recommended in Section 7.</w:t>
      </w:r>
    </w:p>
    <w:p>
      <w:pPr>
        <w:pStyle w:val="BodyText"/>
      </w:pPr>
      <w:r>
        <w:t xml:space="preserve">The laboratory beam thus confirms the influence line, the integral and the common-mode cancellation of SLM on the equal two-span case. The next section asks what the criterion says about a real continuous girder whose layout lies close to the blind locus.</w:t>
      </w:r>
    </w:p>
    <w:bookmarkEnd w:id="30"/>
    <w:bookmarkEnd w:id="31"/>
    <w:bookmarkStart w:id="36" w:name="X78e2b93b163c02d2e6af2be36bf778571bb078d"/>
    <w:p>
      <w:pPr>
        <w:pStyle w:val="Heading2"/>
      </w:pPr>
      <w:r>
        <w:t xml:space="preserve">4. Application to an in-service three-span box girder</w:t>
      </w:r>
    </w:p>
    <w:p>
      <w:pPr>
        <w:pStyle w:val="FirstParagraph"/>
      </w:pPr>
      <w:r>
        <w:t xml:space="preserve">This section applies the observability criterion to the acceptance-test data of an in-service three-span box girder. The bridge was tested only with parked convoys, one reading per gauge and load case, so the data cannot check Eq. (2) itself. They can show how far the observability of each installed gauge is determined by the design data and two static readings.</w:t>
      </w:r>
    </w:p>
    <w:bookmarkStart w:id="32" w:name="bridge-and-test-data"/>
    <w:p>
      <w:pPr>
        <w:pStyle w:val="Heading3"/>
      </w:pPr>
      <w:r>
        <w:t xml:space="preserve">4.1. Bridge and test data</w:t>
      </w:r>
    </w:p>
    <w:p>
      <w:pPr>
        <w:pStyle w:val="FirstParagraph"/>
      </w:pPr>
      <w:r>
        <w:t xml:space="preserve">The Cầu Mây Bridge carries provincial road DT389 over the Kinh Mon River in Hai Duong, Viet Nam. Its main bridge is a three-span continuous prestressed concrete box girder of 55 + 90 + 55 m, built by balanced cantilever, so</w:t>
      </w:r>
      <w:r>
        <w:t xml:space="preserve"> </w:t>
      </w:r>
      <m:oMath>
        <m:r>
          <m:t>β</m:t>
        </m:r>
        <m:r>
          <m:rPr>
            <m:sty m:val="p"/>
          </m:rPr>
          <m:t>=</m:t>
        </m:r>
        <m:r>
          <m:t>90</m:t>
        </m:r>
        <m:r>
          <m:rPr>
            <m:sty m:val="p"/>
          </m:rPr>
          <m:t>/</m:t>
        </m:r>
        <m:r>
          <m:t>55</m:t>
        </m:r>
        <m:r>
          <m:rPr>
            <m:sty m:val="p"/>
          </m:rPr>
          <m:t>=</m:t>
        </m:r>
        <m:r>
          <m:t>1.636</m:t>
        </m:r>
      </m:oMath>
      <w:r>
        <w:t xml:space="preserve">. The depth varies from 2.40 m at mid-span to 5.40 m at the piers. The designer’s rating calculation gives</w:t>
      </w:r>
      <w:r>
        <w:t xml:space="preserve"> </w:t>
      </w:r>
      <m:oMath>
        <m:r>
          <m:t>I</m:t>
        </m:r>
        <m:r>
          <m:rPr>
            <m:sty m:val="p"/>
          </m:rPr>
          <m:t>=</m:t>
        </m:r>
        <m:r>
          <m:t>5.482</m:t>
        </m:r>
      </m:oMath>
      <w:r>
        <w:t xml:space="preserve"> </w:t>
      </w:r>
      <w:r>
        <w:t xml:space="preserve">m⁴ at mid-span and</w:t>
      </w:r>
      <w:r>
        <w:t xml:space="preserve"> </w:t>
      </w:r>
      <m:oMath>
        <m:r>
          <m:t>I</m:t>
        </m:r>
        <m:r>
          <m:rPr>
            <m:sty m:val="p"/>
          </m:rPr>
          <m:t>=</m:t>
        </m:r>
        <m:r>
          <m:t>59.612</m:t>
        </m:r>
      </m:oMath>
      <w:r>
        <w:t xml:space="preserve"> </w:t>
      </w:r>
      <w:r>
        <w:t xml:space="preserve">m⁴ at the pier face for vertical bending, with</w:t>
      </w:r>
      <w:r>
        <w:t xml:space="preserve"> </w:t>
      </w:r>
      <m:oMath>
        <m:sSub>
          <m:e>
            <m:r>
              <m:t>E</m:t>
            </m:r>
          </m:e>
          <m:sub>
            <m:r>
              <m:t>c</m:t>
            </m:r>
          </m:sub>
        </m:sSub>
        <m:r>
          <m:rPr>
            <m:sty m:val="p"/>
          </m:rPr>
          <m:t>=</m:t>
        </m:r>
        <m:r>
          <m:t>36</m:t>
        </m:r>
        <m:r>
          <m:t> </m:t>
        </m:r>
        <m:r>
          <m:t>057</m:t>
        </m:r>
      </m:oMath>
      <w:r>
        <w:t xml:space="preserve"> </w:t>
      </w:r>
      <w:r>
        <w:t xml:space="preserve">MPa (</w:t>
      </w:r>
      <m:oMath>
        <m:r>
          <m:t>f</m:t>
        </m:r>
        <m:sSub>
          <m:e>
            <m:r>
              <m:rPr>
                <m:sty m:val="p"/>
              </m:rPr>
              <m:t>′</m:t>
            </m:r>
          </m:e>
          <m:sub>
            <m:r>
              <m:t>c</m:t>
            </m:r>
          </m:sub>
        </m:sSub>
        <m:r>
          <m:rPr>
            <m:sty m:val="p"/>
          </m:rPr>
          <m:t>=</m:t>
        </m:r>
        <m:r>
          <m:t>45</m:t>
        </m:r>
      </m:oMath>
      <w:r>
        <w:t xml:space="preserve"> </w:t>
      </w:r>
      <w:r>
        <w:t xml:space="preserve">MPa). The inner piers T6 and T7 are monolithic with the girder, and the end piers T5 and T8 carry pot bearings. The approach spans are simply supported behind expansion joints and add nothing to</w:t>
      </w:r>
      <w:r>
        <w:t xml:space="preserve"> </w:t>
      </w:r>
      <m:oMath>
        <m:sSub>
          <m:e>
            <m:r>
              <m:t>C</m:t>
            </m:r>
          </m:e>
          <m:sub>
            <m:r>
              <m:t>m</m:t>
            </m:r>
          </m:sub>
        </m:sSub>
      </m:oMath>
      <w:r>
        <w:t xml:space="preserve">.</w:t>
      </w:r>
    </w:p>
    <w:p>
      <w:pPr>
        <w:pStyle w:val="BodyText"/>
      </w:pPr>
      <w:r>
        <w:t xml:space="preserve">The acceptance load test was carried out in June 2020 by daylight, in hot and sunny weather. The convoys on the continuous spans were made up from ten three-axle trucks, nominally 5 + 10 + 10 t. All ten were weighed, with a mean gross mass of 25.06 t; the masses of the individual trucks in each convoy are not used here. The axle spacings were 3.60 m and 1.35 m and the track width 1.85 m. Trucks stood two abreast, 1.1 m apart, with a clear gap of 6.0 m between consecutive trucks along the span. Scheme III placed four trucks (100 t nominal) in side span N8, with the middle axle of the first row at 0.4L. Scheme IV placed six trucks (150 t nominal) in centre span N7, the middle axle of the second row at mid-span. The truck positions were set out with a tape measure and marked with paint, and the positioning error is estimated at less than 20 cm in each direction. Deflections were read with Mitutoyo dial gauges, three per section, under centric and eccentric transverse positions. In the eccentric position the outer wheel was 0.6 m from the kerb. Each scheme was loaded three times with zero readings in between, and the tables give one peak value per gauge and load case. Gauge N8 is at 0.4L, 22 m from the end support; gauge N7 is at mid-span of the centre span. The mean of the six readings is 5.55 mm at N8 against 5.93 mm from the designer’s FE model, and 15.42 mm at N7 against 16.70 mm.</w:t>
      </w:r>
    </w:p>
    <w:bookmarkEnd w:id="32"/>
    <w:bookmarkStart w:id="33" w:name="model-and-calibration"/>
    <w:p>
      <w:pPr>
        <w:pStyle w:val="Heading3"/>
      </w:pPr>
      <w:r>
        <w:t xml:space="preserve">4.2. Model and calibration</w:t>
      </w:r>
    </w:p>
    <w:p>
      <w:pPr>
        <w:pStyle w:val="FirstParagraph"/>
      </w:pPr>
      <w:r>
        <w:t xml:space="preserve">Influence lines and</w:t>
      </w:r>
      <w:r>
        <w:t xml:space="preserve"> </w:t>
      </w:r>
      <m:oMath>
        <m:sSub>
          <m:e>
            <m:r>
              <m:t>C</m:t>
            </m:r>
          </m:e>
          <m:sub>
            <m:r>
              <m:t>m</m:t>
            </m:r>
          </m:sub>
        </m:sSub>
      </m:oMath>
      <w:r>
        <w:t xml:space="preserve"> </w:t>
      </w:r>
      <w:r>
        <w:t xml:space="preserve">were computed with a two-dimensional Euler–Bernoulli FE model with variable stiffness, 10 elements per metre and rigid vertical supports. The depth was assumed to vary parabolically over a length</w:t>
      </w:r>
      <w:r>
        <w:t xml:space="preserve"> </w:t>
      </w:r>
      <m:oMath>
        <m:sSub>
          <m:e>
            <m:r>
              <m:t>L</m:t>
            </m:r>
          </m:e>
          <m:sub>
            <m:r>
              <m:t>v</m:t>
            </m:r>
          </m:sub>
        </m:sSub>
      </m:oMath>
      <w:r>
        <w:t xml:space="preserve"> </w:t>
      </w:r>
      <w:r>
        <w:t xml:space="preserve">from each inner pier axis, and</w:t>
      </w:r>
      <w:r>
        <w:t xml:space="preserve"> </w:t>
      </w:r>
      <m:oMath>
        <m:r>
          <m:t>I</m:t>
        </m:r>
        <m:r>
          <m:rPr>
            <m:sty m:val="p"/>
          </m:rPr>
          <m:t>=</m:t>
        </m:r>
        <m:sSub>
          <m:e>
            <m:r>
              <m:t>I</m:t>
            </m:r>
          </m:e>
          <m:sub>
            <m:r>
              <m:rPr>
                <m:sty m:val="p"/>
              </m:rPr>
              <m:t>m</m:t>
            </m:r>
            <m:r>
              <m:rPr>
                <m:sty m:val="p"/>
              </m:rPr>
              <m:t>i</m:t>
            </m:r>
            <m:r>
              <m:rPr>
                <m:sty m:val="p"/>
              </m:rPr>
              <m:t>d</m:t>
            </m:r>
          </m:sub>
        </m:sSub>
        <m:sSup>
          <m:e>
            <m:d>
              <m:dPr>
                <m:begChr m:val="("/>
                <m:endChr m:val=")"/>
                <m:sepChr m:val=""/>
                <m:grow/>
              </m:dPr>
              <m:e>
                <m:r>
                  <m:t>h</m:t>
                </m:r>
                <m:r>
                  <m:rPr>
                    <m:sty m:val="p"/>
                  </m:rPr>
                  <m:t>/</m:t>
                </m:r>
                <m:sSub>
                  <m:e>
                    <m:r>
                      <m:t>h</m:t>
                    </m:r>
                  </m:e>
                  <m:sub>
                    <m:r>
                      <m:rPr>
                        <m:sty m:val="p"/>
                      </m:rPr>
                      <m:t>m</m:t>
                    </m:r>
                    <m:r>
                      <m:rPr>
                        <m:sty m:val="p"/>
                      </m:rPr>
                      <m:t>i</m:t>
                    </m:r>
                    <m:r>
                      <m:rPr>
                        <m:sty m:val="p"/>
                      </m:rPr>
                      <m:t>d</m:t>
                    </m:r>
                  </m:sub>
                </m:sSub>
              </m:e>
            </m:d>
          </m:e>
          <m:sup>
            <m:r>
              <m:t>n</m:t>
            </m:r>
          </m:sup>
        </m:sSup>
      </m:oMath>
      <w:r>
        <w:t xml:space="preserve"> </w:t>
      </w:r>
      <w:r>
        <w:t xml:space="preserve">with</w:t>
      </w:r>
      <w:r>
        <w:t xml:space="preserve"> </w:t>
      </w:r>
      <m:oMath>
        <m:r>
          <m:t>n</m:t>
        </m:r>
        <m:r>
          <m:rPr>
            <m:sty m:val="p"/>
          </m:rPr>
          <m:t>=</m:t>
        </m:r>
        <m:r>
          <m:t>2.943</m:t>
        </m:r>
      </m:oMath>
      <w:r>
        <w:t xml:space="preserve"> </w:t>
      </w:r>
      <w:r>
        <w:t xml:space="preserve">fitted to the two known sections (Fig. 7a).</w:t>
      </w:r>
      <w:r>
        <w:t xml:space="preserve"> </w:t>
      </w:r>
      <m:oMath>
        <m:sSub>
          <m:e>
            <m:r>
              <m:t>L</m:t>
            </m:r>
          </m:e>
          <m:sub>
            <m:r>
              <m:t>v</m:t>
            </m:r>
          </m:sub>
        </m:sSub>
      </m:oMath>
      <w:r>
        <w:t xml:space="preserve"> </w:t>
      </w:r>
      <w:r>
        <w:t xml:space="preserve">is not stated in the available documents;</w:t>
      </w:r>
      <w:r>
        <w:t xml:space="preserve"> </w:t>
      </w:r>
      <m:oMath>
        <m:sSub>
          <m:e>
            <m:r>
              <m:t>L</m:t>
            </m:r>
          </m:e>
          <m:sub>
            <m:r>
              <m:t>v</m:t>
            </m:r>
          </m:sub>
        </m:sSub>
        <m:r>
          <m:rPr>
            <m:sty m:val="p"/>
          </m:rPr>
          <m:t>=</m:t>
        </m:r>
        <m:r>
          <m:t>44</m:t>
        </m:r>
      </m:oMath>
      <w:r>
        <w:t xml:space="preserve"> </w:t>
      </w:r>
      <w:r>
        <w:t xml:space="preserve">m was used, bracketed by 40 m and 45 m. Each inner pier was represented by a rotational spring</w:t>
      </w:r>
      <w:r>
        <w:t xml:space="preserve"> </w:t>
      </w:r>
      <m:oMath>
        <m:r>
          <m:t>k</m:t>
        </m:r>
      </m:oMath>
      <w:r>
        <w:t xml:space="preserve">. The section properties were checked independently: a polygon routine applied to the cross-section drawings reproduces the designer’s areas within −0.3 % and −0.5 % and the second moments within −5.8 % and −2.6 % at mid-span and at the pier face. Shear deformation, shear lag and transverse distribution are not modelled; the beam carries the total load of the two trucks in each row.</w:t>
      </w:r>
    </w:p>
    <w:p>
      <w:pPr>
        <w:pStyle w:val="BodyText"/>
      </w:pPr>
      <w:r>
        <w:t xml:space="preserve">The pier dimensions were not available, so</w:t>
      </w:r>
      <w:r>
        <w:t xml:space="preserve"> </w:t>
      </w:r>
      <m:oMath>
        <m:r>
          <m:t>k</m:t>
        </m:r>
      </m:oMath>
      <w:r>
        <w:t xml:space="preserve"> </w:t>
      </w:r>
      <w:r>
        <w:t xml:space="preserve">had to be calibrated, and the static data admit two calibrations. Calibration A keeps the design rigidity and fits</w:t>
      </w:r>
      <w:r>
        <w:t xml:space="preserve"> </w:t>
      </w:r>
      <m:oMath>
        <m:r>
          <m:t>k</m:t>
        </m:r>
      </m:oMath>
      <w:r>
        <w:t xml:space="preserve"> </w:t>
      </w:r>
      <w:r>
        <w:t xml:space="preserve">to the deflections that the test report gives for the designer’s FE model:</w:t>
      </w:r>
      <w:r>
        <w:t xml:space="preserve"> </w:t>
      </w:r>
      <m:oMath>
        <m:sSub>
          <m:e>
            <m:r>
              <m:t>k</m:t>
            </m:r>
          </m:e>
          <m:sub>
            <m:r>
              <m:rPr>
                <m:sty m:val="p"/>
              </m:rPr>
              <m:t>F</m:t>
            </m:r>
            <m:r>
              <m:rPr>
                <m:sty m:val="p"/>
              </m:rPr>
              <m:t>E</m:t>
            </m:r>
          </m:sub>
        </m:sSub>
        <m:r>
          <m:rPr>
            <m:sty m:val="p"/>
          </m:rPr>
          <m:t>=</m:t>
        </m:r>
        <m:r>
          <m:t>2.7</m:t>
        </m:r>
        <m:r>
          <m:rPr>
            <m:sty m:val="p"/>
          </m:rPr>
          <m:t>×</m:t>
        </m:r>
        <m:sSup>
          <m:e>
            <m:r>
              <m:t>10</m:t>
            </m:r>
          </m:e>
          <m:sup>
            <m:r>
              <m:t>7</m:t>
            </m:r>
          </m:sup>
        </m:sSup>
      </m:oMath>
      <w:r>
        <w:t xml:space="preserve"> </w:t>
      </w:r>
      <w:r>
        <w:t xml:space="preserve">kN m/rad (</w:t>
      </w:r>
      <m:oMath>
        <m:r>
          <m:t>2.5</m:t>
        </m:r>
      </m:oMath>
      <w:r>
        <w:t xml:space="preserve">–</w:t>
      </w:r>
      <m:oMath>
        <m:r>
          <m:t>3.6</m:t>
        </m:r>
        <m:r>
          <m:rPr>
            <m:sty m:val="p"/>
          </m:rPr>
          <m:t>×</m:t>
        </m:r>
        <m:sSup>
          <m:e>
            <m:r>
              <m:t>10</m:t>
            </m:r>
          </m:e>
          <m:sup>
            <m:r>
              <m:t>7</m:t>
            </m:r>
          </m:sup>
        </m:sSup>
      </m:oMath>
      <w:r>
        <w:t xml:space="preserve"> </w:t>
      </w:r>
      <w:r>
        <w:t xml:space="preserve">over the</w:t>
      </w:r>
      <w:r>
        <w:t xml:space="preserve"> </w:t>
      </w:r>
      <m:oMath>
        <m:sSub>
          <m:e>
            <m:r>
              <m:t>L</m:t>
            </m:r>
          </m:e>
          <m:sub>
            <m:r>
              <m:t>v</m:t>
            </m:r>
          </m:sub>
        </m:sSub>
      </m:oMath>
      <w:r>
        <w:t xml:space="preserve"> </w:t>
      </w:r>
      <w:r>
        <w:t xml:space="preserve">variants), which reproduces both report values within −4.2 % to +3.7 %. Scaling the rigidity uniformly at this</w:t>
      </w:r>
      <w:r>
        <w:t xml:space="preserve"> </w:t>
      </w:r>
      <m:oMath>
        <m:r>
          <m:t>k</m:t>
        </m:r>
      </m:oMath>
      <w:r>
        <w:t xml:space="preserve"> </w:t>
      </w:r>
      <w:r>
        <w:t xml:space="preserve">to match the measured deflections gives</w:t>
      </w:r>
      <w:r>
        <w:t xml:space="preserve"> </w:t>
      </w:r>
      <m:oMath>
        <m:r>
          <m:t>α</m:t>
        </m:r>
        <m:r>
          <m:rPr>
            <m:sty m:val="p"/>
          </m:rPr>
          <m:t>=</m:t>
        </m:r>
        <m:r>
          <m:t>E</m:t>
        </m:r>
        <m:sSub>
          <m:e>
            <m:r>
              <m:t>I</m:t>
            </m:r>
          </m:e>
          <m:sub>
            <m:r>
              <m:rPr>
                <m:sty m:val="p"/>
              </m:rPr>
              <m:t>e</m:t>
            </m:r>
            <m:r>
              <m:rPr>
                <m:sty m:val="p"/>
              </m:rPr>
              <m:t>f</m:t>
            </m:r>
            <m:r>
              <m:rPr>
                <m:sty m:val="p"/>
              </m:rPr>
              <m:t>f</m:t>
            </m:r>
          </m:sub>
        </m:sSub>
        <m:r>
          <m:rPr>
            <m:sty m:val="p"/>
          </m:rPr>
          <m:t>/</m:t>
        </m:r>
        <m:r>
          <m:t>E</m:t>
        </m:r>
        <m:sSub>
          <m:e>
            <m:r>
              <m:t>I</m:t>
            </m:r>
          </m:e>
          <m:sub>
            <m:r>
              <m:rPr>
                <m:sty m:val="p"/>
              </m:rPr>
              <m:t>d</m:t>
            </m:r>
            <m:r>
              <m:rPr>
                <m:sty m:val="p"/>
              </m:rPr>
              <m:t>e</m:t>
            </m:r>
            <m:r>
              <m:rPr>
                <m:sty m:val="p"/>
              </m:rPr>
              <m:t>s</m:t>
            </m:r>
            <m:r>
              <m:rPr>
                <m:sty m:val="p"/>
              </m:rPr>
              <m:t>i</m:t>
            </m:r>
            <m:r>
              <m:rPr>
                <m:sty m:val="p"/>
              </m:rPr>
              <m:t>g</m:t>
            </m:r>
            <m:r>
              <m:rPr>
                <m:sty m:val="p"/>
              </m:rPr>
              <m:t>n</m:t>
            </m:r>
          </m:sub>
        </m:sSub>
        <m:r>
          <m:rPr>
            <m:sty m:val="p"/>
          </m:rPr>
          <m:t>=</m:t>
        </m:r>
        <m:r>
          <m:t>1.088</m:t>
        </m:r>
      </m:oMath>
      <w:r>
        <w:t xml:space="preserve">, with misfits of −4.6 % and +5.0 %. Calibration B fits</w:t>
      </w:r>
      <w:r>
        <w:t xml:space="preserve"> </w:t>
      </w:r>
      <m:oMath>
        <m:r>
          <m:t>α</m:t>
        </m:r>
      </m:oMath>
      <w:r>
        <w:t xml:space="preserve"> </w:t>
      </w:r>
      <w:r>
        <w:t xml:space="preserve">and</w:t>
      </w:r>
      <w:r>
        <w:t xml:space="preserve"> </w:t>
      </w:r>
      <m:oMath>
        <m:r>
          <m:t>k</m:t>
        </m:r>
      </m:oMath>
      <w:r>
        <w:t xml:space="preserve"> </w:t>
      </w:r>
      <w:r>
        <w:t xml:space="preserve">jointly to the measured deflections and gives</w:t>
      </w:r>
      <w:r>
        <w:t xml:space="preserve"> </w:t>
      </w:r>
      <m:oMath>
        <m:r>
          <m:t>α</m:t>
        </m:r>
        <m:r>
          <m:rPr>
            <m:sty m:val="p"/>
          </m:rPr>
          <m:t>=</m:t>
        </m:r>
        <m:r>
          <m:t>0.716</m:t>
        </m:r>
      </m:oMath>
      <w:r>
        <w:t xml:space="preserve"> </w:t>
      </w:r>
      <w:r>
        <w:t xml:space="preserve">and</w:t>
      </w:r>
      <w:r>
        <w:t xml:space="preserve"> </w:t>
      </w:r>
      <m:oMath>
        <m:r>
          <m:t>k</m:t>
        </m:r>
        <m:r>
          <m:rPr>
            <m:sty m:val="p"/>
          </m:rPr>
          <m:t>=</m:t>
        </m:r>
        <m:r>
          <m:t>1.2</m:t>
        </m:r>
        <m:r>
          <m:rPr>
            <m:sty m:val="p"/>
          </m:rPr>
          <m:t>×</m:t>
        </m:r>
        <m:sSup>
          <m:e>
            <m:r>
              <m:t>10</m:t>
            </m:r>
          </m:e>
          <m:sup>
            <m:r>
              <m:t>8</m:t>
            </m:r>
          </m:sup>
        </m:sSup>
      </m:oMath>
      <w:r>
        <w:t xml:space="preserve"> </w:t>
      </w:r>
      <w:r>
        <w:t xml:space="preserve">kN m/rad, with misfits of −2.8 % and +2.9 %. Both sets of misfits are smaller than the spread of the individual readings (5.22–5.91 mm at N8, 14.62–16.67 mm at N7). The calibrations use the nominal axle loads. Replacing them by the weighed mean of 25.06 t, with every axle scaled by the same factor, changes the measured-to-model ratios of Table 6 by at most 0.003 and the indicators of Table 5 by at most 0.002, whether or not the report FE values are assumed to use the weighed mass; these changes are below the printed precision of the conclusions and the nominal-load values are kept. Two static readings cannot separate girder rigidity from pier stiffness: a stiffer girder on more flexible piers and a softer girder on stiffer piers deflect alike at the two gauges. The pier drawings, the designer’s FE model or measured natural frequencies would be needed to choose between the two calibrations, and none was available.</w:t>
      </w:r>
    </w:p>
    <w:p>
      <w:pPr>
        <w:pStyle w:val="BodyText"/>
      </w:pPr>
      <w:r>
        <w:t xml:space="preserve">The indicator</w:t>
      </w:r>
      <w:r>
        <w:t xml:space="preserve"> </w:t>
      </w:r>
      <m:oMath>
        <m:sSub>
          <m:e>
            <m:r>
              <m:t>N</m:t>
            </m:r>
          </m:e>
          <m:sub>
            <m:r>
              <m:t>m</m:t>
            </m:r>
          </m:sub>
        </m:sSub>
      </m:oMath>
      <w:r>
        <w:t xml:space="preserve"> </w:t>
      </w:r>
      <w:r>
        <w:t xml:space="preserve">of Eq. (13) uses</w:t>
      </w:r>
      <w:r>
        <w:t xml:space="preserve"> </w:t>
      </w:r>
      <m:oMath>
        <m:r>
          <m:t>E</m:t>
        </m:r>
        <m:sSub>
          <m:e>
            <m:r>
              <m:t>I</m:t>
            </m:r>
          </m:e>
          <m:sub>
            <m:r>
              <m:rPr>
                <m:sty m:val="p"/>
              </m:rPr>
              <m:t>r</m:t>
            </m:r>
            <m:r>
              <m:rPr>
                <m:sty m:val="p"/>
              </m:rPr>
              <m:t>e</m:t>
            </m:r>
            <m:r>
              <m:rPr>
                <m:sty m:val="p"/>
              </m:rPr>
              <m:t>f</m:t>
            </m:r>
          </m:sub>
        </m:sSub>
        <m:r>
          <m:rPr>
            <m:sty m:val="p"/>
          </m:rPr>
          <m:t>=</m:t>
        </m:r>
        <m:r>
          <m:t>E</m:t>
        </m:r>
        <m:sSub>
          <m:e>
            <m:r>
              <m:t>I</m:t>
            </m:r>
          </m:e>
          <m:sub>
            <m:r>
              <m:rPr>
                <m:sty m:val="p"/>
              </m:rPr>
              <m:t>m</m:t>
            </m:r>
            <m:r>
              <m:rPr>
                <m:sty m:val="p"/>
              </m:rPr>
              <m:t>i</m:t>
            </m:r>
            <m:r>
              <m:rPr>
                <m:sty m:val="p"/>
              </m:rPr>
              <m:t>d</m:t>
            </m:r>
          </m:sub>
        </m:sSub>
      </m:oMath>
      <w:r>
        <w:t xml:space="preserve"> </w:t>
      </w:r>
      <w:r>
        <w:t xml:space="preserve">of the design section, the minimum of</w:t>
      </w:r>
      <w:r>
        <w:t xml:space="preserve"> </w:t>
      </w:r>
      <m:oMath>
        <m:r>
          <m:t>E</m:t>
        </m:r>
        <m:r>
          <m:t>I</m:t>
        </m:r>
        <m:d>
          <m:dPr>
            <m:begChr m:val="("/>
            <m:endChr m:val=")"/>
            <m:sepChr m:val=""/>
            <m:grow/>
          </m:dPr>
          <m:e>
            <m:r>
              <m:t>x</m:t>
            </m:r>
          </m:e>
        </m:d>
      </m:oMath>
      <w:r>
        <w:t xml:space="preserve">, in both calibrations, so that the two are compared on one scale. As a check,</w:t>
      </w:r>
      <w:r>
        <w:t xml:space="preserve"> </w:t>
      </w:r>
      <m:oMath>
        <m:sSub>
          <m:e>
            <m:r>
              <m:t>C</m:t>
            </m:r>
          </m:e>
          <m:sub>
            <m:r>
              <m:t>m</m:t>
            </m:r>
          </m:sub>
        </m:sSub>
      </m:oMath>
      <w:r>
        <w:t xml:space="preserve"> </w:t>
      </w:r>
      <w:r>
        <w:t xml:space="preserve">computed as the influence-line area and as the deflection under a unit uniform load, Eq. (3), agreed to 1.1 × 10⁻⁴ in every case. The difference is the error of the trapezoidal rule applied to the nodal influence-line values on the 0.1 m mesh; the uniform-load route uses consistent nodal loads and has no such error.</w:t>
      </w:r>
    </w:p>
    <w:bookmarkEnd w:id="33"/>
    <w:bookmarkStart w:id="34" w:name="observability-of-the-installed-gauges"/>
    <w:p>
      <w:pPr>
        <w:pStyle w:val="Heading3"/>
      </w:pPr>
      <w:r>
        <w:t xml:space="preserve">4.3. Observability of the installed gauges</w:t>
      </w:r>
    </w:p>
    <w:p>
      <w:pPr>
        <w:pStyle w:val="FirstParagraph"/>
      </w:pPr>
      <w:r>
        <w:t xml:space="preserve">The prismatic closed form already places this layout near the blind locus. With uniform rigidity, Eq. (8) gives</w:t>
      </w:r>
      <w:r>
        <w:t xml:space="preserve"> </w:t>
      </w:r>
      <m:oMath>
        <m:sSub>
          <m:e>
            <m:r>
              <m:t>N</m:t>
            </m:r>
          </m:e>
          <m:sub>
            <m:r>
              <m:t>m</m:t>
            </m:r>
          </m:sub>
        </m:sSub>
        <m:r>
          <m:rPr>
            <m:sty m:val="p"/>
          </m:rPr>
          <m:t>=</m:t>
        </m:r>
        <m:r>
          <m:t>0.163</m:t>
        </m:r>
      </m:oMath>
      <w:r>
        <w:t xml:space="preserve"> </w:t>
      </w:r>
      <w:r>
        <w:t xml:space="preserve">at mid side span, inside the near-blind band, because</w:t>
      </w:r>
      <w:r>
        <w:t xml:space="preserve"> </w:t>
      </w:r>
      <m:oMath>
        <m:r>
          <m:t>β</m:t>
        </m:r>
        <m:r>
          <m:rPr>
            <m:sty m:val="p"/>
          </m:rPr>
          <m:t>=</m:t>
        </m:r>
        <m:r>
          <m:t>1.636</m:t>
        </m:r>
      </m:oMath>
      <w:r>
        <w:t xml:space="preserve"> </w:t>
      </w:r>
      <w:r>
        <w:t xml:space="preserve">lies between the band edge 1.621399 and</w:t>
      </w:r>
      <w:r>
        <w:t xml:space="preserve"> </w:t>
      </w:r>
      <m:oMath>
        <m:sSub>
          <m:e>
            <m:r>
              <m:t>β</m:t>
            </m:r>
          </m:e>
          <m:sub>
            <m:r>
              <m:rPr>
                <m:sty m:val="p"/>
              </m:rPr>
              <m:t>c</m:t>
            </m:r>
            <m:r>
              <m:rPr>
                <m:sty m:val="p"/>
              </m:rPr>
              <m:t>r</m:t>
            </m:r>
            <m:r>
              <m:rPr>
                <m:sty m:val="p"/>
              </m:rPr>
              <m:t>i</m:t>
            </m:r>
            <m:r>
              <m:rPr>
                <m:sty m:val="p"/>
              </m:rPr>
              <m:t>t</m:t>
            </m:r>
          </m:sub>
        </m:sSub>
      </m:oMath>
      <w:r>
        <w:t xml:space="preserve"> </w:t>
      </w:r>
      <w:r>
        <w:t xml:space="preserve">of Eq. (9). Eq. (10) gives</w:t>
      </w:r>
      <w:r>
        <w:t xml:space="preserve"> </w:t>
      </w:r>
      <m:oMath>
        <m:d>
          <m:dPr>
            <m:begChr m:val="|"/>
            <m:endChr m:val="|"/>
            <m:sepChr m:val=""/>
            <m:grow/>
          </m:dPr>
          <m:e>
            <m:sSup>
              <m:e>
                <m:r>
                  <m:t>C</m:t>
                </m:r>
              </m:e>
              <m:sup>
                <m:r>
                  <m:rPr>
                    <m:sty m:val="p"/>
                  </m:rPr>
                  <m:t>−</m:t>
                </m:r>
              </m:sup>
            </m:sSup>
          </m:e>
        </m:d>
        <m:r>
          <m:rPr>
            <m:sty m:val="p"/>
          </m:rPr>
          <m:t>/</m:t>
        </m:r>
        <m:sSup>
          <m:e>
            <m:r>
              <m:t>C</m:t>
            </m:r>
          </m:e>
          <m:sup>
            <m:r>
              <m:rPr>
                <m:sty m:val="p"/>
              </m:rPr>
              <m:t>+</m:t>
            </m:r>
          </m:sup>
        </m:sSup>
        <m:r>
          <m:rPr>
            <m:sty m:val="p"/>
          </m:rPr>
          <m:t>=</m:t>
        </m:r>
        <m:r>
          <m:t>0.921</m:t>
        </m:r>
      </m:oMath>
      <w:r>
        <w:t xml:space="preserve">. Moving the sensor to</w:t>
      </w:r>
      <w:r>
        <w:t xml:space="preserve"> </w:t>
      </w:r>
      <m:oMath>
        <m:sSup>
          <m:e>
            <m:r>
              <m:t>ξ</m:t>
            </m:r>
          </m:e>
          <m:sup>
            <m:r>
              <m:rPr>
                <m:sty m:val="p"/>
              </m:rPr>
              <m:t>*</m:t>
            </m:r>
          </m:sup>
        </m:sSup>
        <m:r>
          <m:rPr>
            <m:sty m:val="p"/>
          </m:rPr>
          <m:t>=</m:t>
        </m:r>
        <m:r>
          <m:t>0.2994</m:t>
        </m:r>
      </m:oMath>
      <w:r>
        <w:t xml:space="preserve"> </w:t>
      </w:r>
      <w:r>
        <w:t xml:space="preserve">would double the indicator to 0.332 (Table 2). The span-wise contributions, obtained by loading one span at a time, are 1.870395 and 0.195395 for the two side spans and −1.902566 for the main span, in units of</w:t>
      </w:r>
      <w:r>
        <w:t xml:space="preserve"> </w:t>
      </w:r>
      <m:oMath>
        <m:sSubSup>
          <m:e>
            <m:r>
              <m:t>L</m:t>
            </m:r>
          </m:e>
          <m:sub>
            <m:r>
              <m:t>s</m:t>
            </m:r>
          </m:sub>
          <m:sup>
            <m:r>
              <m:t>4</m:t>
            </m:r>
          </m:sup>
        </m:sSubSup>
        <m:r>
          <m:rPr>
            <m:sty m:val="p"/>
          </m:rPr>
          <m:t>/</m:t>
        </m:r>
        <m:d>
          <m:dPr>
            <m:begChr m:val="("/>
            <m:endChr m:val=")"/>
            <m:sepChr m:val=""/>
            <m:grow/>
          </m:dPr>
          <m:e>
            <m:r>
              <m:t>192</m:t>
            </m:r>
            <m:r>
              <m:t>E</m:t>
            </m:r>
            <m:sSub>
              <m:e>
                <m:r>
                  <m:t>I</m:t>
                </m:r>
              </m:e>
              <m:sub>
                <m:r>
                  <m:t>s</m:t>
                </m:r>
              </m:sub>
            </m:sSub>
          </m:e>
        </m:d>
      </m:oMath>
      <w:r>
        <w:t xml:space="preserve">; the influence line keeps one sign in each span (+, −, +). A mid main-span sensor of the same prismatic beam would read 0.754630 with a cancellation of only 0.30.</w:t>
      </w:r>
    </w:p>
    <w:p>
      <w:pPr>
        <w:pStyle w:val="BodyText"/>
      </w:pPr>
      <w:r>
        <w:t xml:space="preserve">Table 5 gives the results of the variable-stiffness model for both calibrations, and Figs. 7b and 7c show the influence lines.</w:t>
      </w:r>
    </w:p>
    <w:p>
      <w:pPr>
        <w:pStyle w:val="BodyText"/>
      </w:pPr>
      <w:r>
        <w:rPr>
          <w:bCs/>
          <w:b/>
        </w:rPr>
        <w:t xml:space="preserve">Table 5.</w:t>
      </w:r>
      <w:r>
        <w:t xml:space="preserve"> </w:t>
      </w:r>
      <w:r>
        <w:t xml:space="preserve">Observability indicators for the Cầu Mây gauges.</w:t>
      </w:r>
      <w:r>
        <w:t xml:space="preserve"> </w:t>
      </w:r>
      <m:oMath>
        <m:sSub>
          <m:e>
            <m:r>
              <m:t>N</m:t>
            </m:r>
          </m:e>
          <m:sub>
            <m:r>
              <m:t>m</m:t>
            </m:r>
          </m:sub>
        </m:sSub>
        <m:r>
          <m:rPr>
            <m:sty m:val="p"/>
          </m:rPr>
          <m:t>=</m:t>
        </m:r>
        <m:r>
          <m:t>192</m:t>
        </m:r>
        <m:r>
          <m:t>E</m:t>
        </m:r>
        <m:sSub>
          <m:e>
            <m:r>
              <m:t>I</m:t>
            </m:r>
          </m:e>
          <m:sub>
            <m:r>
              <m:rPr>
                <m:sty m:val="p"/>
              </m:rPr>
              <m:t>m</m:t>
            </m:r>
            <m:r>
              <m:rPr>
                <m:sty m:val="p"/>
              </m:rPr>
              <m:t>i</m:t>
            </m:r>
            <m:r>
              <m:rPr>
                <m:sty m:val="p"/>
              </m:rPr>
              <m:t>d</m:t>
            </m:r>
          </m:sub>
        </m:sSub>
        <m:sSub>
          <m:e>
            <m:r>
              <m:t>C</m:t>
            </m:r>
          </m:e>
          <m:sub>
            <m:r>
              <m:t>m</m:t>
            </m:r>
          </m:sub>
        </m:sSub>
        <m:r>
          <m:rPr>
            <m:sty m:val="p"/>
          </m:rPr>
          <m:t>/</m:t>
        </m:r>
        <m:sSup>
          <m:e>
            <m:r>
              <m:t>L</m:t>
            </m:r>
          </m:e>
          <m:sup>
            <m:r>
              <m:t>4</m:t>
            </m:r>
          </m:sup>
        </m:sSup>
      </m:oMath>
      <w:r>
        <w:t xml:space="preserve">, Eq. (13), with</w:t>
      </w:r>
      <w:r>
        <w:t xml:space="preserve"> </w:t>
      </w:r>
      <m:oMath>
        <m:r>
          <m:t>L</m:t>
        </m:r>
      </m:oMath>
      <w:r>
        <w:t xml:space="preserve"> </w:t>
      </w:r>
      <w:r>
        <w:t xml:space="preserve">the span containing the gauge and</w:t>
      </w:r>
      <w:r>
        <w:t xml:space="preserve"> </w:t>
      </w:r>
      <m:oMath>
        <m:r>
          <m:t>E</m:t>
        </m:r>
        <m:sSub>
          <m:e>
            <m:r>
              <m:t>I</m:t>
            </m:r>
          </m:e>
          <m:sub>
            <m:r>
              <m:rPr>
                <m:sty m:val="p"/>
              </m:rPr>
              <m:t>m</m:t>
            </m:r>
            <m:r>
              <m:rPr>
                <m:sty m:val="p"/>
              </m:rPr>
              <m:t>i</m:t>
            </m:r>
            <m:r>
              <m:rPr>
                <m:sty m:val="p"/>
              </m:rPr>
              <m:t>d</m:t>
            </m:r>
          </m:sub>
        </m:sSub>
      </m:oMath>
      <w:r>
        <w:t xml:space="preserve"> </w:t>
      </w:r>
      <w:r>
        <w:t xml:space="preserve">of the design section;</w:t>
      </w:r>
      <w:r>
        <w:t xml:space="preserve"> </w:t>
      </w:r>
      <m:oMath>
        <m:sSub>
          <m:e>
            <m:r>
              <m:t>R</m:t>
            </m:r>
          </m:e>
          <m:sub>
            <m:r>
              <m:t>m</m:t>
            </m:r>
          </m:sub>
        </m:sSub>
        <m:r>
          <m:rPr>
            <m:sty m:val="p"/>
          </m:rPr>
          <m:t>=</m:t>
        </m:r>
        <m:sSub>
          <m:e>
            <m:r>
              <m:t>C</m:t>
            </m:r>
          </m:e>
          <m:sub>
            <m:r>
              <m:t>m</m:t>
            </m:r>
          </m:sub>
        </m:sSub>
        <m:r>
          <m:rPr>
            <m:sty m:val="p"/>
          </m:rPr>
          <m:t>/</m:t>
        </m:r>
        <m:sSup>
          <m:e>
            <m:r>
              <m:t>A</m:t>
            </m:r>
          </m:e>
          <m:sup>
            <m:r>
              <m:rPr>
                <m:sty m:val="p"/>
              </m:rPr>
              <m:t>+</m:t>
            </m:r>
          </m:sup>
        </m:sSup>
      </m:oMath>
      <w:r>
        <w:t xml:space="preserve">, Eq. (14). Calibration A: design</w:t>
      </w:r>
      <w:r>
        <w:t xml:space="preserve"> </w:t>
      </w:r>
      <m:oMath>
        <m:r>
          <m:t>E</m:t>
        </m:r>
        <m:r>
          <m:t>I</m:t>
        </m:r>
      </m:oMath>
      <w:r>
        <w:t xml:space="preserve">,</w:t>
      </w:r>
      <w:r>
        <w:t xml:space="preserve"> </w:t>
      </w:r>
      <m:oMath>
        <m:r>
          <m:t>k</m:t>
        </m:r>
        <m:r>
          <m:rPr>
            <m:sty m:val="p"/>
          </m:rPr>
          <m:t>=</m:t>
        </m:r>
        <m:sSub>
          <m:e>
            <m:r>
              <m:t>k</m:t>
            </m:r>
          </m:e>
          <m:sub>
            <m:r>
              <m:rPr>
                <m:sty m:val="p"/>
              </m:rPr>
              <m:t>F</m:t>
            </m:r>
            <m:r>
              <m:rPr>
                <m:sty m:val="p"/>
              </m:rPr>
              <m:t>E</m:t>
            </m:r>
          </m:sub>
        </m:sSub>
      </m:oMath>
      <w:r>
        <w:t xml:space="preserve">. Calibration B:</w:t>
      </w:r>
      <w:r>
        <w:t xml:space="preserve"> </w:t>
      </w:r>
      <m:oMath>
        <m:r>
          <m:t>α</m:t>
        </m:r>
        <m:r>
          <m:rPr>
            <m:sty m:val="p"/>
          </m:rPr>
          <m:t>=</m:t>
        </m:r>
        <m:r>
          <m:t>0.716</m:t>
        </m:r>
      </m:oMath>
      <w:r>
        <w:t xml:space="preserve">,</w:t>
      </w:r>
      <w:r>
        <w:t xml:space="preserve"> </w:t>
      </w:r>
      <m:oMath>
        <m:r>
          <m:t>k</m:t>
        </m:r>
        <m:r>
          <m:rPr>
            <m:sty m:val="p"/>
          </m:rPr>
          <m:t>=</m:t>
        </m:r>
        <m:r>
          <m:t>1.2</m:t>
        </m:r>
        <m:r>
          <m:rPr>
            <m:sty m:val="p"/>
          </m:rPr>
          <m:t>×</m:t>
        </m:r>
        <m:sSup>
          <m:e>
            <m:r>
              <m:t>10</m:t>
            </m:r>
          </m:e>
          <m:sup>
            <m:r>
              <m:t>8</m:t>
            </m:r>
          </m:sup>
        </m:sSup>
      </m:oMath>
      <w:r>
        <w:t xml:space="preserve"> </w:t>
      </w:r>
      <w:r>
        <w:t xml:space="preserve">kN m/rad. The last column covers pinned to fixed piers with design</w:t>
      </w:r>
      <w:r>
        <w:t xml:space="preserve"> </w:t>
      </w:r>
      <m:oMath>
        <m:r>
          <m:t>E</m:t>
        </m:r>
        <m:r>
          <m:t>I</m:t>
        </m:r>
      </m:oMath>
      <w:r>
        <w:t xml:space="preserve"> </w:t>
      </w:r>
      <w:r>
        <w:t xml:space="preserve">and all</w:t>
      </w:r>
      <w:r>
        <w:t xml:space="preserve"> </w:t>
      </w:r>
      <m:oMath>
        <m:sSub>
          <m:e>
            <m:r>
              <m:t>L</m:t>
            </m:r>
          </m:e>
          <m:sub>
            <m:r>
              <m:t>v</m:t>
            </m:r>
          </m:sub>
        </m:sSub>
      </m:oMath>
      <w:r>
        <w:t xml:space="preserve"> </w:t>
      </w:r>
      <w:r>
        <w:t xml:space="preserve">variants; these limits are bounds, not an uncertainty range.</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2286"/>
        <w:gridCol w:w="1753"/>
        <w:gridCol w:w="825"/>
        <w:gridCol w:w="698"/>
        <w:gridCol w:w="825"/>
        <w:gridCol w:w="698"/>
        <w:gridCol w:w="1981"/>
      </w:tblGrid>
      <w:tr>
        <w:trPr>
          <w:tblHeader w:val="true"/>
        </w:trPr>
        <w:tc>
          <w:tcPr>
            <w:tcW w:type="dxa" w:w="2286"/>
            <w:tcBorders>
              <w:top w:val="nil"/>
              <w:left w:val="nil"/>
              <w:bottom w:val="single" w:sz="6" w:space="0" w:color="000000"/>
              <w:right w:val="nil"/>
            </w:tcBorders>
          </w:tcPr>
          <w:p>
            <w:pPr>
              <w:pStyle w:val="Compact"/>
              <w:jc w:val="left"/>
            </w:pPr>
            <w:r>
              <w:t xml:space="preserve">Gauge</w:t>
            </w:r>
          </w:p>
        </w:tc>
        <w:tc>
          <w:tcPr>
            <w:tcW w:type="dxa" w:w="1753"/>
            <w:tcBorders>
              <w:top w:val="nil"/>
              <w:left w:val="nil"/>
              <w:bottom w:val="single" w:sz="6" w:space="0" w:color="000000"/>
              <w:right w:val="nil"/>
            </w:tcBorders>
          </w:tcPr>
          <w:p>
            <w:pPr>
              <w:pStyle w:val="Compact"/>
              <w:jc w:val="left"/>
            </w:pPr>
            <w:r>
              <w:t xml:space="preserve">Constant</w:t>
            </w:r>
            <w:r>
              <w:t xml:space="preserve"> </w:t>
            </w:r>
            <m:oMath>
              <m:r>
                <m:t>E</m:t>
              </m:r>
              <m:r>
                <m:t>I</m:t>
              </m:r>
            </m:oMath>
            <w:r>
              <w:t xml:space="preserve">, pinned:</w:t>
            </w:r>
            <w:r>
              <w:t xml:space="preserve"> </w:t>
            </w:r>
            <m:oMath>
              <m:sSub>
                <m:e>
                  <m:r>
                    <m:t>N</m:t>
                  </m:r>
                </m:e>
                <m:sub>
                  <m:r>
                    <m:t>m</m:t>
                  </m:r>
                </m:sub>
              </m:sSub>
            </m:oMath>
          </w:p>
        </w:tc>
        <w:tc>
          <w:tcPr>
            <w:tcW w:type="dxa" w:w="825"/>
            <w:tcBorders>
              <w:top w:val="nil"/>
              <w:left w:val="nil"/>
              <w:bottom w:val="single" w:sz="6" w:space="0" w:color="000000"/>
              <w:right w:val="nil"/>
            </w:tcBorders>
          </w:tcPr>
          <w:p>
            <w:pPr>
              <w:pStyle w:val="Compact"/>
              <w:jc w:val="left"/>
            </w:pPr>
            <w:r>
              <w:t xml:space="preserve">A:</w:t>
            </w:r>
            <w:r>
              <w:t xml:space="preserve"> </w:t>
            </w:r>
            <m:oMath>
              <m:sSub>
                <m:e>
                  <m:r>
                    <m:t>N</m:t>
                  </m:r>
                </m:e>
                <m:sub>
                  <m:r>
                    <m:t>m</m:t>
                  </m:r>
                </m:sub>
              </m:sSub>
            </m:oMath>
          </w:p>
        </w:tc>
        <w:tc>
          <w:tcPr>
            <w:tcW w:type="dxa" w:w="698"/>
            <w:tcBorders>
              <w:top w:val="nil"/>
              <w:left w:val="nil"/>
              <w:bottom w:val="single" w:sz="6" w:space="0" w:color="000000"/>
              <w:right w:val="nil"/>
            </w:tcBorders>
          </w:tcPr>
          <w:p>
            <w:pPr>
              <w:pStyle w:val="Compact"/>
              <w:jc w:val="left"/>
            </w:pPr>
            <w:r>
              <w:t xml:space="preserve">A:</w:t>
            </w:r>
            <w:r>
              <w:t xml:space="preserve"> </w:t>
            </w:r>
            <m:oMath>
              <m:sSub>
                <m:e>
                  <m:r>
                    <m:t>R</m:t>
                  </m:r>
                </m:e>
                <m:sub>
                  <m:r>
                    <m:t>m</m:t>
                  </m:r>
                </m:sub>
              </m:sSub>
            </m:oMath>
          </w:p>
        </w:tc>
        <w:tc>
          <w:tcPr>
            <w:tcW w:type="dxa" w:w="825"/>
            <w:tcBorders>
              <w:top w:val="nil"/>
              <w:left w:val="nil"/>
              <w:bottom w:val="single" w:sz="6" w:space="0" w:color="000000"/>
              <w:right w:val="nil"/>
            </w:tcBorders>
          </w:tcPr>
          <w:p>
            <w:pPr>
              <w:pStyle w:val="Compact"/>
              <w:jc w:val="left"/>
            </w:pPr>
            <w:r>
              <w:t xml:space="preserve">B:</w:t>
            </w:r>
            <w:r>
              <w:t xml:space="preserve"> </w:t>
            </w:r>
            <m:oMath>
              <m:sSub>
                <m:e>
                  <m:r>
                    <m:t>N</m:t>
                  </m:r>
                </m:e>
                <m:sub>
                  <m:r>
                    <m:t>m</m:t>
                  </m:r>
                </m:sub>
              </m:sSub>
            </m:oMath>
          </w:p>
        </w:tc>
        <w:tc>
          <w:tcPr>
            <w:tcW w:type="dxa" w:w="698"/>
            <w:tcBorders>
              <w:top w:val="nil"/>
              <w:left w:val="nil"/>
              <w:bottom w:val="single" w:sz="6" w:space="0" w:color="000000"/>
              <w:right w:val="nil"/>
            </w:tcBorders>
          </w:tcPr>
          <w:p>
            <w:pPr>
              <w:pStyle w:val="Compact"/>
              <w:jc w:val="left"/>
            </w:pPr>
            <w:r>
              <w:t xml:space="preserve">B:</w:t>
            </w:r>
            <w:r>
              <w:t xml:space="preserve"> </w:t>
            </w:r>
            <m:oMath>
              <m:sSub>
                <m:e>
                  <m:r>
                    <m:t>R</m:t>
                  </m:r>
                </m:e>
                <m:sub>
                  <m:r>
                    <m:t>m</m:t>
                  </m:r>
                </m:sub>
              </m:sSub>
            </m:oMath>
          </w:p>
        </w:tc>
        <w:tc>
          <w:tcPr>
            <w:tcW w:type="dxa" w:w="1981"/>
            <w:tcBorders>
              <w:top w:val="nil"/>
              <w:left w:val="nil"/>
              <w:bottom w:val="single" w:sz="6" w:space="0" w:color="000000"/>
              <w:right w:val="nil"/>
            </w:tcBorders>
          </w:tcPr>
          <w:p>
            <w:pPr>
              <w:pStyle w:val="Compact"/>
              <w:jc w:val="left"/>
            </w:pPr>
            <w:r>
              <w:t xml:space="preserve">Pinned … fixed bound of</w:t>
            </w:r>
            <w:r>
              <w:t xml:space="preserve"> </w:t>
            </w:r>
            <m:oMath>
              <m:sSub>
                <m:e>
                  <m:r>
                    <m:t>N</m:t>
                  </m:r>
                </m:e>
                <m:sub>
                  <m:r>
                    <m:t>m</m:t>
                  </m:r>
                </m:sub>
              </m:sSub>
            </m:oMath>
          </w:p>
        </w:tc>
      </w:tr>
      <w:tr>
        <w:tc>
          <w:tcPr>
            <w:tcW w:type="dxa" w:w="2286"/>
          </w:tcPr>
          <w:p>
            <w:pPr>
              <w:pStyle w:val="Compact"/>
              <w:jc w:val="left"/>
            </w:pPr>
            <w:r>
              <w:t xml:space="preserve">N8, 0.4L of side span (installed)</w:t>
            </w:r>
          </w:p>
        </w:tc>
        <w:tc>
          <w:tcPr>
            <w:tcW w:type="dxa" w:w="1753"/>
          </w:tcPr>
          <w:p>
            <w:pPr>
              <w:pStyle w:val="Compact"/>
              <w:jc w:val="left"/>
            </w:pPr>
            <w:r>
              <w:t xml:space="preserve">0.287</w:t>
            </w:r>
          </w:p>
        </w:tc>
        <w:tc>
          <w:tcPr>
            <w:tcW w:type="dxa" w:w="825"/>
          </w:tcPr>
          <w:p>
            <w:pPr>
              <w:pStyle w:val="Compact"/>
              <w:jc w:val="left"/>
            </w:pPr>
            <w:r>
              <w:t xml:space="preserve">0.181</w:t>
            </w:r>
          </w:p>
        </w:tc>
        <w:tc>
          <w:tcPr>
            <w:tcW w:type="dxa" w:w="698"/>
          </w:tcPr>
          <w:p>
            <w:pPr>
              <w:pStyle w:val="Compact"/>
              <w:jc w:val="left"/>
            </w:pPr>
            <w:r>
              <w:t xml:space="preserve">0.18</w:t>
            </w:r>
          </w:p>
        </w:tc>
        <w:tc>
          <w:tcPr>
            <w:tcW w:type="dxa" w:w="825"/>
          </w:tcPr>
          <w:p>
            <w:pPr>
              <w:pStyle w:val="Compact"/>
              <w:jc w:val="left"/>
            </w:pPr>
            <w:r>
              <w:t xml:space="preserve">0.476</w:t>
            </w:r>
          </w:p>
        </w:tc>
        <w:tc>
          <w:tcPr>
            <w:tcW w:type="dxa" w:w="698"/>
          </w:tcPr>
          <w:p>
            <w:pPr>
              <w:pStyle w:val="Compact"/>
              <w:jc w:val="left"/>
            </w:pPr>
            <w:r>
              <w:t xml:space="preserve">0.56</w:t>
            </w:r>
          </w:p>
        </w:tc>
        <w:tc>
          <w:tcPr>
            <w:tcW w:type="dxa" w:w="1981"/>
          </w:tcPr>
          <w:p>
            <w:pPr>
              <w:pStyle w:val="Compact"/>
              <w:jc w:val="left"/>
            </w:pPr>
            <w:r>
              <w:t xml:space="preserve">0.023 … 0.446</w:t>
            </w:r>
          </w:p>
        </w:tc>
      </w:tr>
      <w:tr>
        <w:tc>
          <w:tcPr>
            <w:tcW w:type="dxa" w:w="2286"/>
          </w:tcPr>
          <w:p>
            <w:pPr>
              <w:pStyle w:val="Compact"/>
              <w:jc w:val="left"/>
            </w:pPr>
            <w:r>
              <w:t xml:space="preserve">N8 at mid side span (alternative)</w:t>
            </w:r>
          </w:p>
        </w:tc>
        <w:tc>
          <w:tcPr>
            <w:tcW w:type="dxa" w:w="1753"/>
          </w:tcPr>
          <w:p>
            <w:pPr>
              <w:pStyle w:val="Compact"/>
              <w:jc w:val="left"/>
            </w:pPr>
            <w:r>
              <w:t xml:space="preserve">0.163</w:t>
            </w:r>
          </w:p>
        </w:tc>
        <w:tc>
          <w:tcPr>
            <w:tcW w:type="dxa" w:w="825"/>
          </w:tcPr>
          <w:p>
            <w:pPr>
              <w:pStyle w:val="Compact"/>
              <w:jc w:val="left"/>
            </w:pPr>
            <w:r>
              <w:t xml:space="preserve">0.105</w:t>
            </w:r>
          </w:p>
        </w:tc>
        <w:tc>
          <w:tcPr>
            <w:tcW w:type="dxa" w:w="698"/>
          </w:tcPr>
          <w:p>
            <w:pPr>
              <w:pStyle w:val="Compact"/>
              <w:jc w:val="left"/>
            </w:pPr>
            <w:r>
              <w:t xml:space="preserve">0.11</w:t>
            </w:r>
          </w:p>
        </w:tc>
        <w:tc>
          <w:tcPr>
            <w:tcW w:type="dxa" w:w="825"/>
          </w:tcPr>
          <w:p>
            <w:pPr>
              <w:pStyle w:val="Compact"/>
              <w:jc w:val="left"/>
            </w:pPr>
            <w:r>
              <w:t xml:space="preserve">0.377</w:t>
            </w:r>
          </w:p>
        </w:tc>
        <w:tc>
          <w:tcPr>
            <w:tcW w:type="dxa" w:w="698"/>
          </w:tcPr>
          <w:p>
            <w:pPr>
              <w:pStyle w:val="Compact"/>
              <w:jc w:val="left"/>
            </w:pPr>
            <w:r>
              <w:t xml:space="preserve">0.49</w:t>
            </w:r>
          </w:p>
        </w:tc>
        <w:tc>
          <w:tcPr>
            <w:tcW w:type="dxa" w:w="1981"/>
          </w:tcPr>
          <w:p>
            <w:pPr>
              <w:pStyle w:val="Compact"/>
              <w:jc w:val="left"/>
            </w:pPr>
            <w:r>
              <w:t xml:space="preserve">−0.066 … 0.375</w:t>
            </w:r>
          </w:p>
        </w:tc>
      </w:tr>
      <w:tr>
        <w:tc>
          <w:tcPr>
            <w:tcW w:type="dxa" w:w="2286"/>
          </w:tcPr>
          <w:p>
            <w:pPr>
              <w:pStyle w:val="Compact"/>
              <w:jc w:val="left"/>
            </w:pPr>
            <w:r>
              <w:t xml:space="preserve">N7, mid centre span (installed)</w:t>
            </w:r>
          </w:p>
        </w:tc>
        <w:tc>
          <w:tcPr>
            <w:tcW w:type="dxa" w:w="1753"/>
          </w:tcPr>
          <w:p>
            <w:pPr>
              <w:pStyle w:val="Compact"/>
              <w:jc w:val="left"/>
            </w:pPr>
            <w:r>
              <w:t xml:space="preserve">0.755</w:t>
            </w:r>
          </w:p>
        </w:tc>
        <w:tc>
          <w:tcPr>
            <w:tcW w:type="dxa" w:w="825"/>
          </w:tcPr>
          <w:p>
            <w:pPr>
              <w:pStyle w:val="Compact"/>
              <w:jc w:val="left"/>
            </w:pPr>
            <w:r>
              <w:t xml:space="preserve">0.209</w:t>
            </w:r>
          </w:p>
        </w:tc>
        <w:tc>
          <w:tcPr>
            <w:tcW w:type="dxa" w:w="698"/>
          </w:tcPr>
          <w:p>
            <w:pPr>
              <w:pStyle w:val="Compact"/>
              <w:jc w:val="left"/>
            </w:pPr>
            <w:r>
              <w:t xml:space="preserve">0.59</w:t>
            </w:r>
          </w:p>
        </w:tc>
        <w:tc>
          <w:tcPr>
            <w:tcW w:type="dxa" w:w="825"/>
          </w:tcPr>
          <w:p>
            <w:pPr>
              <w:pStyle w:val="Compact"/>
              <w:jc w:val="left"/>
            </w:pPr>
            <w:r>
              <w:t xml:space="preserve">0.234</w:t>
            </w:r>
          </w:p>
        </w:tc>
        <w:tc>
          <w:tcPr>
            <w:tcW w:type="dxa" w:w="698"/>
          </w:tcPr>
          <w:p>
            <w:pPr>
              <w:pStyle w:val="Compact"/>
              <w:jc w:val="left"/>
            </w:pPr>
            <w:r>
              <w:t xml:space="preserve">0.77</w:t>
            </w:r>
          </w:p>
        </w:tc>
        <w:tc>
          <w:tcPr>
            <w:tcW w:type="dxa" w:w="1981"/>
          </w:tcPr>
          <w:p>
            <w:pPr>
              <w:pStyle w:val="Compact"/>
              <w:jc w:val="left"/>
            </w:pPr>
            <w:r>
              <w:t xml:space="preserve">0.145 … 0.263</w:t>
            </w:r>
          </w:p>
        </w:tc>
      </w:tr>
    </w:tbl>
    <w:p>
      <w:pPr>
        <w:pStyle w:val="BodyText"/>
      </w:pPr>
      <w:r>
        <w:t xml:space="preserve">The observability of the side-span gauge cannot be identified from the design data and the two static readings. Under calibration A its indicator is 0.181 and the negative lobe in the 90 m centre span cancels 82 % of its positive influence area. Scaling the rigidity by</w:t>
      </w:r>
      <w:r>
        <w:t xml:space="preserve"> </w:t>
      </w:r>
      <m:oMath>
        <m:r>
          <m:t>α</m:t>
        </m:r>
        <m:r>
          <m:rPr>
            <m:sty m:val="p"/>
          </m:rPr>
          <m:t>=</m:t>
        </m:r>
        <m:r>
          <m:t>1.088</m:t>
        </m:r>
      </m:oMath>
      <w:r>
        <w:t xml:space="preserve"> </w:t>
      </w:r>
      <w:r>
        <w:t xml:space="preserve">at</w:t>
      </w:r>
      <w:r>
        <w:t xml:space="preserve"> </w:t>
      </w:r>
      <m:oMath>
        <m:sSub>
          <m:e>
            <m:r>
              <m:t>k</m:t>
            </m:r>
          </m:e>
          <m:sub>
            <m:r>
              <m:rPr>
                <m:sty m:val="p"/>
              </m:rPr>
              <m:t>F</m:t>
            </m:r>
            <m:r>
              <m:rPr>
                <m:sty m:val="p"/>
              </m:rPr>
              <m:t>E</m:t>
            </m:r>
          </m:sub>
        </m:sSub>
      </m:oMath>
      <w:r>
        <w:t xml:space="preserve"> </w:t>
      </w:r>
      <w:r>
        <w:t xml:space="preserve">changes these values only to 0.160 and 83 %. Under calibration B the indicator is 0.476 and the cancellation 44 %. Both calibrations reproduce the measured deflections, so the data allow both a poorly and a reasonably conditioned gauge. The same holds locally around calibration A: halving or doubling</w:t>
      </w:r>
      <w:r>
        <w:t xml:space="preserve"> </w:t>
      </w:r>
      <m:oMath>
        <m:r>
          <m:t>k</m:t>
        </m:r>
      </m:oMath>
      <w:r>
        <w:t xml:space="preserve"> </w:t>
      </w:r>
      <w:r>
        <w:t xml:space="preserve">moves the N8 indicator from 0.124 to 0.248, and its constant varies as</w:t>
      </w:r>
      <w:r>
        <w:t xml:space="preserve"> </w:t>
      </w:r>
      <m:oMath>
        <m:sSup>
          <m:e>
            <m:r>
              <m:t>k</m:t>
            </m:r>
          </m:e>
          <m:sup>
            <m:r>
              <m:t>0.51</m:t>
            </m:r>
          </m:sup>
        </m:sSup>
      </m:oMath>
      <w:r>
        <w:t xml:space="preserve"> </w:t>
      </w:r>
      <w:r>
        <w:t xml:space="preserve">(</w:t>
      </w:r>
      <m:oMath>
        <m:r>
          <m:rPr>
            <m:sty m:val="p"/>
          </m:rPr>
          <m:t>∂</m:t>
        </m:r>
        <m:r>
          <m:rPr>
            <m:sty m:val="p"/>
          </m:rPr>
          <m:t>ln</m:t>
        </m:r>
        <m:sSub>
          <m:e>
            <m:r>
              <m:t>C</m:t>
            </m:r>
          </m:e>
          <m:sub>
            <m:r>
              <m:t>m</m:t>
            </m:r>
          </m:sub>
        </m:sSub>
        <m:r>
          <m:rPr>
            <m:sty m:val="p"/>
          </m:rPr>
          <m:t>/</m:t>
        </m:r>
        <m:r>
          <m:rPr>
            <m:sty m:val="p"/>
          </m:rPr>
          <m:t>∂</m:t>
        </m:r>
        <m:r>
          <m:rPr>
            <m:sty m:val="p"/>
          </m:rPr>
          <m:t>ln</m:t>
        </m:r>
        <m:r>
          <m:t>k</m:t>
        </m:r>
        <m:r>
          <m:rPr>
            <m:sty m:val="p"/>
          </m:rPr>
          <m:t>=</m:t>
        </m:r>
        <m:r>
          <m:t>0.51</m:t>
        </m:r>
      </m:oMath>
      <w:r>
        <w:t xml:space="preserve"> </w:t>
      </w:r>
      <w:r>
        <w:t xml:space="preserve">at</w:t>
      </w:r>
      <w:r>
        <w:t xml:space="preserve"> </w:t>
      </w:r>
      <m:oMath>
        <m:sSub>
          <m:e>
            <m:r>
              <m:t>k</m:t>
            </m:r>
          </m:e>
          <m:sub>
            <m:r>
              <m:rPr>
                <m:sty m:val="p"/>
              </m:rPr>
              <m:t>F</m:t>
            </m:r>
            <m:r>
              <m:rPr>
                <m:sty m:val="p"/>
              </m:rPr>
              <m:t>E</m:t>
            </m:r>
          </m:sub>
        </m:sSub>
      </m:oMath>
      <w:r>
        <w:t xml:space="preserve">). The pinned and fixed limits bracket the indicator between 0.02 and 0.45; they are not realistic states of monolithic piers and are quoted only as bounds. For the alternative mid side-span position, which the test tables use as a label for N8 while the test plan places the gauge at 0.4L, the bracket runs from −0.066 to 0.375 and contains an exactly blind state.</w:t>
      </w:r>
    </w:p>
    <w:p>
      <w:pPr>
        <w:pStyle w:val="BodyText"/>
      </w:pPr>
      <w:r>
        <w:t xml:space="preserve">The centre-span gauge is stable. Its indicator is 0.209 under calibration A and 0.234 under calibration B, and halving or doubling</w:t>
      </w:r>
      <w:r>
        <w:t xml:space="preserve"> </w:t>
      </w:r>
      <m:oMath>
        <m:r>
          <m:t>k</m:t>
        </m:r>
      </m:oMath>
      <w:r>
        <w:t xml:space="preserve"> </w:t>
      </w:r>
      <w:r>
        <w:t xml:space="preserve">around</w:t>
      </w:r>
      <w:r>
        <w:t xml:space="preserve"> </w:t>
      </w:r>
      <m:oMath>
        <m:sSub>
          <m:e>
            <m:r>
              <m:t>k</m:t>
            </m:r>
          </m:e>
          <m:sub>
            <m:r>
              <m:rPr>
                <m:sty m:val="p"/>
              </m:rPr>
              <m:t>F</m:t>
            </m:r>
            <m:r>
              <m:rPr>
                <m:sty m:val="p"/>
              </m:rPr>
              <m:t>E</m:t>
            </m:r>
          </m:sub>
        </m:sSub>
      </m:oMath>
      <w:r>
        <w:t xml:space="preserve"> </w:t>
      </w:r>
      <w:r>
        <w:t xml:space="preserve">keeps it between 0.191 and 0.224 (</w:t>
      </w:r>
      <m:oMath>
        <m:r>
          <m:rPr>
            <m:sty m:val="p"/>
          </m:rPr>
          <m:t>∂</m:t>
        </m:r>
        <m:r>
          <m:rPr>
            <m:sty m:val="p"/>
          </m:rPr>
          <m:t>ln</m:t>
        </m:r>
        <m:sSub>
          <m:e>
            <m:r>
              <m:t>C</m:t>
            </m:r>
          </m:e>
          <m:sub>
            <m:r>
              <m:t>m</m:t>
            </m:r>
          </m:sub>
        </m:sSub>
        <m:r>
          <m:rPr>
            <m:sty m:val="p"/>
          </m:rPr>
          <m:t>/</m:t>
        </m:r>
        <m:r>
          <m:rPr>
            <m:sty m:val="p"/>
          </m:rPr>
          <m:t>∂</m:t>
        </m:r>
        <m:r>
          <m:rPr>
            <m:sty m:val="p"/>
          </m:rPr>
          <m:t>ln</m:t>
        </m:r>
        <m:r>
          <m:t>k</m:t>
        </m:r>
        <m:r>
          <m:rPr>
            <m:sty m:val="p"/>
          </m:rPr>
          <m:t>=</m:t>
        </m:r>
        <m:r>
          <m:rPr>
            <m:sty m:val="p"/>
          </m:rPr>
          <m:t>−</m:t>
        </m:r>
        <m:r>
          <m:t>0.12</m:t>
        </m:r>
      </m:oMath>
      <w:r>
        <w:t xml:space="preserve">). The two gauges differ because the net area at N8 is the difference of two lobes of comparable size, and the pier stiffness controls how much of the centre-span lobe reaches the side span; at N7 the net area is dominated by the instrumented span itself. A side-span gauge on a continuous box girder is therefore ill-conditioned with respect to pier rotational stiffness, while a centre-span gauge is not.</w:t>
      </w:r>
    </w:p>
    <w:p>
      <w:pPr>
        <w:pStyle w:val="BodyText"/>
      </w:pPr>
      <w:r>
        <w:t xml:space="preserve">Including the haunches lowers the centre-span indicator from 0.755 for a prismatic beam to 0.21–0.23. The cause is not cancellation, since</w:t>
      </w:r>
      <w:r>
        <w:t xml:space="preserve"> </w:t>
      </w:r>
      <m:oMath>
        <m:sSub>
          <m:e>
            <m:r>
              <m:t>R</m:t>
            </m:r>
          </m:e>
          <m:sub>
            <m:r>
              <m:t>m</m:t>
            </m:r>
          </m:sub>
        </m:sSub>
      </m:oMath>
      <w:r>
        <w:t xml:space="preserve"> </w:t>
      </w:r>
      <w:r>
        <w:t xml:space="preserve">is 0.59–0.77: the haunches restrain the span, so the net area is small relative to the mid-span flexibility used for normalisation. The threshold</w:t>
      </w:r>
      <w:r>
        <w:t xml:space="preserve"> </w:t>
      </w:r>
      <m:oMath>
        <m:d>
          <m:dPr>
            <m:begChr m:val="|"/>
            <m:endChr m:val="|"/>
            <m:sepChr m:val=""/>
            <m:grow/>
          </m:dPr>
          <m:e>
            <m:sSub>
              <m:e>
                <m:r>
                  <m:t>N</m:t>
                </m:r>
              </m:e>
              <m:sub>
                <m:r>
                  <m:t>m</m:t>
                </m:r>
              </m:sub>
            </m:sSub>
          </m:e>
        </m:d>
        <m:r>
          <m:rPr>
            <m:sty m:val="p"/>
          </m:rPr>
          <m:t>&lt;</m:t>
        </m:r>
        <m:r>
          <m:t>0.2</m:t>
        </m:r>
      </m:oMath>
      <w:r>
        <w:t xml:space="preserve"> </w:t>
      </w:r>
      <w:r>
        <w:t xml:space="preserve">derived for prismatic beams therefore does not transfer directly to haunched girders; it must be stated together with</w:t>
      </w:r>
      <w:r>
        <w:t xml:space="preserve"> </w:t>
      </w:r>
      <m:oMath>
        <m:r>
          <m:t>E</m:t>
        </m:r>
        <m:sSub>
          <m:e>
            <m:r>
              <m:t>I</m:t>
            </m:r>
          </m:e>
          <m:sub>
            <m:r>
              <m:rPr>
                <m:sty m:val="p"/>
              </m:rPr>
              <m:t>r</m:t>
            </m:r>
            <m:r>
              <m:rPr>
                <m:sty m:val="p"/>
              </m:rPr>
              <m:t>e</m:t>
            </m:r>
            <m:r>
              <m:rPr>
                <m:sty m:val="p"/>
              </m:rPr>
              <m:t>f</m:t>
            </m:r>
          </m:sub>
        </m:sSub>
      </m:oMath>
      <w:r>
        <w:t xml:space="preserve">. The cancellation ratio separates the two effects, and by</w:t>
      </w:r>
      <w:r>
        <w:t xml:space="preserve"> </w:t>
      </w:r>
      <m:oMath>
        <m:sSub>
          <m:e>
            <m:r>
              <m:t>R</m:t>
            </m:r>
          </m:e>
          <m:sub>
            <m:r>
              <m:t>m</m:t>
            </m:r>
          </m:sub>
        </m:sSub>
      </m:oMath>
      <w:r>
        <w:t xml:space="preserve"> </w:t>
      </w:r>
      <w:r>
        <w:t xml:space="preserve">N7 is the better conditioned gauge under both calibrations. The absolute constants point the same way:</w:t>
      </w:r>
      <w:r>
        <w:t xml:space="preserve"> </w:t>
      </w:r>
      <m:oMath>
        <m:sSub>
          <m:e>
            <m:r>
              <m:t>C</m:t>
            </m:r>
          </m:e>
          <m:sub>
            <m:r>
              <m:t>m</m:t>
            </m:r>
          </m:sub>
        </m:sSub>
      </m:oMath>
      <w:r>
        <w:t xml:space="preserve"> </w:t>
      </w:r>
      <w:r>
        <w:t xml:space="preserve">is</w:t>
      </w:r>
      <w:r>
        <w:t xml:space="preserve"> </w:t>
      </w:r>
      <m:oMath>
        <m:r>
          <m:t>3.61</m:t>
        </m:r>
        <m:r>
          <m:rPr>
            <m:sty m:val="p"/>
          </m:rPr>
          <m:t>×</m:t>
        </m:r>
        <m:sSup>
          <m:e>
            <m:r>
              <m:t>10</m:t>
            </m:r>
          </m:e>
          <m:sup>
            <m:r>
              <m:rPr>
                <m:sty m:val="p"/>
              </m:rPr>
              <m:t>−</m:t>
            </m:r>
            <m:r>
              <m:t>4</m:t>
            </m:r>
          </m:sup>
        </m:sSup>
      </m:oMath>
      <w:r>
        <w:t xml:space="preserve"> </w:t>
      </w:r>
      <w:r>
        <w:t xml:space="preserve">m²/kN at N7 and</w:t>
      </w:r>
      <w:r>
        <w:t xml:space="preserve"> </w:t>
      </w:r>
      <m:oMath>
        <m:r>
          <m:t>4.38</m:t>
        </m:r>
        <m:r>
          <m:rPr>
            <m:sty m:val="p"/>
          </m:rPr>
          <m:t>×</m:t>
        </m:r>
        <m:sSup>
          <m:e>
            <m:r>
              <m:t>10</m:t>
            </m:r>
          </m:e>
          <m:sup>
            <m:r>
              <m:rPr>
                <m:sty m:val="p"/>
              </m:rPr>
              <m:t>−</m:t>
            </m:r>
            <m:r>
              <m:t>5</m:t>
            </m:r>
          </m:sup>
        </m:sSup>
      </m:oMath>
      <w:r>
        <w:t xml:space="preserve"> </w:t>
      </w:r>
      <w:r>
        <w:t xml:space="preserve">m²/kN at N8 under calibration A, and</w:t>
      </w:r>
      <w:r>
        <w:t xml:space="preserve"> </w:t>
      </w:r>
      <m:oMath>
        <m:r>
          <m:t>4.05</m:t>
        </m:r>
        <m:r>
          <m:rPr>
            <m:sty m:val="p"/>
          </m:rPr>
          <m:t>×</m:t>
        </m:r>
        <m:sSup>
          <m:e>
            <m:r>
              <m:t>10</m:t>
            </m:r>
          </m:e>
          <m:sup>
            <m:r>
              <m:rPr>
                <m:sty m:val="p"/>
              </m:rPr>
              <m:t>−</m:t>
            </m:r>
            <m:r>
              <m:t>4</m:t>
            </m:r>
          </m:sup>
        </m:sSup>
      </m:oMath>
      <w:r>
        <w:t xml:space="preserve"> </w:t>
      </w:r>
      <w:r>
        <w:t xml:space="preserve">and</w:t>
      </w:r>
      <w:r>
        <w:t xml:space="preserve"> </w:t>
      </w:r>
      <m:oMath>
        <m:r>
          <m:t>1.15</m:t>
        </m:r>
        <m:r>
          <m:rPr>
            <m:sty m:val="p"/>
          </m:rPr>
          <m:t>×</m:t>
        </m:r>
        <m:sSup>
          <m:e>
            <m:r>
              <m:t>10</m:t>
            </m:r>
          </m:e>
          <m:sup>
            <m:r>
              <m:rPr>
                <m:sty m:val="p"/>
              </m:rPr>
              <m:t>−</m:t>
            </m:r>
            <m:r>
              <m:t>4</m:t>
            </m:r>
          </m:sup>
        </m:sSup>
      </m:oMath>
      <w:r>
        <w:t xml:space="preserve"> </w:t>
      </w:r>
      <w:r>
        <w:t xml:space="preserve">m²/kN under calibration B. For the same vehicle the centre-span gauge records an integral 8.2 or 3.5 times larger, and Section 6.2 converts this into the error caused by a residual baseline offset.</w:t>
      </w:r>
    </w:p>
    <w:bookmarkEnd w:id="34"/>
    <w:bookmarkStart w:id="35" w:name="X51286163a0a05635db39c4917a59c853e1c83c0"/>
    <w:p>
      <w:pPr>
        <w:pStyle w:val="Heading3"/>
      </w:pPr>
      <w:r>
        <w:t xml:space="preserve">4.4. Static consistency check and implications for BPM and SLM</w:t>
      </w:r>
    </w:p>
    <w:p>
      <w:pPr>
        <w:pStyle w:val="FirstParagraph"/>
      </w:pPr>
      <w:r>
        <w:rPr>
          <w:bCs/>
          <w:b/>
        </w:rPr>
        <w:t xml:space="preserve">Table 6.</w:t>
      </w:r>
      <w:r>
        <w:t xml:space="preserve"> </w:t>
      </w:r>
      <w:r>
        <w:t xml:space="preserve">Static consistency check. Measured values are the mean of three gauges under two transverse positions. Model values use the nominal axle loads 5 + 10 + 10 t.</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645"/>
        <w:gridCol w:w="745"/>
        <w:gridCol w:w="943"/>
        <w:gridCol w:w="834"/>
        <w:gridCol w:w="715"/>
        <w:gridCol w:w="715"/>
        <w:gridCol w:w="1192"/>
        <w:gridCol w:w="1072"/>
        <w:gridCol w:w="1072"/>
        <w:gridCol w:w="1132"/>
      </w:tblGrid>
      <w:tr>
        <w:trPr>
          <w:tblHeader w:val="true"/>
        </w:trPr>
        <w:tc>
          <w:tcPr>
            <w:tcW w:type="dxa" w:w="645"/>
            <w:tcBorders>
              <w:top w:val="nil"/>
              <w:left w:val="nil"/>
              <w:bottom w:val="single" w:sz="6" w:space="0" w:color="000000"/>
              <w:right w:val="nil"/>
            </w:tcBorders>
          </w:tcPr>
          <w:p>
            <w:pPr>
              <w:pStyle w:val="Compact"/>
              <w:jc w:val="left"/>
            </w:pPr>
            <w:r>
              <w:t xml:space="preserve">Gauge</w:t>
            </w:r>
          </w:p>
        </w:tc>
        <w:tc>
          <w:tcPr>
            <w:tcW w:type="dxa" w:w="745"/>
            <w:tcBorders>
              <w:top w:val="nil"/>
              <w:left w:val="nil"/>
              <w:bottom w:val="single" w:sz="6" w:space="0" w:color="000000"/>
              <w:right w:val="nil"/>
            </w:tcBorders>
          </w:tcPr>
          <w:p>
            <w:pPr>
              <w:pStyle w:val="Compact"/>
              <w:jc w:val="left"/>
            </w:pPr>
            <w:r>
              <w:t xml:space="preserve">Convoy</w:t>
            </w:r>
          </w:p>
        </w:tc>
        <w:tc>
          <w:tcPr>
            <w:tcW w:type="dxa" w:w="943"/>
            <w:tcBorders>
              <w:top w:val="nil"/>
              <w:left w:val="nil"/>
              <w:bottom w:val="single" w:sz="6" w:space="0" w:color="000000"/>
              <w:right w:val="nil"/>
            </w:tcBorders>
          </w:tcPr>
          <w:p>
            <w:pPr>
              <w:pStyle w:val="Compact"/>
              <w:jc w:val="left"/>
            </w:pPr>
            <w:r>
              <w:t xml:space="preserve">Measured (mm)</w:t>
            </w:r>
          </w:p>
        </w:tc>
        <w:tc>
          <w:tcPr>
            <w:tcW w:type="dxa" w:w="834"/>
            <w:tcBorders>
              <w:top w:val="nil"/>
              <w:left w:val="nil"/>
              <w:bottom w:val="single" w:sz="6" w:space="0" w:color="000000"/>
              <w:right w:val="nil"/>
            </w:tcBorders>
          </w:tcPr>
          <w:p>
            <w:pPr>
              <w:pStyle w:val="Compact"/>
              <w:jc w:val="left"/>
            </w:pPr>
            <w:r>
              <w:t xml:space="preserve">Report FE (mm)</w:t>
            </w:r>
          </w:p>
        </w:tc>
        <w:tc>
          <w:tcPr>
            <w:tcW w:type="dxa" w:w="715"/>
            <w:tcBorders>
              <w:top w:val="nil"/>
              <w:left w:val="nil"/>
              <w:bottom w:val="single" w:sz="6" w:space="0" w:color="000000"/>
              <w:right w:val="nil"/>
            </w:tcBorders>
          </w:tcPr>
          <w:p>
            <w:pPr>
              <w:pStyle w:val="Compact"/>
              <w:jc w:val="left"/>
            </w:pPr>
            <w:r>
              <w:t xml:space="preserve">Model A (mm)</w:t>
            </w:r>
          </w:p>
        </w:tc>
        <w:tc>
          <w:tcPr>
            <w:tcW w:type="dxa" w:w="715"/>
            <w:tcBorders>
              <w:top w:val="nil"/>
              <w:left w:val="nil"/>
              <w:bottom w:val="single" w:sz="6" w:space="0" w:color="000000"/>
              <w:right w:val="nil"/>
            </w:tcBorders>
          </w:tcPr>
          <w:p>
            <w:pPr>
              <w:pStyle w:val="Compact"/>
              <w:jc w:val="left"/>
            </w:pPr>
            <w:r>
              <w:t xml:space="preserve">Model B (mm)</w:t>
            </w:r>
          </w:p>
        </w:tc>
        <w:tc>
          <w:tcPr>
            <w:tcW w:type="dxa" w:w="1192"/>
            <w:tcBorders>
              <w:top w:val="nil"/>
              <w:left w:val="nil"/>
              <w:bottom w:val="single" w:sz="6" w:space="0" w:color="000000"/>
              <w:right w:val="nil"/>
            </w:tcBorders>
          </w:tcPr>
          <w:p>
            <w:pPr>
              <w:pStyle w:val="Compact"/>
              <w:jc w:val="left"/>
            </w:pPr>
            <w:r>
              <w:t xml:space="preserve">Measured / report FE</w:t>
            </w:r>
          </w:p>
        </w:tc>
        <w:tc>
          <w:tcPr>
            <w:tcW w:type="dxa" w:w="1072"/>
            <w:tcBorders>
              <w:top w:val="nil"/>
              <w:left w:val="nil"/>
              <w:bottom w:val="single" w:sz="6" w:space="0" w:color="000000"/>
              <w:right w:val="nil"/>
            </w:tcBorders>
          </w:tcPr>
          <w:p>
            <w:pPr>
              <w:pStyle w:val="Compact"/>
              <w:jc w:val="left"/>
            </w:pPr>
            <w:r>
              <w:t xml:space="preserve">Measured / model A</w:t>
            </w:r>
          </w:p>
        </w:tc>
        <w:tc>
          <w:tcPr>
            <w:tcW w:type="dxa" w:w="1072"/>
            <w:tcBorders>
              <w:top w:val="nil"/>
              <w:left w:val="nil"/>
              <w:bottom w:val="single" w:sz="6" w:space="0" w:color="000000"/>
              <w:right w:val="nil"/>
            </w:tcBorders>
          </w:tcPr>
          <w:p>
            <w:pPr>
              <w:pStyle w:val="Compact"/>
              <w:jc w:val="left"/>
            </w:pPr>
            <w:r>
              <w:t xml:space="preserve">Measured / model B</w:t>
            </w:r>
          </w:p>
        </w:tc>
        <w:tc>
          <w:tcPr>
            <w:tcW w:type="dxa" w:w="1132"/>
            <w:tcBorders>
              <w:top w:val="nil"/>
              <w:left w:val="nil"/>
              <w:bottom w:val="single" w:sz="6" w:space="0" w:color="000000"/>
              <w:right w:val="nil"/>
            </w:tcBorders>
          </w:tcPr>
          <w:p>
            <w:pPr>
              <w:pStyle w:val="Compact"/>
              <w:jc w:val="left"/>
            </w:pPr>
            <w:r>
              <w:t xml:space="preserve">Pinned … fixed (mm)</w:t>
            </w:r>
          </w:p>
        </w:tc>
      </w:tr>
      <w:tr>
        <w:tc>
          <w:tcPr>
            <w:tcW w:type="dxa" w:w="645"/>
          </w:tcPr>
          <w:p>
            <w:pPr>
              <w:pStyle w:val="Compact"/>
              <w:jc w:val="left"/>
            </w:pPr>
            <w:r>
              <w:t xml:space="preserve">N8, 0.4L</w:t>
            </w:r>
          </w:p>
        </w:tc>
        <w:tc>
          <w:tcPr>
            <w:tcW w:type="dxa" w:w="745"/>
          </w:tcPr>
          <w:p>
            <w:pPr>
              <w:pStyle w:val="Compact"/>
              <w:jc w:val="left"/>
            </w:pPr>
            <w:r>
              <w:t xml:space="preserve">4 × 25 t</w:t>
            </w:r>
          </w:p>
        </w:tc>
        <w:tc>
          <w:tcPr>
            <w:tcW w:type="dxa" w:w="943"/>
          </w:tcPr>
          <w:p>
            <w:pPr>
              <w:pStyle w:val="Compact"/>
              <w:jc w:val="left"/>
            </w:pPr>
            <w:r>
              <w:t xml:space="preserve">5.55</w:t>
            </w:r>
          </w:p>
        </w:tc>
        <w:tc>
          <w:tcPr>
            <w:tcW w:type="dxa" w:w="834"/>
          </w:tcPr>
          <w:p>
            <w:pPr>
              <w:pStyle w:val="Compact"/>
              <w:jc w:val="left"/>
            </w:pPr>
            <w:r>
              <w:t xml:space="preserve">5.93</w:t>
            </w:r>
          </w:p>
        </w:tc>
        <w:tc>
          <w:tcPr>
            <w:tcW w:type="dxa" w:w="715"/>
          </w:tcPr>
          <w:p>
            <w:pPr>
              <w:pStyle w:val="Compact"/>
              <w:jc w:val="left"/>
            </w:pPr>
            <w:r>
              <w:t xml:space="preserve">5.69</w:t>
            </w:r>
          </w:p>
        </w:tc>
        <w:tc>
          <w:tcPr>
            <w:tcW w:type="dxa" w:w="715"/>
          </w:tcPr>
          <w:p>
            <w:pPr>
              <w:pStyle w:val="Compact"/>
              <w:jc w:val="left"/>
            </w:pPr>
            <w:r>
              <w:t xml:space="preserve">5.40</w:t>
            </w:r>
          </w:p>
        </w:tc>
        <w:tc>
          <w:tcPr>
            <w:tcW w:type="dxa" w:w="1192"/>
          </w:tcPr>
          <w:p>
            <w:pPr>
              <w:pStyle w:val="Compact"/>
              <w:jc w:val="left"/>
            </w:pPr>
            <w:r>
              <w:t xml:space="preserve">0.936</w:t>
            </w:r>
          </w:p>
        </w:tc>
        <w:tc>
          <w:tcPr>
            <w:tcW w:type="dxa" w:w="1072"/>
          </w:tcPr>
          <w:p>
            <w:pPr>
              <w:pStyle w:val="Compact"/>
              <w:jc w:val="left"/>
            </w:pPr>
            <w:r>
              <w:t xml:space="preserve">0.977</w:t>
            </w:r>
          </w:p>
        </w:tc>
        <w:tc>
          <w:tcPr>
            <w:tcW w:type="dxa" w:w="1072"/>
          </w:tcPr>
          <w:p>
            <w:pPr>
              <w:pStyle w:val="Compact"/>
              <w:jc w:val="left"/>
            </w:pPr>
            <w:r>
              <w:t xml:space="preserve">1.029</w:t>
            </w:r>
          </w:p>
        </w:tc>
        <w:tc>
          <w:tcPr>
            <w:tcW w:type="dxa" w:w="1132"/>
          </w:tcPr>
          <w:p>
            <w:pPr>
              <w:pStyle w:val="Compact"/>
              <w:jc w:val="left"/>
            </w:pPr>
            <w:r>
              <w:t xml:space="preserve">7.18 … 2.75</w:t>
            </w:r>
          </w:p>
        </w:tc>
      </w:tr>
      <w:tr>
        <w:tc>
          <w:tcPr>
            <w:tcW w:type="dxa" w:w="645"/>
          </w:tcPr>
          <w:p>
            <w:pPr>
              <w:pStyle w:val="Compact"/>
              <w:jc w:val="left"/>
            </w:pPr>
            <w:r>
              <w:t xml:space="preserve">N7, mid</w:t>
            </w:r>
          </w:p>
        </w:tc>
        <w:tc>
          <w:tcPr>
            <w:tcW w:type="dxa" w:w="745"/>
          </w:tcPr>
          <w:p>
            <w:pPr>
              <w:pStyle w:val="Compact"/>
              <w:jc w:val="left"/>
            </w:pPr>
            <w:r>
              <w:t xml:space="preserve">6 × 25 t</w:t>
            </w:r>
          </w:p>
        </w:tc>
        <w:tc>
          <w:tcPr>
            <w:tcW w:type="dxa" w:w="943"/>
          </w:tcPr>
          <w:p>
            <w:pPr>
              <w:pStyle w:val="Compact"/>
              <w:jc w:val="left"/>
            </w:pPr>
            <w:r>
              <w:t xml:space="preserve">15.42</w:t>
            </w:r>
          </w:p>
        </w:tc>
        <w:tc>
          <w:tcPr>
            <w:tcW w:type="dxa" w:w="834"/>
          </w:tcPr>
          <w:p>
            <w:pPr>
              <w:pStyle w:val="Compact"/>
              <w:jc w:val="left"/>
            </w:pPr>
            <w:r>
              <w:t xml:space="preserve">16.70</w:t>
            </w:r>
          </w:p>
        </w:tc>
        <w:tc>
          <w:tcPr>
            <w:tcW w:type="dxa" w:w="715"/>
          </w:tcPr>
          <w:p>
            <w:pPr>
              <w:pStyle w:val="Compact"/>
              <w:jc w:val="left"/>
            </w:pPr>
            <w:r>
              <w:t xml:space="preserve">17.32</w:t>
            </w:r>
          </w:p>
        </w:tc>
        <w:tc>
          <w:tcPr>
            <w:tcW w:type="dxa" w:w="715"/>
          </w:tcPr>
          <w:p>
            <w:pPr>
              <w:pStyle w:val="Compact"/>
              <w:jc w:val="left"/>
            </w:pPr>
            <w:r>
              <w:t xml:space="preserve">15.87</w:t>
            </w:r>
          </w:p>
        </w:tc>
        <w:tc>
          <w:tcPr>
            <w:tcW w:type="dxa" w:w="1192"/>
          </w:tcPr>
          <w:p>
            <w:pPr>
              <w:pStyle w:val="Compact"/>
              <w:jc w:val="left"/>
            </w:pPr>
            <w:r>
              <w:t xml:space="preserve">0.923</w:t>
            </w:r>
          </w:p>
        </w:tc>
        <w:tc>
          <w:tcPr>
            <w:tcW w:type="dxa" w:w="1072"/>
          </w:tcPr>
          <w:p>
            <w:pPr>
              <w:pStyle w:val="Compact"/>
              <w:jc w:val="left"/>
            </w:pPr>
            <w:r>
              <w:t xml:space="preserve">0.890</w:t>
            </w:r>
          </w:p>
        </w:tc>
        <w:tc>
          <w:tcPr>
            <w:tcW w:type="dxa" w:w="1072"/>
          </w:tcPr>
          <w:p>
            <w:pPr>
              <w:pStyle w:val="Compact"/>
              <w:jc w:val="left"/>
            </w:pPr>
            <w:r>
              <w:t xml:space="preserve">0.972</w:t>
            </w:r>
          </w:p>
        </w:tc>
        <w:tc>
          <w:tcPr>
            <w:tcW w:type="dxa" w:w="1132"/>
          </w:tcPr>
          <w:p>
            <w:pPr>
              <w:pStyle w:val="Compact"/>
              <w:jc w:val="left"/>
            </w:pPr>
            <w:r>
              <w:t xml:space="preserve">22.99 … 8.34</w:t>
            </w:r>
          </w:p>
        </w:tc>
      </w:tr>
    </w:tbl>
    <w:p>
      <w:pPr>
        <w:pStyle w:val="BodyText"/>
      </w:pPr>
      <w:r>
        <w:t xml:space="preserve">The measured deflections are 0.936 and 0.923 of the designer’s model at the two gauges. Against model A the ratios are 0.977 and 0.890; a single rigidity factor cannot remove this difference between the gauges, which is why calibration A matches the measurements only to −4.6 % and +5.0 % after scaling by</w:t>
      </w:r>
      <w:r>
        <w:t xml:space="preserve"> </w:t>
      </w:r>
      <m:oMath>
        <m:r>
          <m:t>α</m:t>
        </m:r>
        <m:r>
          <m:rPr>
            <m:sty m:val="p"/>
          </m:rPr>
          <m:t>=</m:t>
        </m:r>
        <m:r>
          <m:t>1.088</m:t>
        </m:r>
      </m:oMath>
      <w:r>
        <w:t xml:space="preserve">. Against model B the ratios are 1.029 and 0.972. The effective girder rigidity is thus 1.088 or 0.716 times the design value depending on how the pier stiffness is resolved, and the static data do not decide between them. The pinned and fixed limits bracket the measurements widely (Table 6), which shows how much the support condition alone controls the response.</w:t>
      </w:r>
    </w:p>
    <w:p>
      <w:pPr>
        <w:pStyle w:val="BodyText"/>
      </w:pPr>
      <w:r>
        <w:t xml:space="preserve">Linearity, on which both the theorem and SLM rest, cannot be tested directly: no span was loaded with more than one convoy size while deflections were read. The evidence is indirect. The measured-to-model ratios are similar for the four-truck and six-truck convoys (0.936 and 0.923). Transverse effects are visible: individual readings range from 5.22 to 5.91 mm at N8 and from 14.62 to 16.67 mm at N7, and in the eccentric N7 case the readings across the section spread by up to 2.05 mm. A single-gauge installation would carry the transverse position of the vehicle as an error term, which a one-dimensional treatment cannot remove. The longitudinal positioning error of the parked trucks is small by comparison: shifting both convoys by 0.20 m along the span changes the model deflection by at most 0.6 % at N8 and by 0.01 % at N7. The effect of the transverse positioning error, and of temperature changes between the zero and the loaded readings during the daytime tests in hot weather, could not be quantified from the available records.</w:t>
      </w:r>
    </w:p>
    <w:p>
      <w:pPr>
        <w:pStyle w:val="BodyText"/>
      </w:pPr>
      <w:r>
        <w:t xml:space="preserve">These results have three practical consequences. First, a</w:t>
      </w:r>
      <w:r>
        <w:t xml:space="preserve"> </w:t>
      </w:r>
      <m:oMath>
        <m:sSub>
          <m:e>
            <m:r>
              <m:t>C</m:t>
            </m:r>
          </m:e>
          <m:sub>
            <m:r>
              <m:t>m</m:t>
            </m:r>
          </m:sub>
        </m:sSub>
      </m:oMath>
      <w:r>
        <w:t xml:space="preserve"> </w:t>
      </w:r>
      <w:r>
        <w:t xml:space="preserve">taken from the design model is not usable at the side-span gauge: the data admit constants that differ by a factor of 2.6 between the two calibrations, and the design model gives no basis for choosing one. Second, the centre-span gauge is robust; its constant differs by 12 % between the calibrations, so a design-model value would carry an error of that order. Third, SLM calibrates</w:t>
      </w:r>
      <w:r>
        <w:t xml:space="preserve"> </w:t>
      </w:r>
      <m:oMath>
        <m:sSub>
          <m:e>
            <m:r>
              <m:t>C</m:t>
            </m:r>
          </m:e>
          <m:sub>
            <m:r>
              <m:t>m</m:t>
            </m:r>
          </m:sub>
        </m:sSub>
      </m:oMath>
      <w:r>
        <w:t xml:space="preserve"> </w:t>
      </w:r>
      <w:r>
        <w:t xml:space="preserve">with a weighed vehicle and removes the identifiability problem, provided the response is linear. It does not remove the residual-offset term, which at the side-span gauge remains large (Section 6.2). For a side-span gauge on a continuous girder,</w:t>
      </w:r>
      <w:r>
        <w:t xml:space="preserve"> </w:t>
      </w:r>
      <m:oMath>
        <m:sSub>
          <m:e>
            <m:r>
              <m:t>C</m:t>
            </m:r>
          </m:e>
          <m:sub>
            <m:r>
              <m:t>m</m:t>
            </m:r>
          </m:sub>
        </m:sSub>
      </m:oMath>
      <w:r>
        <w:t xml:space="preserve"> </w:t>
      </w:r>
      <w:r>
        <w:t xml:space="preserve">must therefore come from SLM or from a model identified in situ, for example from measured influence lines [43], and never from the design model. The criterion is most useful before installation: on this bridge a gauge in the centre span, or a second gauge there, would have avoided the ill-conditioned side-span location.</w:t>
      </w:r>
    </w:p>
    <w:p>
      <w:pPr>
        <w:pStyle w:val="BodyText"/>
      </w:pPr>
      <w:r>
        <w:t xml:space="preserve">The in-service girder thus indicates, in a model built from the designer’s section data, that a side-span gauge on a layout near the prismatic blind locus is ill-conditioned with respect to pier stiffness, and that the cancellation ratio separates true cancellation from the effect of haunching. A direct test of Eq. (2) on a continuous girder still requires crawl or moving passes of weighed vehicles.</w:t>
      </w:r>
    </w:p>
    <w:bookmarkEnd w:id="35"/>
    <w:bookmarkEnd w:id="36"/>
    <w:bookmarkStart w:id="37" w:name="X403725a1716734ba542381826c8aae957a231c3"/>
    <w:p>
      <w:pPr>
        <w:pStyle w:val="Heading2"/>
      </w:pPr>
      <w:r>
        <w:t xml:space="preserve">5. Field deflection records: baseline drift and filtering</w:t>
      </w:r>
    </w:p>
    <w:p>
      <w:pPr>
        <w:pStyle w:val="FirstParagraph"/>
      </w:pPr>
      <w:r>
        <w:t xml:space="preserve">This section has a supporting role: moving-truck deflection records from two simply supported bridges illustrate how baseline drift and filtering affect the integral (Section 6), not the absolute relation of Eq. (2). Truck weight, speed and lane were not recorded, the channel calibration is not documented (the ratio between the processed and the raw channel differs by span, from 0.67 to 5.15), and the series are quantised (0.1 mm steps in the raw Gie Cuc channels) and partly processed by hand.</w:t>
      </w:r>
    </w:p>
    <w:p>
      <w:pPr>
        <w:pStyle w:val="BodyText"/>
      </w:pPr>
      <w:r>
        <w:t xml:space="preserve">The records come from Gie Cuc I (three simply supported spans of 25.7 m) and Phuong Do (two spans, calculation length 17.5 m), measured at mid-span with an SDA-830C recorder at 200 Hz for 15 s; seven complete crossings were identified. Each crossing integral was computed with four baselines: a constant tare level, a straight line between quiet windows before and after the event (the reference), a cubic fitted to all quiet samples, and zero-phase high-pass filters at 0.1 Hz and 0.5 Hz (Fig. 8). The residual offset after the linear pre/post correction cannot be resolved from these data: the post-minus-pre level difference is 0.0–0.1 mm at Gie Cuc, at the 0.1 mm resolution of the raw channels, and 0.17–0.23 mm at Phuong Do N2, and the quiet-level scatter is 0.01–0.13 mm. Residual offsets of a few hundredths of a millimetre, as assumed in Section 6, were therefore not demonstrated on these channels.</w:t>
      </w:r>
    </w:p>
    <w:p>
      <w:pPr>
        <w:pStyle w:val="BodyText"/>
      </w:pPr>
      <w:r>
        <w:t xml:space="preserve">Over the 2–4 s event window the tare, linear and cubic baselines agree within about 6 % for every crossing but one; the cubic differs from the linear by +1.7 to +3.6 % at Gie Cuc and −1.2 to +0.1 % at Phuong Do. The exception is the raw Phuong Do N1 record, whose baseline steps by 2.06 mm (18 % of the peak) as the truck leaves the span; there the tare-only integral is 36.4 % below the reference. The effect of a small offset grows with the integration time: over the whole 15 s record, tare-only integrals differ from the cubic-baseline values by +7 %, −16 % and −60 % at the three Gie Cuc spans, +34 % at Phuong Do N2 and −170 % (a sign reversal) at Phuong Do N1, which is the behaviour of Eq. (19) in Section 6.2. High-pass filtering changed the event integral by −44 to −83 % at 0.1 Hz and by about −100 % at 0.5 Hz; a filter with zero gain at zero frequency removes the quantity being integrated and cannot serve as a baseline correction.</w:t>
      </w:r>
    </w:p>
    <w:p>
      <w:pPr>
        <w:pStyle w:val="BodyText"/>
      </w:pPr>
      <w:r>
        <w:t xml:space="preserve">A zero-phase low-pass filter at 2 Hz, about one third of the measured fundamental frequencies of 5.2–6.0 Hz, left the event integral unchanged within a ratio of 0.9999 to 1.0010 for complete events (Fig. 9). The dynamic residual, unfiltered minus filtered, integrates to 0.001–0.022 of its absolute integral, although its peaks reach 3–16 % of the quasi-static peak. This partly follows from the unit gain of the filter at zero frequency and illustrates the processing rather than the theory. Fitted speeds and speed-normalised integrals cannot be interpreted with the undocumented channel scales and are given in the supplementary material.</w:t>
      </w:r>
    </w:p>
    <w:p>
      <w:pPr>
        <w:pStyle w:val="BodyText"/>
      </w:pPr>
      <w:r>
        <w:t xml:space="preserve">The records thus support two operational rules: re-zero the baseline in a window tight around the crossing, and remove dynamics with a low-pass, never a high-pass, filter.</w:t>
      </w:r>
    </w:p>
    <w:bookmarkEnd w:id="37"/>
    <w:bookmarkStart w:id="44" w:name="error-budget-and-dynamic-validity"/>
    <w:p>
      <w:pPr>
        <w:pStyle w:val="Heading2"/>
      </w:pPr>
      <w:r>
        <w:t xml:space="preserve">6. Error budget and dynamic validity</w:t>
      </w:r>
    </w:p>
    <w:p>
      <w:pPr>
        <w:pStyle w:val="FirstParagraph"/>
      </w:pPr>
      <w:r>
        <w:t xml:space="preserve">The laboratory agreement of Section 3 was obtained on a beam of known properties under static loads. This section develops the error budget explicitly, evaluates the offset term at the scale of the bridge of Section 4 and bounds the quasi-static assumption, so that the results can be extrapolated with stated sensitivities. Monte Carlo details are in Appendix B.</w:t>
      </w:r>
    </w:p>
    <w:bookmarkStart w:id="38" w:name="measurement-model-and-error-propagation"/>
    <w:p>
      <w:pPr>
        <w:pStyle w:val="Heading3"/>
      </w:pPr>
      <w:r>
        <w:t xml:space="preserve">6.1. Measurement model and error propagation</w:t>
      </w:r>
    </w:p>
    <w:p>
      <w:pPr>
        <w:pStyle w:val="FirstParagraph"/>
      </w:pPr>
      <w:r>
        <w:t xml:space="preserve">The recorded deflection at sample</w:t>
      </w:r>
      <w:r>
        <w:t xml:space="preserve"> </w:t>
      </w:r>
      <m:oMath>
        <m:r>
          <m:t>i</m:t>
        </m:r>
      </m:oMath>
      <w:r>
        <w:t xml:space="preserve"> </w:t>
      </w:r>
      <w:r>
        <w:t xml:space="preserve">is modelled as</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Sup>
                  <m:e>
                    <m:r>
                      <m:t>y</m:t>
                    </m:r>
                  </m:e>
                  <m:sub>
                    <m:r>
                      <m:t>i</m:t>
                    </m:r>
                  </m:sub>
                  <m:sup>
                    <m:r>
                      <m:rPr>
                        <m:sty m:val="p"/>
                      </m:rPr>
                      <m:t>m</m:t>
                    </m:r>
                    <m:r>
                      <m:rPr>
                        <m:sty m:val="p"/>
                      </m:rPr>
                      <m:t>e</m:t>
                    </m:r>
                    <m:r>
                      <m:rPr>
                        <m:sty m:val="p"/>
                      </m:rPr>
                      <m:t>a</m:t>
                    </m:r>
                    <m:r>
                      <m:rPr>
                        <m:sty m:val="p"/>
                      </m:rPr>
                      <m:t>s</m:t>
                    </m:r>
                  </m:sup>
                </m:sSubSup>
                <m:r>
                  <m:rPr>
                    <m:sty m:val="p"/>
                  </m:rPr>
                  <m:t>=</m:t>
                </m:r>
                <m:d>
                  <m:dPr>
                    <m:begChr m:val="("/>
                    <m:endChr m:val=")"/>
                    <m:sepChr m:val=""/>
                    <m:grow/>
                  </m:dPr>
                  <m:e>
                    <m:r>
                      <m:t>1</m:t>
                    </m:r>
                    <m:r>
                      <m:rPr>
                        <m:sty m:val="p"/>
                      </m:rPr>
                      <m:t>+</m:t>
                    </m:r>
                    <m:r>
                      <m:t>γ</m:t>
                    </m:r>
                  </m:e>
                </m:d>
                <m:r>
                  <m:t> </m:t>
                </m:r>
                <m:sSub>
                  <m:e>
                    <m:r>
                      <m:t>y</m:t>
                    </m:r>
                  </m:e>
                  <m:sub>
                    <m:r>
                      <m:t>i</m:t>
                    </m:r>
                  </m:sub>
                </m:sSub>
                <m:r>
                  <m:rPr>
                    <m:sty m:val="p"/>
                  </m:rPr>
                  <m:t>+</m:t>
                </m:r>
                <m:sSub>
                  <m:e>
                    <m:r>
                      <m:t>ε</m:t>
                    </m:r>
                  </m:e>
                  <m:sub>
                    <m:r>
                      <m:t>0</m:t>
                    </m:r>
                  </m:sub>
                </m:sSub>
                <m:r>
                  <m:rPr>
                    <m:sty m:val="p"/>
                  </m:rPr>
                  <m:t>+</m:t>
                </m:r>
                <m:sSub>
                  <m:e>
                    <m:r>
                      <m:t>σ</m:t>
                    </m:r>
                  </m:e>
                  <m:sub>
                    <m:r>
                      <m:t>a</m:t>
                    </m:r>
                  </m:sub>
                </m:sSub>
                <m:r>
                  <m:t> </m:t>
                </m:r>
                <m:sSub>
                  <m:e>
                    <m:r>
                      <m:t>ζ</m:t>
                    </m:r>
                  </m:e>
                  <m:sub>
                    <m:r>
                      <m:t>i</m:t>
                    </m:r>
                  </m:sub>
                </m:sSub>
                <m:r>
                  <m:rPr>
                    <m:sty m:val="p"/>
                  </m:rPr>
                  <m:t>,</m:t>
                </m:r>
                <m:r>
                  <m:t>  </m:t>
                </m:r>
                <m:sSub>
                  <m:e>
                    <m:r>
                      <m:t>ζ</m:t>
                    </m:r>
                  </m:e>
                  <m:sub>
                    <m:r>
                      <m:t>i</m:t>
                    </m:r>
                  </m:sub>
                </m:sSub>
                <m:r>
                  <m:rPr>
                    <m:sty m:val="p"/>
                  </m:rPr>
                  <m:t>∼</m:t>
                </m:r>
                <m:r>
                  <m:rPr>
                    <m:sty m:val="p"/>
                    <m:scr m:val="script"/>
                  </m:rPr>
                  <m:t>N</m:t>
                </m:r>
                <m:d>
                  <m:dPr>
                    <m:begChr m:val="("/>
                    <m:endChr m:val=")"/>
                    <m:sepChr m:val=""/>
                    <m:grow/>
                  </m:dPr>
                  <m:e>
                    <m:r>
                      <m:t>0</m:t>
                    </m:r>
                    <m:r>
                      <m:rPr>
                        <m:sty m:val="p"/>
                      </m:rPr>
                      <m:t>,</m:t>
                    </m:r>
                    <m:r>
                      <m:t>1</m:t>
                    </m:r>
                  </m:e>
                </m:d>
                <m:r>
                  <m:rPr>
                    <m:sty m:val="p"/>
                  </m:rPr>
                  <m:t>,</m:t>
                </m:r>
              </m:oMath>
            </m:oMathPara>
          </w:p>
        </w:tc>
        <w:tc>
          <w:tcPr>
            <w:tcW w:type="dxa" w:w="1088"/>
            <w:vAlign w:val="center"/>
          </w:tcPr>
          <w:p>
            <w:pPr>
              <w:jc w:val="right"/>
            </w:pPr>
            <w:r>
              <w:t xml:space="preserve">(16)</w:t>
            </w:r>
          </w:p>
        </w:tc>
      </w:tr>
    </w:tbl>
    <w:p>
      <w:pPr>
        <w:pStyle w:val="BodyText"/>
      </w:pPr>
      <w:r>
        <w:t xml:space="preserve">with gain error</w:t>
      </w:r>
      <w:r>
        <w:t xml:space="preserve"> </w:t>
      </w:r>
      <m:oMath>
        <m:r>
          <m:t>γ</m:t>
        </m:r>
      </m:oMath>
      <w:r>
        <w:t xml:space="preserve">, zero offset</w:t>
      </w:r>
      <w:r>
        <w:t xml:space="preserve"> </w:t>
      </w:r>
      <m:oMath>
        <m:sSub>
          <m:e>
            <m:r>
              <m:t>ε</m:t>
            </m:r>
          </m:e>
          <m:sub>
            <m:r>
              <m:t>0</m:t>
            </m:r>
          </m:sub>
        </m:sSub>
      </m:oMath>
      <w:r>
        <w:t xml:space="preserve"> </w:t>
      </w:r>
      <w:r>
        <w:t xml:space="preserve">and additive noise of standard deviation</w:t>
      </w:r>
      <w:r>
        <w:t xml:space="preserve"> </w:t>
      </w:r>
      <m:oMath>
        <m:sSub>
          <m:e>
            <m:r>
              <m:t>σ</m:t>
            </m:r>
          </m:e>
          <m:sub>
            <m:r>
              <m:t>a</m:t>
            </m:r>
          </m:sub>
        </m:sSub>
      </m:oMath>
      <w:r>
        <w:t xml:space="preserve">. Here</w:t>
      </w:r>
      <w:r>
        <w:t xml:space="preserve"> </w:t>
      </w:r>
      <m:oMath>
        <m:sSub>
          <m:e>
            <m:r>
              <m:t>ε</m:t>
            </m:r>
          </m:e>
          <m:sub>
            <m:r>
              <m:t>0</m:t>
            </m:r>
          </m:sub>
        </m:sSub>
      </m:oMath>
      <w:r>
        <w:t xml:space="preserve"> </w:t>
      </w:r>
      <w:r>
        <w:t xml:space="preserve">is the offset that remains after the baseline has been re-zeroed before and after the crossing, not the absolute drift of the sensor. Unlike a purely multiplicative model, Eq. (16) does not predict zero noise at the supports. To first order, the error of each estimator is given by Eqs. (17) and (18):</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r>
                  <m:rPr>
                    <m:sty m:val="p"/>
                  </m:rPr>
                  <m:t>(</m:t>
                </m:r>
                <m:f>
                  <m:fPr>
                    <m:type m:val="bar"/>
                  </m:fPr>
                  <m:num>
                    <m:r>
                      <m:t>δ</m:t>
                    </m:r>
                    <m:r>
                      <m:t>P</m:t>
                    </m:r>
                  </m:num>
                  <m:den>
                    <m:r>
                      <m:t>P</m:t>
                    </m:r>
                  </m:den>
                </m:f>
                <m:sSub>
                  <m:e>
                    <m:r>
                      <m:rPr>
                        <m:sty m:val="p"/>
                      </m:rPr>
                      <m:t>)</m:t>
                    </m:r>
                  </m:e>
                  <m:sub>
                    <m:r>
                      <m:rPr>
                        <m:sty m:val="p"/>
                      </m:rPr>
                      <m:t>B</m:t>
                    </m:r>
                    <m:r>
                      <m:rPr>
                        <m:sty m:val="p"/>
                      </m:rPr>
                      <m:t>P</m:t>
                    </m:r>
                    <m:r>
                      <m:rPr>
                        <m:sty m:val="p"/>
                      </m:rPr>
                      <m:t>M</m:t>
                    </m:r>
                  </m:sub>
                </m:sSub>
                <m:r>
                  <m:rPr>
                    <m:sty m:val="p"/>
                  </m:rPr>
                  <m:t>=</m:t>
                </m:r>
                <m:f>
                  <m:fPr>
                    <m:type m:val="bar"/>
                  </m:fPr>
                  <m:num>
                    <m:r>
                      <m:t>δ</m:t>
                    </m:r>
                    <m:d>
                      <m:dPr>
                        <m:begChr m:val="("/>
                        <m:endChr m:val=")"/>
                        <m:sepChr m:val=""/>
                        <m:grow/>
                      </m:dPr>
                      <m:e>
                        <m:r>
                          <m:t>E</m:t>
                        </m:r>
                        <m:r>
                          <m:t>I</m:t>
                        </m:r>
                      </m:e>
                    </m:d>
                  </m:num>
                  <m:den>
                    <m:r>
                      <m:t>E</m:t>
                    </m:r>
                    <m:r>
                      <m:t>I</m:t>
                    </m:r>
                  </m:den>
                </m:f>
                <m:r>
                  <m:rPr>
                    <m:sty m:val="p"/>
                  </m:rPr>
                  <m:t>−</m:t>
                </m:r>
                <m:r>
                  <m:t>4</m:t>
                </m:r>
                <m:f>
                  <m:fPr>
                    <m:type m:val="bar"/>
                  </m:fPr>
                  <m:num>
                    <m:r>
                      <m:t>δ</m:t>
                    </m:r>
                    <m:r>
                      <m:t>l</m:t>
                    </m:r>
                  </m:num>
                  <m:den>
                    <m:r>
                      <m:t>l</m:t>
                    </m:r>
                  </m:den>
                </m:f>
                <m:r>
                  <m:rPr>
                    <m:sty m:val="p"/>
                  </m:rPr>
                  <m:t>+</m:t>
                </m:r>
                <m:sSub>
                  <m:e>
                    <m:r>
                      <m:t>γ</m:t>
                    </m:r>
                  </m:e>
                  <m:sub>
                    <m:r>
                      <m:t>t</m:t>
                    </m:r>
                  </m:sub>
                </m:sSub>
                <m:r>
                  <m:rPr>
                    <m:sty m:val="p"/>
                  </m:rPr>
                  <m:t>+</m:t>
                </m:r>
                <m:sSub>
                  <m:e>
                    <m:r>
                      <m:t>e</m:t>
                    </m:r>
                  </m:e>
                  <m:sub>
                    <m:r>
                      <m:t>q</m:t>
                    </m:r>
                    <m:r>
                      <m:rPr>
                        <m:sty m:val="p"/>
                      </m:rPr>
                      <m:t>,</m:t>
                    </m:r>
                    <m:r>
                      <m:t>t</m:t>
                    </m:r>
                  </m:sub>
                </m:sSub>
                <m:r>
                  <m:rPr>
                    <m:sty m:val="p"/>
                  </m:rPr>
                  <m:t>+</m:t>
                </m:r>
                <m:f>
                  <m:fPr>
                    <m:type m:val="bar"/>
                  </m:fPr>
                  <m:num>
                    <m:sSub>
                      <m:e>
                        <m:r>
                          <m:t>ε</m:t>
                        </m:r>
                      </m:e>
                      <m:sub>
                        <m:r>
                          <m:t>0</m:t>
                        </m:r>
                        <m:r>
                          <m:rPr>
                            <m:sty m:val="p"/>
                          </m:rPr>
                          <m:t>,</m:t>
                        </m:r>
                        <m:r>
                          <m:t>t</m:t>
                        </m:r>
                      </m:sub>
                    </m:sSub>
                    <m:sSub>
                      <m:e>
                        <m:r>
                          <m:t>L</m:t>
                        </m:r>
                      </m:e>
                      <m:sub>
                        <m:r>
                          <m:t>t</m:t>
                        </m:r>
                      </m:sub>
                    </m:sSub>
                  </m:num>
                  <m:den>
                    <m:sSub>
                      <m:e>
                        <m:r>
                          <m:t>I</m:t>
                        </m:r>
                      </m:e>
                      <m:sub>
                        <m:r>
                          <m:t>y</m:t>
                        </m:r>
                        <m:r>
                          <m:rPr>
                            <m:sty m:val="p"/>
                          </m:rPr>
                          <m:t>,</m:t>
                        </m:r>
                        <m:r>
                          <m:t>t</m:t>
                        </m:r>
                      </m:sub>
                    </m:sSub>
                  </m:den>
                </m:f>
                <m:r>
                  <m:rPr>
                    <m:sty m:val="p"/>
                  </m:rPr>
                  <m:t>+</m:t>
                </m:r>
                <m:f>
                  <m:fPr>
                    <m:type m:val="bar"/>
                  </m:fPr>
                  <m:num>
                    <m:r>
                      <m:t>δ</m:t>
                    </m:r>
                    <m:sSub>
                      <m:e>
                        <m:r>
                          <m:t>v</m:t>
                        </m:r>
                      </m:e>
                      <m:sub>
                        <m:r>
                          <m:t>t</m:t>
                        </m:r>
                      </m:sub>
                    </m:sSub>
                  </m:num>
                  <m:den>
                    <m:sSub>
                      <m:e>
                        <m:r>
                          <m:t>v</m:t>
                        </m:r>
                      </m:e>
                      <m:sub>
                        <m:r>
                          <m:t>t</m:t>
                        </m:r>
                      </m:sub>
                    </m:sSub>
                  </m:den>
                </m:f>
                <m:r>
                  <m:rPr>
                    <m:sty m:val="p"/>
                  </m:rPr>
                  <m:t>,</m:t>
                </m:r>
              </m:oMath>
            </m:oMathPara>
          </w:p>
        </w:tc>
        <w:tc>
          <w:tcPr>
            <w:tcW w:type="dxa" w:w="1088"/>
            <w:vAlign w:val="center"/>
          </w:tcPr>
          <w:p>
            <w:pPr>
              <w:jc w:val="right"/>
            </w:pPr>
            <w:r>
              <w:t xml:space="preserve">(17)</w:t>
            </w:r>
          </w:p>
        </w:tc>
      </w:tr>
    </w:tbl>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r>
                  <m:rPr>
                    <m:sty m:val="p"/>
                  </m:rPr>
                  <m:t>(</m:t>
                </m:r>
                <m:f>
                  <m:fPr>
                    <m:type m:val="bar"/>
                  </m:fPr>
                  <m:num>
                    <m:r>
                      <m:t>δ</m:t>
                    </m:r>
                    <m:r>
                      <m:t>P</m:t>
                    </m:r>
                  </m:num>
                  <m:den>
                    <m:r>
                      <m:t>P</m:t>
                    </m:r>
                  </m:den>
                </m:f>
                <m:sSub>
                  <m:e>
                    <m:r>
                      <m:rPr>
                        <m:sty m:val="p"/>
                      </m:rPr>
                      <m:t>)</m:t>
                    </m:r>
                  </m:e>
                  <m:sub>
                    <m:r>
                      <m:rPr>
                        <m:sty m:val="p"/>
                      </m:rPr>
                      <m:t>S</m:t>
                    </m:r>
                    <m:r>
                      <m:rPr>
                        <m:sty m:val="p"/>
                      </m:rPr>
                      <m:t>L</m:t>
                    </m:r>
                    <m:r>
                      <m:rPr>
                        <m:sty m:val="p"/>
                      </m:rPr>
                      <m:t>M</m:t>
                    </m:r>
                  </m:sub>
                </m:sSub>
                <m:r>
                  <m:rPr>
                    <m:sty m:val="p"/>
                  </m:rPr>
                  <m:t>=</m:t>
                </m:r>
                <m:f>
                  <m:fPr>
                    <m:type m:val="bar"/>
                  </m:fPr>
                  <m:num>
                    <m:r>
                      <m:t>δ</m:t>
                    </m:r>
                    <m:sSub>
                      <m:e>
                        <m:r>
                          <m:t>P</m:t>
                        </m:r>
                      </m:e>
                      <m:sub>
                        <m:r>
                          <m:t>0</m:t>
                        </m:r>
                      </m:sub>
                    </m:sSub>
                  </m:num>
                  <m:den>
                    <m:sSub>
                      <m:e>
                        <m:r>
                          <m:t>P</m:t>
                        </m:r>
                      </m:e>
                      <m:sub>
                        <m:r>
                          <m:t>0</m:t>
                        </m:r>
                      </m:sub>
                    </m:sSub>
                  </m:den>
                </m:f>
                <m:r>
                  <m:rPr>
                    <m:sty m:val="p"/>
                  </m:rPr>
                  <m:t>+</m:t>
                </m:r>
                <m:d>
                  <m:dPr>
                    <m:begChr m:val="("/>
                    <m:endChr m:val=")"/>
                    <m:sepChr m:val=""/>
                    <m:grow/>
                  </m:dPr>
                  <m:e>
                    <m:sSub>
                      <m:e>
                        <m:r>
                          <m:t>γ</m:t>
                        </m:r>
                      </m:e>
                      <m:sub>
                        <m:r>
                          <m:t>t</m:t>
                        </m:r>
                      </m:sub>
                    </m:sSub>
                    <m:r>
                      <m:rPr>
                        <m:sty m:val="p"/>
                      </m:rPr>
                      <m:t>−</m:t>
                    </m:r>
                    <m:sSub>
                      <m:e>
                        <m:r>
                          <m:t>γ</m:t>
                        </m:r>
                      </m:e>
                      <m:sub>
                        <m:r>
                          <m:t>0</m:t>
                        </m:r>
                      </m:sub>
                    </m:sSub>
                  </m:e>
                </m:d>
                <m:r>
                  <m:rPr>
                    <m:sty m:val="p"/>
                  </m:rPr>
                  <m:t>+</m:t>
                </m:r>
                <m:d>
                  <m:dPr>
                    <m:begChr m:val="("/>
                    <m:endChr m:val=")"/>
                    <m:sepChr m:val=""/>
                    <m:grow/>
                  </m:dPr>
                  <m:e>
                    <m:sSub>
                      <m:e>
                        <m:r>
                          <m:t>e</m:t>
                        </m:r>
                      </m:e>
                      <m:sub>
                        <m:r>
                          <m:t>q</m:t>
                        </m:r>
                        <m:r>
                          <m:rPr>
                            <m:sty m:val="p"/>
                          </m:rPr>
                          <m:t>,</m:t>
                        </m:r>
                        <m:r>
                          <m:t>t</m:t>
                        </m:r>
                      </m:sub>
                    </m:sSub>
                    <m:r>
                      <m:rPr>
                        <m:sty m:val="p"/>
                      </m:rPr>
                      <m:t>−</m:t>
                    </m:r>
                    <m:sSub>
                      <m:e>
                        <m:r>
                          <m:t>e</m:t>
                        </m:r>
                      </m:e>
                      <m:sub>
                        <m:r>
                          <m:t>q</m:t>
                        </m:r>
                        <m:r>
                          <m:rPr>
                            <m:sty m:val="p"/>
                          </m:rPr>
                          <m:t>,</m:t>
                        </m:r>
                        <m:r>
                          <m:t>0</m:t>
                        </m:r>
                      </m:sub>
                    </m:sSub>
                  </m:e>
                </m:d>
                <m:r>
                  <m:rPr>
                    <m:sty m:val="p"/>
                  </m:rPr>
                  <m:t>+</m:t>
                </m:r>
                <m:d>
                  <m:dPr>
                    <m:begChr m:val="("/>
                    <m:endChr m:val=")"/>
                    <m:sepChr m:val=""/>
                    <m:grow/>
                  </m:dPr>
                  <m:e>
                    <m:f>
                      <m:fPr>
                        <m:type m:val="bar"/>
                      </m:fPr>
                      <m:num>
                        <m:sSub>
                          <m:e>
                            <m:r>
                              <m:t>ε</m:t>
                            </m:r>
                          </m:e>
                          <m:sub>
                            <m:r>
                              <m:t>0</m:t>
                            </m:r>
                            <m:r>
                              <m:rPr>
                                <m:sty m:val="p"/>
                              </m:rPr>
                              <m:t>,</m:t>
                            </m:r>
                            <m:r>
                              <m:t>t</m:t>
                            </m:r>
                          </m:sub>
                        </m:sSub>
                        <m:sSub>
                          <m:e>
                            <m:r>
                              <m:t>L</m:t>
                            </m:r>
                          </m:e>
                          <m:sub>
                            <m:r>
                              <m:t>t</m:t>
                            </m:r>
                          </m:sub>
                        </m:sSub>
                      </m:num>
                      <m:den>
                        <m:sSub>
                          <m:e>
                            <m:r>
                              <m:t>I</m:t>
                            </m:r>
                          </m:e>
                          <m:sub>
                            <m:r>
                              <m:t>y</m:t>
                            </m:r>
                            <m:r>
                              <m:rPr>
                                <m:sty m:val="p"/>
                              </m:rPr>
                              <m:t>,</m:t>
                            </m:r>
                            <m:r>
                              <m:t>t</m:t>
                            </m:r>
                          </m:sub>
                        </m:sSub>
                      </m:den>
                    </m:f>
                    <m:r>
                      <m:rPr>
                        <m:sty m:val="p"/>
                      </m:rPr>
                      <m:t>−</m:t>
                    </m:r>
                    <m:f>
                      <m:fPr>
                        <m:type m:val="bar"/>
                      </m:fPr>
                      <m:num>
                        <m:sSub>
                          <m:e>
                            <m:r>
                              <m:t>ε</m:t>
                            </m:r>
                          </m:e>
                          <m:sub>
                            <m:r>
                              <m:t>0</m:t>
                            </m:r>
                            <m:r>
                              <m:rPr>
                                <m:sty m:val="p"/>
                              </m:rPr>
                              <m:t>,</m:t>
                            </m:r>
                            <m:r>
                              <m:t>0</m:t>
                            </m:r>
                          </m:sub>
                        </m:sSub>
                        <m:sSub>
                          <m:e>
                            <m:r>
                              <m:t>L</m:t>
                            </m:r>
                          </m:e>
                          <m:sub>
                            <m:r>
                              <m:t>0</m:t>
                            </m:r>
                          </m:sub>
                        </m:sSub>
                      </m:num>
                      <m:den>
                        <m:sSub>
                          <m:e>
                            <m:r>
                              <m:t>I</m:t>
                            </m:r>
                          </m:e>
                          <m:sub>
                            <m:r>
                              <m:t>y</m:t>
                            </m:r>
                            <m:r>
                              <m:rPr>
                                <m:sty m:val="p"/>
                              </m:rPr>
                              <m:t>,</m:t>
                            </m:r>
                            <m:r>
                              <m:t>0</m:t>
                            </m:r>
                          </m:sub>
                        </m:sSub>
                      </m:den>
                    </m:f>
                  </m:e>
                </m:d>
                <m:r>
                  <m:rPr>
                    <m:sty m:val="p"/>
                  </m:rPr>
                  <m:t>+</m:t>
                </m:r>
                <m:d>
                  <m:dPr>
                    <m:begChr m:val="("/>
                    <m:endChr m:val=")"/>
                    <m:sepChr m:val=""/>
                    <m:grow/>
                  </m:dPr>
                  <m:e>
                    <m:f>
                      <m:fPr>
                        <m:type m:val="bar"/>
                      </m:fPr>
                      <m:num>
                        <m:r>
                          <m:t>δ</m:t>
                        </m:r>
                        <m:sSub>
                          <m:e>
                            <m:r>
                              <m:t>v</m:t>
                            </m:r>
                          </m:e>
                          <m:sub>
                            <m:r>
                              <m:t>t</m:t>
                            </m:r>
                          </m:sub>
                        </m:sSub>
                      </m:num>
                      <m:den>
                        <m:sSub>
                          <m:e>
                            <m:r>
                              <m:t>v</m:t>
                            </m:r>
                          </m:e>
                          <m:sub>
                            <m:r>
                              <m:t>t</m:t>
                            </m:r>
                          </m:sub>
                        </m:sSub>
                      </m:den>
                    </m:f>
                    <m:r>
                      <m:rPr>
                        <m:sty m:val="p"/>
                      </m:rPr>
                      <m:t>−</m:t>
                    </m:r>
                    <m:f>
                      <m:fPr>
                        <m:type m:val="bar"/>
                      </m:fPr>
                      <m:num>
                        <m:r>
                          <m:t>δ</m:t>
                        </m:r>
                        <m:sSub>
                          <m:e>
                            <m:r>
                              <m:t>v</m:t>
                            </m:r>
                          </m:e>
                          <m:sub>
                            <m:r>
                              <m:t>0</m:t>
                            </m:r>
                          </m:sub>
                        </m:sSub>
                      </m:num>
                      <m:den>
                        <m:sSub>
                          <m:e>
                            <m:r>
                              <m:t>v</m:t>
                            </m:r>
                          </m:e>
                          <m:sub>
                            <m:r>
                              <m:t>0</m:t>
                            </m:r>
                          </m:sub>
                        </m:sSub>
                      </m:den>
                    </m:f>
                  </m:e>
                </m:d>
                <m:r>
                  <m:rPr>
                    <m:sty m:val="p"/>
                  </m:rPr>
                  <m:t>,</m:t>
                </m:r>
              </m:oMath>
            </m:oMathPara>
          </w:p>
        </w:tc>
        <w:tc>
          <w:tcPr>
            <w:tcW w:type="dxa" w:w="1088"/>
            <w:vAlign w:val="center"/>
          </w:tcPr>
          <w:p>
            <w:pPr>
              <w:jc w:val="right"/>
            </w:pPr>
            <w:r>
              <w:t xml:space="preserve">(18)</w:t>
            </w:r>
          </w:p>
        </w:tc>
      </w:tr>
    </w:tbl>
    <w:p>
      <w:pPr>
        <w:pStyle w:val="BodyText"/>
      </w:pPr>
      <w:r>
        <w:t xml:space="preserve">where</w:t>
      </w:r>
      <w:r>
        <w:t xml:space="preserve"> </w:t>
      </w:r>
      <m:oMath>
        <m:sSub>
          <m:e>
            <m:r>
              <m:t>e</m:t>
            </m:r>
          </m:e>
          <m:sub>
            <m:r>
              <m:t>q</m:t>
            </m:r>
          </m:sub>
        </m:sSub>
      </m:oMath>
      <w:r>
        <w:t xml:space="preserve"> </w:t>
      </w:r>
      <w:r>
        <w:t xml:space="preserve">is the quadrature bias, subscript</w:t>
      </w:r>
      <w:r>
        <w:t xml:space="preserve"> </w:t>
      </w:r>
      <m:oMath>
        <m:r>
          <m:t>t</m:t>
        </m:r>
      </m:oMath>
      <w:r>
        <w:t xml:space="preserve"> </w:t>
      </w:r>
      <w:r>
        <w:t xml:space="preserve">the target crossing and subscript 0 the reference. SLM removes the structural terms of Eq. (17) outright, because they belong to</w:t>
      </w:r>
      <w:r>
        <w:t xml:space="preserve"> </w:t>
      </w:r>
      <m:oMath>
        <m:sSub>
          <m:e>
            <m:r>
              <m:t>C</m:t>
            </m:r>
          </m:e>
          <m:sub>
            <m:r>
              <m:t>m</m:t>
            </m:r>
          </m:sub>
        </m:sSub>
      </m:oMath>
      <w:r>
        <w:t xml:space="preserve">. Every other term survives in Eq. (18) as a difference, which vanishes only when the error is common to both crossings. A gain error cancels if the chain is not recalibrated between the crossings. The quadrature bias cancelled in the present tests (−0.5000 % for all three configurations) only because the spacings were integer multiples of</w:t>
      </w:r>
      <w:r>
        <w:t xml:space="preserve"> </w:t>
      </w:r>
      <m:oMath>
        <m:r>
          <m:t>Δ</m:t>
        </m:r>
        <m:r>
          <m:t>x</m:t>
        </m:r>
      </m:oMath>
      <w:r>
        <w:t xml:space="preserve">; for the two-load group at a spacing of 300 mm the bias would be −0.171 %, at 375 mm +0.014 %, and the residual would reach 0.33 and 0.51 percentage points. The zero-offset term never cancels fully, even for equal offsets, because the sensitivity</w:t>
      </w:r>
      <w:r>
        <w:t xml:space="preserve"> </w:t>
      </w:r>
      <m:oMath>
        <m:r>
          <m:t>L</m:t>
        </m:r>
        <m:r>
          <m:rPr>
            <m:sty m:val="p"/>
          </m:rPr>
          <m:t>/</m:t>
        </m:r>
        <m:sSub>
          <m:e>
            <m:r>
              <m:t>I</m:t>
            </m:r>
          </m:e>
          <m:sub>
            <m:r>
              <m:t>y</m:t>
            </m:r>
          </m:sub>
        </m:sSub>
      </m:oMath>
      <w:r>
        <w:t xml:space="preserve"> </w:t>
      </w:r>
      <w:r>
        <w:t xml:space="preserve">differs: for the two-load case the residual is</w:t>
      </w:r>
      <w:r>
        <w:t xml:space="preserve"> </w:t>
      </w:r>
      <m:oMath>
        <m:sSub>
          <m:e>
            <m:r>
              <m:t>ε</m:t>
            </m:r>
          </m:e>
          <m:sub>
            <m:r>
              <m:t>0</m:t>
            </m:r>
          </m:sub>
        </m:sSub>
        <m:d>
          <m:dPr>
            <m:begChr m:val="("/>
            <m:endChr m:val=")"/>
            <m:sepChr m:val=""/>
            <m:grow/>
          </m:dPr>
          <m:e>
            <m:r>
              <m:t>1.2596</m:t>
            </m:r>
            <m:r>
              <m:rPr>
                <m:sty m:val="p"/>
              </m:rPr>
              <m:t>−</m:t>
            </m:r>
            <m:r>
              <m:t>1.9893</m:t>
            </m:r>
          </m:e>
        </m:d>
      </m:oMath>
      <w:r>
        <w:t xml:space="preserve"> </w:t>
      </w:r>
      <w:r>
        <w:t xml:space="preserve">mm⁻¹, so its magnitude is 58 % of the BPM offset term, a 42 % reduction. A reference load as heavy as the target vehicles makes the cancellation nearly complete.</w:t>
      </w:r>
    </w:p>
    <w:bookmarkEnd w:id="38"/>
    <w:bookmarkStart w:id="39" w:name="residual-zero-offset"/>
    <w:p>
      <w:pPr>
        <w:pStyle w:val="Heading3"/>
      </w:pPr>
      <w:r>
        <w:t xml:space="preserve">6.2. Residual zero offset</w:t>
      </w:r>
    </w:p>
    <w:p>
      <w:pPr>
        <w:pStyle w:val="FirstParagraph"/>
      </w:pPr>
      <w:r>
        <w:t xml:space="preserve">A constant offset contributes</w:t>
      </w:r>
      <w:r>
        <w:t xml:space="preserve"> </w:t>
      </w:r>
      <m:oMath>
        <m:sSub>
          <m:e>
            <m:r>
              <m:t>ε</m:t>
            </m:r>
          </m:e>
          <m:sub>
            <m:r>
              <m:t>0</m:t>
            </m:r>
          </m:sub>
        </m:sSub>
        <m:sSub>
          <m:e>
            <m:r>
              <m:t>L</m:t>
            </m:r>
          </m:e>
          <m:sub>
            <m:r>
              <m:rPr>
                <m:sty m:val="p"/>
              </m:rPr>
              <m:t>t</m:t>
            </m:r>
            <m:r>
              <m:rPr>
                <m:sty m:val="p"/>
              </m:rPr>
              <m:t>o</m:t>
            </m:r>
            <m:r>
              <m:rPr>
                <m:sty m:val="p"/>
              </m:rPr>
              <m:t>t</m:t>
            </m:r>
          </m:sub>
        </m:sSub>
      </m:oMath>
      <w:r>
        <w:t xml:space="preserve"> </w:t>
      </w:r>
      <w:r>
        <w:t xml:space="preserve">to the integral without any cancellation, whereas the net integral is itself the residue of the cancellation between spans. With</w:t>
      </w:r>
      <w:r>
        <w:t xml:space="preserve"> </w:t>
      </w:r>
      <m:oMath>
        <m:sSub>
          <m:e>
            <m:r>
              <m:t>I</m:t>
            </m:r>
          </m:e>
          <m:sub>
            <m:r>
              <m:t>y</m:t>
            </m:r>
          </m:sub>
        </m:sSub>
        <m:r>
          <m:rPr>
            <m:sty m:val="p"/>
          </m:rPr>
          <m:t>=</m:t>
        </m:r>
        <m:sSub>
          <m:e>
            <m:r>
              <m:t>C</m:t>
            </m:r>
          </m:e>
          <m:sub>
            <m:r>
              <m:t>m</m:t>
            </m:r>
          </m:sub>
        </m:sSub>
        <m:r>
          <m:t>P</m:t>
        </m:r>
      </m:oMath>
      <w:r>
        <w:t xml:space="preserve">, the relative bias is</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r>
                  <m:rPr>
                    <m:sty m:val="p"/>
                  </m:rPr>
                  <m:t>(</m:t>
                </m:r>
                <m:f>
                  <m:fPr>
                    <m:type m:val="bar"/>
                  </m:fPr>
                  <m:num>
                    <m:r>
                      <m:t>δ</m:t>
                    </m:r>
                    <m:r>
                      <m:t>P</m:t>
                    </m:r>
                  </m:num>
                  <m:den>
                    <m:r>
                      <m:t>P</m:t>
                    </m:r>
                  </m:den>
                </m:f>
                <m:sSub>
                  <m:e>
                    <m:r>
                      <m:rPr>
                        <m:sty m:val="p"/>
                      </m:rPr>
                      <m:t>)</m:t>
                    </m:r>
                  </m:e>
                  <m:sub>
                    <m:sSub>
                      <m:e>
                        <m:r>
                          <m:t>ε</m:t>
                        </m:r>
                      </m:e>
                      <m:sub>
                        <m:r>
                          <m:t>0</m:t>
                        </m:r>
                      </m:sub>
                    </m:sSub>
                  </m:sub>
                </m:sSub>
                <m:r>
                  <m:rPr>
                    <m:sty m:val="p"/>
                  </m:rPr>
                  <m:t>=</m:t>
                </m:r>
                <m:f>
                  <m:fPr>
                    <m:type m:val="bar"/>
                  </m:fPr>
                  <m:num>
                    <m:sSub>
                      <m:e>
                        <m:r>
                          <m:t>ε</m:t>
                        </m:r>
                      </m:e>
                      <m:sub>
                        <m:r>
                          <m:t>0</m:t>
                        </m:r>
                      </m:sub>
                    </m:sSub>
                    <m:sSub>
                      <m:e>
                        <m:r>
                          <m:t>L</m:t>
                        </m:r>
                      </m:e>
                      <m:sub>
                        <m:r>
                          <m:rPr>
                            <m:sty m:val="p"/>
                          </m:rPr>
                          <m:t>t</m:t>
                        </m:r>
                        <m:r>
                          <m:rPr>
                            <m:sty m:val="p"/>
                          </m:rPr>
                          <m:t>o</m:t>
                        </m:r>
                        <m:r>
                          <m:rPr>
                            <m:sty m:val="p"/>
                          </m:rPr>
                          <m:t>t</m:t>
                        </m:r>
                      </m:sub>
                    </m:sSub>
                  </m:num>
                  <m:den>
                    <m:sSub>
                      <m:e>
                        <m:r>
                          <m:t>I</m:t>
                        </m:r>
                      </m:e>
                      <m:sub>
                        <m:r>
                          <m:t>y</m:t>
                        </m:r>
                      </m:sub>
                    </m:sSub>
                  </m:den>
                </m:f>
                <m:r>
                  <m:rPr>
                    <m:sty m:val="p"/>
                  </m:rPr>
                  <m:t>=</m:t>
                </m:r>
                <m:f>
                  <m:fPr>
                    <m:type m:val="bar"/>
                  </m:fPr>
                  <m:num>
                    <m:sSub>
                      <m:e>
                        <m:r>
                          <m:t>P</m:t>
                        </m:r>
                      </m:e>
                      <m:sub>
                        <m:r>
                          <m:t>ε</m:t>
                        </m:r>
                      </m:sub>
                    </m:sSub>
                  </m:num>
                  <m:den>
                    <m:r>
                      <m:t>P</m:t>
                    </m:r>
                  </m:den>
                </m:f>
                <m:r>
                  <m:rPr>
                    <m:sty m:val="p"/>
                  </m:rPr>
                  <m:t>,</m:t>
                </m:r>
                <m:r>
                  <m:t>  </m:t>
                </m:r>
                <m:sSub>
                  <m:e>
                    <m:r>
                      <m:t>P</m:t>
                    </m:r>
                  </m:e>
                  <m:sub>
                    <m:r>
                      <m:t>ε</m:t>
                    </m:r>
                  </m:sub>
                </m:sSub>
                <m:r>
                  <m:rPr>
                    <m:sty m:val="p"/>
                  </m:rPr>
                  <m:t>=</m:t>
                </m:r>
                <m:f>
                  <m:fPr>
                    <m:type m:val="bar"/>
                  </m:fPr>
                  <m:num>
                    <m:sSub>
                      <m:e>
                        <m:r>
                          <m:t>ε</m:t>
                        </m:r>
                      </m:e>
                      <m:sub>
                        <m:r>
                          <m:t>0</m:t>
                        </m:r>
                      </m:sub>
                    </m:sSub>
                    <m:sSub>
                      <m:e>
                        <m:r>
                          <m:t>L</m:t>
                        </m:r>
                      </m:e>
                      <m:sub>
                        <m:r>
                          <m:rPr>
                            <m:sty m:val="p"/>
                          </m:rPr>
                          <m:t>t</m:t>
                        </m:r>
                        <m:r>
                          <m:rPr>
                            <m:sty m:val="p"/>
                          </m:rPr>
                          <m:t>o</m:t>
                        </m:r>
                        <m:r>
                          <m:rPr>
                            <m:sty m:val="p"/>
                          </m:rPr>
                          <m:t>t</m:t>
                        </m:r>
                      </m:sub>
                    </m:sSub>
                  </m:num>
                  <m:den>
                    <m:sSub>
                      <m:e>
                        <m:r>
                          <m:t>C</m:t>
                        </m:r>
                      </m:e>
                      <m:sub>
                        <m:r>
                          <m:t>m</m:t>
                        </m:r>
                      </m:sub>
                    </m:sSub>
                  </m:den>
                </m:f>
                <m:r>
                  <m:rPr>
                    <m:sty m:val="p"/>
                  </m:rPr>
                  <m:t>.</m:t>
                </m:r>
              </m:oMath>
            </m:oMathPara>
          </w:p>
        </w:tc>
        <w:tc>
          <w:tcPr>
            <w:tcW w:type="dxa" w:w="1088"/>
            <w:vAlign w:val="center"/>
          </w:tcPr>
          <w:p>
            <w:pPr>
              <w:jc w:val="right"/>
            </w:pPr>
            <w:r>
              <w:t xml:space="preserve">(19)</w:t>
            </w:r>
          </w:p>
        </w:tc>
      </w:tr>
    </w:tbl>
    <w:p>
      <w:pPr>
        <w:pStyle w:val="BodyText"/>
      </w:pPr>
      <w:r>
        <w:t xml:space="preserve">The offset-equivalent load</w:t>
      </w:r>
      <w:r>
        <w:t xml:space="preserve"> </w:t>
      </w:r>
      <m:oMath>
        <m:sSub>
          <m:e>
            <m:r>
              <m:t>P</m:t>
            </m:r>
          </m:e>
          <m:sub>
            <m:r>
              <m:t>ε</m:t>
            </m:r>
          </m:sub>
        </m:sSub>
      </m:oMath>
      <w:r>
        <w:t xml:space="preserve"> </w:t>
      </w:r>
      <w:r>
        <w:t xml:space="preserve">is the vehicle load at which a residual offset</w:t>
      </w:r>
      <w:r>
        <w:t xml:space="preserve"> </w:t>
      </w:r>
      <m:oMath>
        <m:sSub>
          <m:e>
            <m:r>
              <m:t>ε</m:t>
            </m:r>
          </m:e>
          <m:sub>
            <m:r>
              <m:t>0</m:t>
            </m:r>
          </m:sub>
        </m:sSub>
      </m:oMath>
      <w:r>
        <w:t xml:space="preserve"> </w:t>
      </w:r>
      <w:r>
        <w:t xml:space="preserve">produces a 100 % bias. It combines the sensor location, the achievable baseline stability and the weight of the lightest vehicle to be screened in one number, and it is the dimensional complement of</w:t>
      </w:r>
      <w:r>
        <w:t xml:space="preserve"> </w:t>
      </w:r>
      <m:oMath>
        <m:sSub>
          <m:e>
            <m:r>
              <m:t>N</m:t>
            </m:r>
          </m:e>
          <m:sub>
            <m:r>
              <m:t>m</m:t>
            </m:r>
          </m:sub>
        </m:sSub>
      </m:oMath>
      <w:r>
        <w:t xml:space="preserve"> </w:t>
      </w:r>
      <w:r>
        <w:t xml:space="preserve">and</w:t>
      </w:r>
      <w:r>
        <w:t xml:space="preserve"> </w:t>
      </w:r>
      <m:oMath>
        <m:sSub>
          <m:e>
            <m:r>
              <m:t>R</m:t>
            </m:r>
          </m:e>
          <m:sub>
            <m:r>
              <m:t>m</m:t>
            </m:r>
          </m:sub>
        </m:sSub>
      </m:oMath>
      <w:r>
        <w:t xml:space="preserve">.</w:t>
      </w:r>
    </w:p>
    <w:p>
      <w:pPr>
        <w:pStyle w:val="BodyText"/>
      </w:pPr>
      <w:r>
        <w:t xml:space="preserve">Table 7 evaluates Eq. (19) for the laboratory configurations. An offset equal to the transducer resolution already biases the load by 0.4–1.0 %, comparable to the total errors of Section 3 and larger than any plausible random noise. Because the bias is inversely proportional to</w:t>
      </w:r>
      <w:r>
        <w:t xml:space="preserve"> </w:t>
      </w:r>
      <m:oMath>
        <m:sSub>
          <m:e>
            <m:r>
              <m:t>I</m:t>
            </m:r>
          </m:e>
          <m:sub>
            <m:r>
              <m:t>y</m:t>
            </m:r>
          </m:sub>
        </m:sSub>
      </m:oMath>
      <w:r>
        <w:t xml:space="preserve">, and therefore to</w:t>
      </w:r>
      <w:r>
        <w:t xml:space="preserve"> </w:t>
      </w:r>
      <m:oMath>
        <m:sSub>
          <m:e>
            <m:r>
              <m:t>C</m:t>
            </m:r>
          </m:e>
          <m:sub>
            <m:r>
              <m:t>m</m:t>
            </m:r>
          </m:sub>
        </m:sSub>
      </m:oMath>
      <w:r>
        <w:t xml:space="preserve"> </w:t>
      </w:r>
      <w:r>
        <w:t xml:space="preserve">and to the load, it is smallest for heavy vehicles, which suits overload screening, and largest at near-blind locations, which is a second reason to avoid them.</w:t>
      </w:r>
    </w:p>
    <w:p>
      <w:pPr>
        <w:pStyle w:val="BodyText"/>
      </w:pPr>
      <w:r>
        <w:rPr>
          <w:bCs/>
          <w:b/>
        </w:rPr>
        <w:t xml:space="preserve">Table 7.</w:t>
      </w:r>
      <w:r>
        <w:t xml:space="preserve"> </w:t>
      </w:r>
      <w:r>
        <w:t xml:space="preserve">Bias of the identified load caused by a zero offset</w:t>
      </w:r>
      <w:r>
        <w:t xml:space="preserve"> </w:t>
      </w:r>
      <m:oMath>
        <m:sSub>
          <m:e>
            <m:r>
              <m:t>ε</m:t>
            </m:r>
          </m:e>
          <m:sub>
            <m:r>
              <m:t>0</m:t>
            </m:r>
          </m:sub>
        </m:sSub>
      </m:oMath>
      <w:r>
        <w:t xml:space="preserve"> </w:t>
      </w:r>
      <w:r>
        <w:t xml:space="preserve">in the laboratory, Eq. (19).</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2780"/>
        <w:gridCol w:w="1246"/>
        <w:gridCol w:w="1054"/>
        <w:gridCol w:w="1495"/>
        <w:gridCol w:w="1246"/>
        <w:gridCol w:w="1246"/>
      </w:tblGrid>
      <w:tr>
        <w:trPr>
          <w:tblHeader w:val="true"/>
        </w:trPr>
        <w:tc>
          <w:tcPr>
            <w:tcW w:type="dxa" w:w="2780"/>
            <w:tcBorders>
              <w:top w:val="nil"/>
              <w:left w:val="nil"/>
              <w:bottom w:val="single" w:sz="6" w:space="0" w:color="000000"/>
              <w:right w:val="nil"/>
            </w:tcBorders>
          </w:tcPr>
          <w:p>
            <w:pPr>
              <w:pStyle w:val="Compact"/>
              <w:jc w:val="left"/>
            </w:pPr>
            <w:r>
              <w:t xml:space="preserve">Configuration</w:t>
            </w:r>
          </w:p>
        </w:tc>
        <w:tc>
          <w:tcPr>
            <w:tcW w:type="dxa" w:w="1246"/>
            <w:tcBorders>
              <w:top w:val="nil"/>
              <w:left w:val="nil"/>
              <w:bottom w:val="single" w:sz="6" w:space="0" w:color="000000"/>
              <w:right w:val="nil"/>
            </w:tcBorders>
          </w:tcPr>
          <w:p>
            <w:pPr>
              <w:pStyle w:val="Compact"/>
              <w:jc w:val="left"/>
            </w:pPr>
            <m:oMath>
              <m:sSub>
                <m:e>
                  <m:r>
                    <m:t>I</m:t>
                  </m:r>
                </m:e>
                <m:sub>
                  <m:r>
                    <m:t>y</m:t>
                  </m:r>
                </m:sub>
              </m:sSub>
            </m:oMath>
            <w:r>
              <w:t xml:space="preserve"> </w:t>
            </w:r>
            <w:r>
              <w:t xml:space="preserve">(mm²)</w:t>
            </w:r>
          </w:p>
        </w:tc>
        <w:tc>
          <w:tcPr>
            <w:tcW w:type="dxa" w:w="1054"/>
            <w:tcBorders>
              <w:top w:val="nil"/>
              <w:left w:val="nil"/>
              <w:bottom w:val="single" w:sz="6" w:space="0" w:color="000000"/>
              <w:right w:val="nil"/>
            </w:tcBorders>
          </w:tcPr>
          <w:p>
            <w:pPr>
              <w:pStyle w:val="Compact"/>
              <w:jc w:val="left"/>
            </w:pPr>
            <m:oMath>
              <m:sSub>
                <m:e>
                  <m:r>
                    <m:t>L</m:t>
                  </m:r>
                </m:e>
                <m:sub>
                  <m:r>
                    <m:rPr>
                      <m:sty m:val="p"/>
                    </m:rPr>
                    <m:t>t</m:t>
                  </m:r>
                  <m:r>
                    <m:rPr>
                      <m:sty m:val="p"/>
                    </m:rPr>
                    <m:t>o</m:t>
                  </m:r>
                  <m:r>
                    <m:rPr>
                      <m:sty m:val="p"/>
                    </m:rPr>
                    <m:t>t</m:t>
                  </m:r>
                </m:sub>
              </m:sSub>
            </m:oMath>
            <w:r>
              <w:t xml:space="preserve"> </w:t>
            </w:r>
            <w:r>
              <w:t xml:space="preserve">(mm)</w:t>
            </w:r>
          </w:p>
        </w:tc>
        <w:tc>
          <w:tcPr>
            <w:tcW w:type="dxa" w:w="1495"/>
            <w:tcBorders>
              <w:top w:val="nil"/>
              <w:left w:val="nil"/>
              <w:bottom w:val="single" w:sz="6" w:space="0" w:color="000000"/>
              <w:right w:val="nil"/>
            </w:tcBorders>
          </w:tcPr>
          <w:p>
            <w:pPr>
              <w:pStyle w:val="Compact"/>
              <w:jc w:val="left"/>
            </w:pPr>
            <m:oMath>
              <m:sSub>
                <m:e>
                  <m:r>
                    <m:t>ε</m:t>
                  </m:r>
                </m:e>
                <m:sub>
                  <m:r>
                    <m:t>0</m:t>
                  </m:r>
                </m:sub>
              </m:sSub>
            </m:oMath>
            <w:r>
              <w:t xml:space="preserve"> </w:t>
            </w:r>
            <w:r>
              <w:t xml:space="preserve">= 0.005 mm</w:t>
            </w:r>
          </w:p>
        </w:tc>
        <w:tc>
          <w:tcPr>
            <w:tcW w:type="dxa" w:w="1246"/>
            <w:tcBorders>
              <w:top w:val="nil"/>
              <w:left w:val="nil"/>
              <w:bottom w:val="single" w:sz="6" w:space="0" w:color="000000"/>
              <w:right w:val="nil"/>
            </w:tcBorders>
          </w:tcPr>
          <w:p>
            <w:pPr>
              <w:pStyle w:val="Compact"/>
              <w:jc w:val="left"/>
            </w:pPr>
            <w:r>
              <w:t xml:space="preserve">0.02 mm</w:t>
            </w:r>
          </w:p>
        </w:tc>
        <w:tc>
          <w:tcPr>
            <w:tcW w:type="dxa" w:w="1246"/>
            <w:tcBorders>
              <w:top w:val="nil"/>
              <w:left w:val="nil"/>
              <w:bottom w:val="single" w:sz="6" w:space="0" w:color="000000"/>
              <w:right w:val="nil"/>
            </w:tcBorders>
          </w:tcPr>
          <w:p>
            <w:pPr>
              <w:pStyle w:val="Compact"/>
              <w:jc w:val="left"/>
            </w:pPr>
            <w:r>
              <w:t xml:space="preserve">0.05 mm</w:t>
            </w:r>
          </w:p>
        </w:tc>
      </w:tr>
      <w:tr>
        <w:tc>
          <w:tcPr>
            <w:tcW w:type="dxa" w:w="2780"/>
          </w:tcPr>
          <w:p>
            <w:pPr>
              <w:pStyle w:val="Compact"/>
              <w:jc w:val="left"/>
            </w:pPr>
            <w:r>
              <w:t xml:space="preserve">Single load</w:t>
            </w:r>
          </w:p>
        </w:tc>
        <w:tc>
          <w:tcPr>
            <w:tcW w:type="dxa" w:w="1246"/>
          </w:tcPr>
          <w:p>
            <w:pPr>
              <w:pStyle w:val="Compact"/>
              <w:jc w:val="left"/>
            </w:pPr>
            <w:r>
              <w:t xml:space="preserve">2513</w:t>
            </w:r>
          </w:p>
        </w:tc>
        <w:tc>
          <w:tcPr>
            <w:tcW w:type="dxa" w:w="1054"/>
          </w:tcPr>
          <w:p>
            <w:pPr>
              <w:pStyle w:val="Compact"/>
              <w:jc w:val="left"/>
            </w:pPr>
            <w:r>
              <w:t xml:space="preserve">5000</w:t>
            </w:r>
          </w:p>
        </w:tc>
        <w:tc>
          <w:tcPr>
            <w:tcW w:type="dxa" w:w="1495"/>
          </w:tcPr>
          <w:p>
            <w:pPr>
              <w:pStyle w:val="Compact"/>
              <w:jc w:val="left"/>
            </w:pPr>
            <w:r>
              <w:t xml:space="preserve">+0.99 %</w:t>
            </w:r>
          </w:p>
        </w:tc>
        <w:tc>
          <w:tcPr>
            <w:tcW w:type="dxa" w:w="1246"/>
          </w:tcPr>
          <w:p>
            <w:pPr>
              <w:pStyle w:val="Compact"/>
              <w:jc w:val="left"/>
            </w:pPr>
            <w:r>
              <w:t xml:space="preserve">+3.98 %</w:t>
            </w:r>
          </w:p>
        </w:tc>
        <w:tc>
          <w:tcPr>
            <w:tcW w:type="dxa" w:w="1246"/>
          </w:tcPr>
          <w:p>
            <w:pPr>
              <w:pStyle w:val="Compact"/>
              <w:jc w:val="left"/>
            </w:pPr>
            <w:r>
              <w:t xml:space="preserve">+9.95 %</w:t>
            </w:r>
          </w:p>
        </w:tc>
      </w:tr>
      <w:tr>
        <w:tc>
          <w:tcPr>
            <w:tcW w:type="dxa" w:w="2780"/>
          </w:tcPr>
          <w:p>
            <w:pPr>
              <w:pStyle w:val="Compact"/>
              <w:jc w:val="left"/>
            </w:pPr>
            <w:r>
              <w:t xml:space="preserve">Two loads</w:t>
            </w:r>
          </w:p>
        </w:tc>
        <w:tc>
          <w:tcPr>
            <w:tcW w:type="dxa" w:w="1246"/>
          </w:tcPr>
          <w:p>
            <w:pPr>
              <w:pStyle w:val="Compact"/>
              <w:jc w:val="left"/>
            </w:pPr>
            <w:r>
              <w:t xml:space="preserve">4168</w:t>
            </w:r>
          </w:p>
        </w:tc>
        <w:tc>
          <w:tcPr>
            <w:tcW w:type="dxa" w:w="1054"/>
          </w:tcPr>
          <w:p>
            <w:pPr>
              <w:pStyle w:val="Compact"/>
              <w:jc w:val="left"/>
            </w:pPr>
            <w:r>
              <w:t xml:space="preserve">5250</w:t>
            </w:r>
          </w:p>
        </w:tc>
        <w:tc>
          <w:tcPr>
            <w:tcW w:type="dxa" w:w="1495"/>
          </w:tcPr>
          <w:p>
            <w:pPr>
              <w:pStyle w:val="Compact"/>
              <w:jc w:val="left"/>
            </w:pPr>
            <w:r>
              <w:t xml:space="preserve">+0.63 %</w:t>
            </w:r>
          </w:p>
        </w:tc>
        <w:tc>
          <w:tcPr>
            <w:tcW w:type="dxa" w:w="1246"/>
          </w:tcPr>
          <w:p>
            <w:pPr>
              <w:pStyle w:val="Compact"/>
              <w:jc w:val="left"/>
            </w:pPr>
            <w:r>
              <w:t xml:space="preserve">+2.52 %</w:t>
            </w:r>
          </w:p>
        </w:tc>
        <w:tc>
          <w:tcPr>
            <w:tcW w:type="dxa" w:w="1246"/>
          </w:tcPr>
          <w:p>
            <w:pPr>
              <w:pStyle w:val="Compact"/>
              <w:jc w:val="left"/>
            </w:pPr>
            <w:r>
              <w:t xml:space="preserve">+6.30 %</w:t>
            </w:r>
          </w:p>
        </w:tc>
      </w:tr>
      <w:tr>
        <w:tc>
          <w:tcPr>
            <w:tcW w:type="dxa" w:w="2780"/>
          </w:tcPr>
          <w:p>
            <w:pPr>
              <w:pStyle w:val="Compact"/>
              <w:jc w:val="left"/>
            </w:pPr>
            <w:r>
              <w:t xml:space="preserve">Three loads</w:t>
            </w:r>
          </w:p>
        </w:tc>
        <w:tc>
          <w:tcPr>
            <w:tcW w:type="dxa" w:w="1246"/>
          </w:tcPr>
          <w:p>
            <w:pPr>
              <w:pStyle w:val="Compact"/>
              <w:jc w:val="left"/>
            </w:pPr>
            <w:r>
              <w:t xml:space="preserve">7789</w:t>
            </w:r>
          </w:p>
        </w:tc>
        <w:tc>
          <w:tcPr>
            <w:tcW w:type="dxa" w:w="1054"/>
          </w:tcPr>
          <w:p>
            <w:pPr>
              <w:pStyle w:val="Compact"/>
              <w:jc w:val="left"/>
            </w:pPr>
            <w:r>
              <w:t xml:space="preserve">5750</w:t>
            </w:r>
          </w:p>
        </w:tc>
        <w:tc>
          <w:tcPr>
            <w:tcW w:type="dxa" w:w="1495"/>
          </w:tcPr>
          <w:p>
            <w:pPr>
              <w:pStyle w:val="Compact"/>
              <w:jc w:val="left"/>
            </w:pPr>
            <w:r>
              <w:t xml:space="preserve">+0.37 %</w:t>
            </w:r>
          </w:p>
        </w:tc>
        <w:tc>
          <w:tcPr>
            <w:tcW w:type="dxa" w:w="1246"/>
          </w:tcPr>
          <w:p>
            <w:pPr>
              <w:pStyle w:val="Compact"/>
              <w:jc w:val="left"/>
            </w:pPr>
            <w:r>
              <w:t xml:space="preserve">+1.48 %</w:t>
            </w:r>
          </w:p>
        </w:tc>
        <w:tc>
          <w:tcPr>
            <w:tcW w:type="dxa" w:w="1246"/>
          </w:tcPr>
          <w:p>
            <w:pPr>
              <w:pStyle w:val="Compact"/>
              <w:jc w:val="left"/>
            </w:pPr>
            <w:r>
              <w:t xml:space="preserve">+3.69 %</w:t>
            </w:r>
          </w:p>
        </w:tc>
      </w:tr>
    </w:tbl>
    <w:p>
      <w:pPr>
        <w:pStyle w:val="BodyText"/>
      </w:pPr>
      <w:r>
        <w:t xml:space="preserve">Table 8 evaluates Eq. (19) at the scale of the Cầu Mây girder, with the constants of Section 4.3 for both calibrations and</w:t>
      </w:r>
      <w:r>
        <w:t xml:space="preserve"> </w:t>
      </w:r>
      <m:oMath>
        <m:sSub>
          <m:e>
            <m:r>
              <m:t>L</m:t>
            </m:r>
          </m:e>
          <m:sub>
            <m:r>
              <m:rPr>
                <m:sty m:val="p"/>
              </m:rPr>
              <m:t>t</m:t>
            </m:r>
            <m:r>
              <m:rPr>
                <m:sty m:val="p"/>
              </m:rPr>
              <m:t>o</m:t>
            </m:r>
            <m:r>
              <m:rPr>
                <m:sty m:val="p"/>
              </m:rPr>
              <m:t>t</m:t>
            </m:r>
          </m:sub>
        </m:sSub>
        <m:r>
          <m:rPr>
            <m:sty m:val="p"/>
          </m:rPr>
          <m:t>=</m:t>
        </m:r>
        <m:r>
          <m:t>200</m:t>
        </m:r>
      </m:oMath>
      <w:r>
        <w:t xml:space="preserve"> </w:t>
      </w:r>
      <w:r>
        <w:t xml:space="preserve">m, the length of the continuous unit. The test truck’s wheelbase of 4.95 m would add 2.5 % to</w:t>
      </w:r>
      <w:r>
        <w:t xml:space="preserve"> </w:t>
      </w:r>
      <m:oMath>
        <m:sSub>
          <m:e>
            <m:r>
              <m:t>L</m:t>
            </m:r>
          </m:e>
          <m:sub>
            <m:r>
              <m:rPr>
                <m:sty m:val="p"/>
              </m:rPr>
              <m:t>t</m:t>
            </m:r>
            <m:r>
              <m:rPr>
                <m:sty m:val="p"/>
              </m:rPr>
              <m:t>o</m:t>
            </m:r>
            <m:r>
              <m:rPr>
                <m:sty m:val="p"/>
              </m:rPr>
              <m:t>t</m:t>
            </m:r>
          </m:sub>
        </m:sSub>
      </m:oMath>
      <w:r>
        <w:t xml:space="preserve"> </w:t>
      </w:r>
      <w:r>
        <w:t xml:space="preserve">and is neglected. At the centre-span gauge a residual offset of 0.05 mm biases a 25.06 t truck, the mean of the weighed test trucks, by 10–11 % under either calibration. At the side-span gauge the bias is 35 % under calibration B and 93 % under calibration A, and SLM does not remove it, because the offset term survives in Eq. (18). The offset values are of LVDT class. Absolute deflection on a long span over water would usually come from a non-contact technique, and the residual offset of that system, after pre/post re-zeroing, has to be established before</w:t>
      </w:r>
      <w:r>
        <w:t xml:space="preserve"> </w:t>
      </w:r>
      <m:oMath>
        <m:sSub>
          <m:e>
            <m:r>
              <m:t>P</m:t>
            </m:r>
          </m:e>
          <m:sub>
            <m:r>
              <m:t>ε</m:t>
            </m:r>
          </m:sub>
        </m:sSub>
      </m:oMath>
      <w:r>
        <w:t xml:space="preserve"> </w:t>
      </w:r>
      <w:r>
        <w:t xml:space="preserve">can be evaluated.</w:t>
      </w:r>
    </w:p>
    <w:p>
      <w:pPr>
        <w:pStyle w:val="BodyText"/>
      </w:pPr>
      <w:r>
        <w:rPr>
          <w:bCs/>
          <w:b/>
        </w:rPr>
        <w:t xml:space="preserve">Table 8.</w:t>
      </w:r>
      <w:r>
        <w:t xml:space="preserve"> </w:t>
      </w:r>
      <w:r>
        <w:t xml:space="preserve">Offset-equivalent load</w:t>
      </w:r>
      <w:r>
        <w:t xml:space="preserve"> </w:t>
      </w:r>
      <m:oMath>
        <m:sSub>
          <m:e>
            <m:r>
              <m:t>P</m:t>
            </m:r>
          </m:e>
          <m:sub>
            <m:r>
              <m:t>ε</m:t>
            </m:r>
          </m:sub>
        </m:sSub>
      </m:oMath>
      <w:r>
        <w:t xml:space="preserve">, Eq. (19), and bias for the mean weighed test truck, 25.06 t (245.8 kN), at the Cầu Mây gauges;</w:t>
      </w:r>
      <w:r>
        <w:t xml:space="preserve"> </w:t>
      </w:r>
      <m:oMath>
        <m:sSub>
          <m:e>
            <m:r>
              <m:t>L</m:t>
            </m:r>
          </m:e>
          <m:sub>
            <m:r>
              <m:rPr>
                <m:sty m:val="p"/>
              </m:rPr>
              <m:t>t</m:t>
            </m:r>
            <m:r>
              <m:rPr>
                <m:sty m:val="p"/>
              </m:rPr>
              <m:t>o</m:t>
            </m:r>
            <m:r>
              <m:rPr>
                <m:sty m:val="p"/>
              </m:rPr>
              <m:t>t</m:t>
            </m:r>
          </m:sub>
        </m:sSub>
        <m:r>
          <m:rPr>
            <m:sty m:val="p"/>
          </m:rPr>
          <m:t>=</m:t>
        </m:r>
        <m:r>
          <m:t>200</m:t>
        </m:r>
      </m:oMath>
      <w:r>
        <w:t xml:space="preserve"> </w:t>
      </w:r>
      <w:r>
        <w:t xml:space="preserve">m.</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863"/>
        <w:gridCol w:w="1659"/>
        <w:gridCol w:w="1128"/>
        <w:gridCol w:w="1673"/>
        <w:gridCol w:w="1673"/>
        <w:gridCol w:w="1035"/>
        <w:gridCol w:w="1035"/>
      </w:tblGrid>
      <w:tr>
        <w:trPr>
          <w:tblHeader w:val="true"/>
        </w:trPr>
        <w:tc>
          <w:tcPr>
            <w:tcW w:type="dxa" w:w="863"/>
            <w:tcBorders>
              <w:top w:val="nil"/>
              <w:left w:val="nil"/>
              <w:bottom w:val="single" w:sz="6" w:space="0" w:color="000000"/>
              <w:right w:val="nil"/>
            </w:tcBorders>
          </w:tcPr>
          <w:p>
            <w:pPr>
              <w:pStyle w:val="Compact"/>
              <w:jc w:val="left"/>
            </w:pPr>
            <w:r>
              <w:t xml:space="preserve">Gauge</w:t>
            </w:r>
          </w:p>
        </w:tc>
        <w:tc>
          <w:tcPr>
            <w:tcW w:type="dxa" w:w="1659"/>
            <w:tcBorders>
              <w:top w:val="nil"/>
              <w:left w:val="nil"/>
              <w:bottom w:val="single" w:sz="6" w:space="0" w:color="000000"/>
              <w:right w:val="nil"/>
            </w:tcBorders>
          </w:tcPr>
          <w:p>
            <w:pPr>
              <w:pStyle w:val="Compact"/>
              <w:jc w:val="left"/>
            </w:pPr>
            <w:r>
              <w:t xml:space="preserve">Calibration</w:t>
            </w:r>
          </w:p>
        </w:tc>
        <w:tc>
          <w:tcPr>
            <w:tcW w:type="dxa" w:w="1128"/>
            <w:tcBorders>
              <w:top w:val="nil"/>
              <w:left w:val="nil"/>
              <w:bottom w:val="single" w:sz="6" w:space="0" w:color="000000"/>
              <w:right w:val="nil"/>
            </w:tcBorders>
          </w:tcPr>
          <w:p>
            <w:pPr>
              <w:pStyle w:val="Compact"/>
              <w:jc w:val="left"/>
            </w:pPr>
            <m:oMath>
              <m:sSub>
                <m:e>
                  <m:r>
                    <m:t>C</m:t>
                  </m:r>
                </m:e>
                <m:sub>
                  <m:r>
                    <m:t>m</m:t>
                  </m:r>
                </m:sub>
              </m:sSub>
            </m:oMath>
            <w:r>
              <w:t xml:space="preserve"> </w:t>
            </w:r>
            <w:r>
              <w:t xml:space="preserve">(m²/kN)</w:t>
            </w:r>
          </w:p>
        </w:tc>
        <w:tc>
          <w:tcPr>
            <w:tcW w:type="dxa" w:w="1673"/>
            <w:tcBorders>
              <w:top w:val="nil"/>
              <w:left w:val="nil"/>
              <w:bottom w:val="single" w:sz="6" w:space="0" w:color="000000"/>
              <w:right w:val="nil"/>
            </w:tcBorders>
          </w:tcPr>
          <w:p>
            <w:pPr>
              <w:pStyle w:val="Compact"/>
              <w:jc w:val="left"/>
            </w:pPr>
            <m:oMath>
              <m:sSub>
                <m:e>
                  <m:r>
                    <m:t>P</m:t>
                  </m:r>
                </m:e>
                <m:sub>
                  <m:r>
                    <m:t>ε</m:t>
                  </m:r>
                </m:sub>
              </m:sSub>
            </m:oMath>
            <w:r>
              <w:t xml:space="preserve">,</w:t>
            </w:r>
            <w:r>
              <w:t xml:space="preserve"> </w:t>
            </w:r>
            <m:oMath>
              <m:sSub>
                <m:e>
                  <m:r>
                    <m:t>ε</m:t>
                  </m:r>
                </m:e>
                <m:sub>
                  <m:r>
                    <m:t>0</m:t>
                  </m:r>
                </m:sub>
              </m:sSub>
            </m:oMath>
            <w:r>
              <w:t xml:space="preserve"> </w:t>
            </w:r>
            <w:r>
              <w:t xml:space="preserve">= 0.02 mm (kN)</w:t>
            </w:r>
          </w:p>
        </w:tc>
        <w:tc>
          <w:tcPr>
            <w:tcW w:type="dxa" w:w="1673"/>
            <w:tcBorders>
              <w:top w:val="nil"/>
              <w:left w:val="nil"/>
              <w:bottom w:val="single" w:sz="6" w:space="0" w:color="000000"/>
              <w:right w:val="nil"/>
            </w:tcBorders>
          </w:tcPr>
          <w:p>
            <w:pPr>
              <w:pStyle w:val="Compact"/>
              <w:jc w:val="left"/>
            </w:pPr>
            <m:oMath>
              <m:sSub>
                <m:e>
                  <m:r>
                    <m:t>P</m:t>
                  </m:r>
                </m:e>
                <m:sub>
                  <m:r>
                    <m:t>ε</m:t>
                  </m:r>
                </m:sub>
              </m:sSub>
            </m:oMath>
            <w:r>
              <w:t xml:space="preserve">,</w:t>
            </w:r>
            <w:r>
              <w:t xml:space="preserve"> </w:t>
            </w:r>
            <m:oMath>
              <m:sSub>
                <m:e>
                  <m:r>
                    <m:t>ε</m:t>
                  </m:r>
                </m:e>
                <m:sub>
                  <m:r>
                    <m:t>0</m:t>
                  </m:r>
                </m:sub>
              </m:sSub>
            </m:oMath>
            <w:r>
              <w:t xml:space="preserve"> </w:t>
            </w:r>
            <w:r>
              <w:t xml:space="preserve">= 0.05 mm (kN)</w:t>
            </w:r>
          </w:p>
        </w:tc>
        <w:tc>
          <w:tcPr>
            <w:tcW w:type="dxa" w:w="1035"/>
            <w:tcBorders>
              <w:top w:val="nil"/>
              <w:left w:val="nil"/>
              <w:bottom w:val="single" w:sz="6" w:space="0" w:color="000000"/>
              <w:right w:val="nil"/>
            </w:tcBorders>
          </w:tcPr>
          <w:p>
            <w:pPr>
              <w:pStyle w:val="Compact"/>
              <w:jc w:val="left"/>
            </w:pPr>
            <w:r>
              <w:t xml:space="preserve">Bias, 0.02 mm</w:t>
            </w:r>
          </w:p>
        </w:tc>
        <w:tc>
          <w:tcPr>
            <w:tcW w:type="dxa" w:w="1035"/>
            <w:tcBorders>
              <w:top w:val="nil"/>
              <w:left w:val="nil"/>
              <w:bottom w:val="single" w:sz="6" w:space="0" w:color="000000"/>
              <w:right w:val="nil"/>
            </w:tcBorders>
          </w:tcPr>
          <w:p>
            <w:pPr>
              <w:pStyle w:val="Compact"/>
              <w:jc w:val="left"/>
            </w:pPr>
            <w:r>
              <w:t xml:space="preserve">Bias, 0.05 mm</w:t>
            </w:r>
          </w:p>
        </w:tc>
      </w:tr>
      <w:tr>
        <w:tc>
          <w:tcPr>
            <w:tcW w:type="dxa" w:w="863"/>
          </w:tcPr>
          <w:p>
            <w:pPr>
              <w:pStyle w:val="Compact"/>
              <w:jc w:val="left"/>
            </w:pPr>
            <w:r>
              <w:t xml:space="preserve">N8, 0.4L</w:t>
            </w:r>
          </w:p>
        </w:tc>
        <w:tc>
          <w:tcPr>
            <w:tcW w:type="dxa" w:w="1659"/>
          </w:tcPr>
          <w:p>
            <w:pPr>
              <w:pStyle w:val="Compact"/>
              <w:jc w:val="left"/>
            </w:pPr>
            <w:r>
              <w:t xml:space="preserve">A</w:t>
            </w:r>
          </w:p>
        </w:tc>
        <w:tc>
          <w:tcPr>
            <w:tcW w:type="dxa" w:w="1128"/>
          </w:tcPr>
          <w:p>
            <w:pPr>
              <w:pStyle w:val="Compact"/>
              <w:jc w:val="left"/>
            </w:pPr>
            <w:r>
              <w:t xml:space="preserve">4.38 × 10⁻⁵</w:t>
            </w:r>
          </w:p>
        </w:tc>
        <w:tc>
          <w:tcPr>
            <w:tcW w:type="dxa" w:w="1673"/>
          </w:tcPr>
          <w:p>
            <w:pPr>
              <w:pStyle w:val="Compact"/>
              <w:jc w:val="left"/>
            </w:pPr>
            <w:r>
              <w:t xml:space="preserve">91.4</w:t>
            </w:r>
          </w:p>
        </w:tc>
        <w:tc>
          <w:tcPr>
            <w:tcW w:type="dxa" w:w="1673"/>
          </w:tcPr>
          <w:p>
            <w:pPr>
              <w:pStyle w:val="Compact"/>
              <w:jc w:val="left"/>
            </w:pPr>
            <w:r>
              <w:t xml:space="preserve">228.5</w:t>
            </w:r>
          </w:p>
        </w:tc>
        <w:tc>
          <w:tcPr>
            <w:tcW w:type="dxa" w:w="1035"/>
          </w:tcPr>
          <w:p>
            <w:pPr>
              <w:pStyle w:val="Compact"/>
              <w:jc w:val="left"/>
            </w:pPr>
            <w:r>
              <w:t xml:space="preserve">37 %</w:t>
            </w:r>
          </w:p>
        </w:tc>
        <w:tc>
          <w:tcPr>
            <w:tcW w:type="dxa" w:w="1035"/>
          </w:tcPr>
          <w:p>
            <w:pPr>
              <w:pStyle w:val="Compact"/>
              <w:jc w:val="left"/>
            </w:pPr>
            <w:r>
              <w:t xml:space="preserve">93 %</w:t>
            </w:r>
          </w:p>
        </w:tc>
      </w:tr>
      <w:tr>
        <w:tc>
          <w:tcPr>
            <w:tcW w:type="dxa" w:w="863"/>
          </w:tcPr>
          <w:p>
            <w:pPr>
              <w:pStyle w:val="Compact"/>
              <w:jc w:val="left"/>
            </w:pPr>
            <w:r>
              <w:t xml:space="preserve">N8, 0.4L</w:t>
            </w:r>
          </w:p>
        </w:tc>
        <w:tc>
          <w:tcPr>
            <w:tcW w:type="dxa" w:w="1659"/>
          </w:tcPr>
          <w:p>
            <w:pPr>
              <w:pStyle w:val="Compact"/>
              <w:jc w:val="left"/>
            </w:pPr>
            <w:r>
              <w:t xml:space="preserve">B</w:t>
            </w:r>
          </w:p>
        </w:tc>
        <w:tc>
          <w:tcPr>
            <w:tcW w:type="dxa" w:w="1128"/>
          </w:tcPr>
          <w:p>
            <w:pPr>
              <w:pStyle w:val="Compact"/>
              <w:jc w:val="left"/>
            </w:pPr>
            <w:r>
              <w:t xml:space="preserve">1.15 × 10⁻⁴</w:t>
            </w:r>
          </w:p>
        </w:tc>
        <w:tc>
          <w:tcPr>
            <w:tcW w:type="dxa" w:w="1673"/>
          </w:tcPr>
          <w:p>
            <w:pPr>
              <w:pStyle w:val="Compact"/>
              <w:jc w:val="left"/>
            </w:pPr>
            <w:r>
              <w:t xml:space="preserve">34.9</w:t>
            </w:r>
          </w:p>
        </w:tc>
        <w:tc>
          <w:tcPr>
            <w:tcW w:type="dxa" w:w="1673"/>
          </w:tcPr>
          <w:p>
            <w:pPr>
              <w:pStyle w:val="Compact"/>
              <w:jc w:val="left"/>
            </w:pPr>
            <w:r>
              <w:t xml:space="preserve">87.2</w:t>
            </w:r>
          </w:p>
        </w:tc>
        <w:tc>
          <w:tcPr>
            <w:tcW w:type="dxa" w:w="1035"/>
          </w:tcPr>
          <w:p>
            <w:pPr>
              <w:pStyle w:val="Compact"/>
              <w:jc w:val="left"/>
            </w:pPr>
            <w:r>
              <w:t xml:space="preserve">14 %</w:t>
            </w:r>
          </w:p>
        </w:tc>
        <w:tc>
          <w:tcPr>
            <w:tcW w:type="dxa" w:w="1035"/>
          </w:tcPr>
          <w:p>
            <w:pPr>
              <w:pStyle w:val="Compact"/>
              <w:jc w:val="left"/>
            </w:pPr>
            <w:r>
              <w:t xml:space="preserve">35 %</w:t>
            </w:r>
          </w:p>
        </w:tc>
      </w:tr>
      <w:tr>
        <w:tc>
          <w:tcPr>
            <w:tcW w:type="dxa" w:w="863"/>
          </w:tcPr>
          <w:p>
            <w:pPr>
              <w:pStyle w:val="Compact"/>
              <w:jc w:val="left"/>
            </w:pPr>
            <w:r>
              <w:t xml:space="preserve">N7, mid</w:t>
            </w:r>
          </w:p>
        </w:tc>
        <w:tc>
          <w:tcPr>
            <w:tcW w:type="dxa" w:w="1659"/>
          </w:tcPr>
          <w:p>
            <w:pPr>
              <w:pStyle w:val="Compact"/>
              <w:jc w:val="left"/>
            </w:pPr>
            <w:r>
              <w:t xml:space="preserve">A</w:t>
            </w:r>
          </w:p>
        </w:tc>
        <w:tc>
          <w:tcPr>
            <w:tcW w:type="dxa" w:w="1128"/>
          </w:tcPr>
          <w:p>
            <w:pPr>
              <w:pStyle w:val="Compact"/>
              <w:jc w:val="left"/>
            </w:pPr>
            <w:r>
              <w:t xml:space="preserve">3.61 × 10⁻⁴</w:t>
            </w:r>
          </w:p>
        </w:tc>
        <w:tc>
          <w:tcPr>
            <w:tcW w:type="dxa" w:w="1673"/>
          </w:tcPr>
          <w:p>
            <w:pPr>
              <w:pStyle w:val="Compact"/>
              <w:jc w:val="left"/>
            </w:pPr>
            <w:r>
              <w:t xml:space="preserve">11.1</w:t>
            </w:r>
          </w:p>
        </w:tc>
        <w:tc>
          <w:tcPr>
            <w:tcW w:type="dxa" w:w="1673"/>
          </w:tcPr>
          <w:p>
            <w:pPr>
              <w:pStyle w:val="Compact"/>
              <w:jc w:val="left"/>
            </w:pPr>
            <w:r>
              <w:t xml:space="preserve">27.7</w:t>
            </w:r>
          </w:p>
        </w:tc>
        <w:tc>
          <w:tcPr>
            <w:tcW w:type="dxa" w:w="1035"/>
          </w:tcPr>
          <w:p>
            <w:pPr>
              <w:pStyle w:val="Compact"/>
              <w:jc w:val="left"/>
            </w:pPr>
            <w:r>
              <w:t xml:space="preserve">4.5 %</w:t>
            </w:r>
          </w:p>
        </w:tc>
        <w:tc>
          <w:tcPr>
            <w:tcW w:type="dxa" w:w="1035"/>
          </w:tcPr>
          <w:p>
            <w:pPr>
              <w:pStyle w:val="Compact"/>
              <w:jc w:val="left"/>
            </w:pPr>
            <w:r>
              <w:t xml:space="preserve">11 %</w:t>
            </w:r>
          </w:p>
        </w:tc>
      </w:tr>
      <w:tr>
        <w:tc>
          <w:tcPr>
            <w:tcW w:type="dxa" w:w="863"/>
          </w:tcPr>
          <w:p>
            <w:pPr>
              <w:pStyle w:val="Compact"/>
              <w:jc w:val="left"/>
            </w:pPr>
            <w:r>
              <w:t xml:space="preserve">N7, mid</w:t>
            </w:r>
          </w:p>
        </w:tc>
        <w:tc>
          <w:tcPr>
            <w:tcW w:type="dxa" w:w="1659"/>
          </w:tcPr>
          <w:p>
            <w:pPr>
              <w:pStyle w:val="Compact"/>
              <w:jc w:val="left"/>
            </w:pPr>
            <w:r>
              <w:t xml:space="preserve">B</w:t>
            </w:r>
          </w:p>
        </w:tc>
        <w:tc>
          <w:tcPr>
            <w:tcW w:type="dxa" w:w="1128"/>
          </w:tcPr>
          <w:p>
            <w:pPr>
              <w:pStyle w:val="Compact"/>
              <w:jc w:val="left"/>
            </w:pPr>
            <w:r>
              <w:t xml:space="preserve">4.05 × 10⁻⁴</w:t>
            </w:r>
          </w:p>
        </w:tc>
        <w:tc>
          <w:tcPr>
            <w:tcW w:type="dxa" w:w="1673"/>
          </w:tcPr>
          <w:p>
            <w:pPr>
              <w:pStyle w:val="Compact"/>
              <w:jc w:val="left"/>
            </w:pPr>
            <w:r>
              <w:t xml:space="preserve">9.9</w:t>
            </w:r>
          </w:p>
        </w:tc>
        <w:tc>
          <w:tcPr>
            <w:tcW w:type="dxa" w:w="1673"/>
          </w:tcPr>
          <w:p>
            <w:pPr>
              <w:pStyle w:val="Compact"/>
              <w:jc w:val="left"/>
            </w:pPr>
            <w:r>
              <w:t xml:space="preserve">24.7</w:t>
            </w:r>
          </w:p>
        </w:tc>
        <w:tc>
          <w:tcPr>
            <w:tcW w:type="dxa" w:w="1035"/>
          </w:tcPr>
          <w:p>
            <w:pPr>
              <w:pStyle w:val="Compact"/>
              <w:jc w:val="left"/>
            </w:pPr>
            <w:r>
              <w:t xml:space="preserve">4.0 %</w:t>
            </w:r>
          </w:p>
        </w:tc>
        <w:tc>
          <w:tcPr>
            <w:tcW w:type="dxa" w:w="1035"/>
          </w:tcPr>
          <w:p>
            <w:pPr>
              <w:pStyle w:val="Compact"/>
              <w:jc w:val="left"/>
            </w:pPr>
            <w:r>
              <w:t xml:space="preserve">10 %</w:t>
            </w:r>
          </w:p>
        </w:tc>
      </w:tr>
    </w:tbl>
    <w:bookmarkEnd w:id="39"/>
    <w:bookmarkStart w:id="40" w:name="random-noise-and-the-slm-reference"/>
    <w:p>
      <w:pPr>
        <w:pStyle w:val="Heading3"/>
      </w:pPr>
      <w:r>
        <w:t xml:space="preserve">6.3. Random noise and the SLM reference</w:t>
      </w:r>
    </w:p>
    <w:p>
      <w:pPr>
        <w:pStyle w:val="FirstParagraph"/>
      </w:pPr>
      <w:r>
        <w:t xml:space="preserve">A Monte Carlo study with 200 000 realisations per case (Appendix B) gives two results. Random noise is negligible: with</w:t>
      </w:r>
      <w:r>
        <w:t xml:space="preserve"> </w:t>
      </w:r>
      <m:oMath>
        <m:sSub>
          <m:e>
            <m:r>
              <m:t>σ</m:t>
            </m:r>
          </m:e>
          <m:sub>
            <m:r>
              <m:t>a</m:t>
            </m:r>
          </m:sub>
        </m:sSub>
      </m:oMath>
      <w:r>
        <w:t xml:space="preserve"> </w:t>
      </w:r>
      <w:r>
        <w:t xml:space="preserve">equal to half the resolution, the standard deviation of the identified load is 0.07 %, because integration averages independent perturbations. SLM cancels common-mode error but not independent error. For independent perturbations of the two integrals the relative variances add, and under equal relative standard deviations Eq. (20) holds:</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f>
                  <m:fPr>
                    <m:type m:val="bar"/>
                  </m:fPr>
                  <m:num>
                    <m:sSub>
                      <m:e>
                        <m:r>
                          <m:t>σ</m:t>
                        </m:r>
                      </m:e>
                      <m:sub>
                        <m:r>
                          <m:t>P</m:t>
                        </m:r>
                        <m:r>
                          <m:rPr>
                            <m:sty m:val="p"/>
                          </m:rPr>
                          <m:t>,</m:t>
                        </m:r>
                        <m:r>
                          <m:rPr>
                            <m:sty m:val="p"/>
                          </m:rPr>
                          <m:t>S</m:t>
                        </m:r>
                        <m:r>
                          <m:rPr>
                            <m:sty m:val="p"/>
                          </m:rPr>
                          <m:t>L</m:t>
                        </m:r>
                        <m:r>
                          <m:rPr>
                            <m:sty m:val="p"/>
                          </m:rPr>
                          <m:t>M</m:t>
                        </m:r>
                      </m:sub>
                    </m:sSub>
                  </m:num>
                  <m:den>
                    <m:r>
                      <m:t>P</m:t>
                    </m:r>
                  </m:den>
                </m:f>
                <m:r>
                  <m:rPr>
                    <m:sty m:val="p"/>
                  </m:rPr>
                  <m:t>=</m:t>
                </m:r>
                <m:sSub>
                  <m:e>
                    <m:r>
                      <m:t>σ</m:t>
                    </m:r>
                  </m:e>
                  <m:sub>
                    <m:r>
                      <m:t>r</m:t>
                    </m:r>
                  </m:sub>
                </m:sSub>
                <m:rad>
                  <m:radPr>
                    <m:degHide m:val="on"/>
                  </m:radPr>
                  <m:deg/>
                  <m:e>
                    <m:r>
                      <m:t>1</m:t>
                    </m:r>
                    <m:r>
                      <m:rPr>
                        <m:sty m:val="p"/>
                      </m:rPr>
                      <m:t>+</m:t>
                    </m:r>
                    <m:f>
                      <m:fPr>
                        <m:type m:val="bar"/>
                      </m:fPr>
                      <m:num>
                        <m:r>
                          <m:t>1</m:t>
                        </m:r>
                      </m:num>
                      <m:den>
                        <m:sSub>
                          <m:e>
                            <m:r>
                              <m:t>N</m:t>
                            </m:r>
                          </m:e>
                          <m:sub>
                            <m:r>
                              <m:rPr>
                                <m:sty m:val="p"/>
                              </m:rPr>
                              <m:t>r</m:t>
                            </m:r>
                            <m:r>
                              <m:rPr>
                                <m:sty m:val="p"/>
                              </m:rPr>
                              <m:t>e</m:t>
                            </m:r>
                            <m:r>
                              <m:rPr>
                                <m:sty m:val="p"/>
                              </m:rPr>
                              <m:t>p</m:t>
                            </m:r>
                          </m:sub>
                        </m:sSub>
                      </m:den>
                    </m:f>
                  </m:e>
                </m:rad>
                <m:r>
                  <m:rPr>
                    <m:sty m:val="p"/>
                  </m:rPr>
                  <m:t>,</m:t>
                </m:r>
              </m:oMath>
            </m:oMathPara>
          </w:p>
        </w:tc>
        <w:tc>
          <w:tcPr>
            <w:tcW w:type="dxa" w:w="1088"/>
            <w:vAlign w:val="center"/>
          </w:tcPr>
          <w:p>
            <w:pPr>
              <w:jc w:val="right"/>
            </w:pPr>
            <w:r>
              <w:t xml:space="preserve">(20)</w:t>
            </w:r>
          </w:p>
        </w:tc>
      </w:tr>
    </w:tbl>
    <w:p>
      <w:pPr>
        <w:pStyle w:val="BodyText"/>
      </w:pPr>
      <w:r>
        <w:t xml:space="preserve">where</w:t>
      </w:r>
      <w:r>
        <w:t xml:space="preserve"> </w:t>
      </w:r>
      <m:oMath>
        <m:sSub>
          <m:e>
            <m:r>
              <m:t>N</m:t>
            </m:r>
          </m:e>
          <m:sub>
            <m:r>
              <m:rPr>
                <m:sty m:val="p"/>
              </m:rPr>
              <m:t>r</m:t>
            </m:r>
            <m:r>
              <m:rPr>
                <m:sty m:val="p"/>
              </m:rPr>
              <m:t>e</m:t>
            </m:r>
            <m:r>
              <m:rPr>
                <m:sty m:val="p"/>
              </m:rPr>
              <m:t>p</m:t>
            </m:r>
          </m:sub>
        </m:sSub>
      </m:oMath>
      <w:r>
        <w:t xml:space="preserve"> </w:t>
      </w:r>
      <w:r>
        <w:t xml:space="preserve">is the number of averaged reference crossings. In the present tests the reference integral is only 60 % of the two-load one, and the observed factor is 1.47 rather than the</w:t>
      </w:r>
      <w:r>
        <w:t xml:space="preserve"> </w:t>
      </w:r>
      <m:oMath>
        <m:rad>
          <m:radPr>
            <m:degHide m:val="on"/>
          </m:radPr>
          <m:deg/>
          <m:e>
            <m:r>
              <m:t>2</m:t>
            </m:r>
          </m:e>
        </m:rad>
      </m:oMath>
      <w:r>
        <w:t xml:space="preserve"> </w:t>
      </w:r>
      <w:r>
        <w:t xml:space="preserve">of Eq. (20) with</w:t>
      </w:r>
      <w:r>
        <w:t xml:space="preserve"> </w:t>
      </w:r>
      <m:oMath>
        <m:sSub>
          <m:e>
            <m:r>
              <m:t>N</m:t>
            </m:r>
          </m:e>
          <m:sub>
            <m:r>
              <m:rPr>
                <m:sty m:val="p"/>
              </m:rPr>
              <m:t>r</m:t>
            </m:r>
            <m:r>
              <m:rPr>
                <m:sty m:val="p"/>
              </m:rPr>
              <m:t>e</m:t>
            </m:r>
            <m:r>
              <m:rPr>
                <m:sty m:val="p"/>
              </m:rPr>
              <m:t>p</m:t>
            </m:r>
          </m:sub>
        </m:sSub>
        <m:r>
          <m:rPr>
            <m:sty m:val="p"/>
          </m:rPr>
          <m:t>=</m:t>
        </m:r>
        <m:r>
          <m:t>1</m:t>
        </m:r>
      </m:oMath>
      <w:r>
        <w:t xml:space="preserve">: the standard deviation under the combined model rises from 2.11 % with an averaged reference to 3.09 % with a single one, while BPM stays at 2.12 %. Averaging five or more reference crossings with a reference load comparable to the screened vehicles makes SLM better than BPM in bias and equal in scatter.</w:t>
      </w:r>
    </w:p>
    <w:bookmarkEnd w:id="40"/>
    <w:bookmarkStart w:id="41" w:name="traverse-speed"/>
    <w:p>
      <w:pPr>
        <w:pStyle w:val="Heading3"/>
      </w:pPr>
      <w:r>
        <w:t xml:space="preserve">6.4. Traverse speed</w:t>
      </w:r>
    </w:p>
    <w:p>
      <w:pPr>
        <w:pStyle w:val="FirstParagraph"/>
      </w:pPr>
      <w:r>
        <w:t xml:space="preserve">Eq. (2) is an integral over space, whereas a monitoring system records time. For a constant speed,</w:t>
      </w:r>
      <w:r>
        <w:t xml:space="preserve"> </w:t>
      </w:r>
      <m:oMath>
        <m:sSub>
          <m:e>
            <m:r>
              <m:t>I</m:t>
            </m:r>
          </m:e>
          <m:sub>
            <m:r>
              <m:t>y</m:t>
            </m:r>
          </m:sub>
        </m:sSub>
        <m:r>
          <m:rPr>
            <m:sty m:val="p"/>
          </m:rPr>
          <m:t>=</m:t>
        </m:r>
        <m:r>
          <m:t>v</m:t>
        </m:r>
        <m:sSub>
          <m:e>
            <m:r>
              <m:t>I</m:t>
            </m:r>
          </m:e>
          <m:sub>
            <m:r>
              <m:t>t</m:t>
            </m:r>
          </m:sub>
        </m:sSub>
      </m:oMath>
      <w:r>
        <w:t xml:space="preserve"> </w:t>
      </w:r>
      <w:r>
        <w:t xml:space="preserve">with</w:t>
      </w:r>
      <w:r>
        <w:t xml:space="preserve"> </w:t>
      </w:r>
      <m:oMath>
        <m:sSub>
          <m:e>
            <m:r>
              <m:t>I</m:t>
            </m:r>
          </m:e>
          <m:sub>
            <m:r>
              <m:t>t</m:t>
            </m:r>
          </m:sub>
        </m:sSub>
        <m:r>
          <m:rPr>
            <m:sty m:val="p"/>
          </m:rPr>
          <m:t>=</m:t>
        </m:r>
        <m:r>
          <m:rPr>
            <m:sty m:val="p"/>
          </m:rPr>
          <m:t>∫</m:t>
        </m:r>
        <m:sSub>
          <m:e>
            <m:r>
              <m:t>y</m:t>
            </m:r>
          </m:e>
          <m:sub>
            <m:r>
              <m:t>m</m:t>
            </m:r>
          </m:sub>
        </m:sSub>
        <m:r>
          <m:t> </m:t>
        </m:r>
        <m:r>
          <m:rPr>
            <m:sty m:val="p"/>
          </m:rPr>
          <m:t>d</m:t>
        </m:r>
        <m:r>
          <m:t>t</m:t>
        </m:r>
      </m:oMath>
      <w:r>
        <w:t xml:space="preserve">, so the relative speed error enters the load one-for-one. This term is absent from the static laboratory tests and is likely to be the largest single field contributor. For a single axle on a two-span beam, the influence line vanishes at</w:t>
      </w:r>
      <w:r>
        <w:t xml:space="preserve"> </w:t>
      </w:r>
      <m:oMath>
        <m:r>
          <m:t>x</m:t>
        </m:r>
        <m:r>
          <m:rPr>
            <m:sty m:val="p"/>
          </m:rPr>
          <m:t>=</m:t>
        </m:r>
        <m:r>
          <m:t>l</m:t>
        </m:r>
      </m:oMath>
      <w:r>
        <w:t xml:space="preserve"> </w:t>
      </w:r>
      <w:r>
        <w:t xml:space="preserve">and</w:t>
      </w:r>
      <w:r>
        <w:t xml:space="preserve"> </w:t>
      </w:r>
      <m:oMath>
        <m:r>
          <m:t>x</m:t>
        </m:r>
        <m:r>
          <m:rPr>
            <m:sty m:val="p"/>
          </m:rPr>
          <m:t>=</m:t>
        </m:r>
        <m:r>
          <m:t>2</m:t>
        </m:r>
        <m:r>
          <m:t>l</m:t>
        </m:r>
      </m:oMath>
      <w:r>
        <w:t xml:space="preserve">, so the interval between these two zero crossings gives</w:t>
      </w:r>
      <w:r>
        <w:t xml:space="preserve"> </w:t>
      </w:r>
      <m:oMath>
        <m:r>
          <m:t>v</m:t>
        </m:r>
        <m:r>
          <m:rPr>
            <m:sty m:val="p"/>
          </m:rPr>
          <m:t>=</m:t>
        </m:r>
        <m:r>
          <m:t>l</m:t>
        </m:r>
        <m:r>
          <m:rPr>
            <m:sty m:val="p"/>
          </m:rPr>
          <m:t>/</m:t>
        </m:r>
        <m:d>
          <m:dPr>
            <m:begChr m:val="("/>
            <m:endChr m:val=")"/>
            <m:sepChr m:val=""/>
            <m:grow/>
          </m:dPr>
          <m:e>
            <m:sSub>
              <m:e>
                <m:r>
                  <m:t>t</m:t>
                </m:r>
              </m:e>
              <m:sub>
                <m:r>
                  <m:t>2</m:t>
                </m:r>
              </m:sub>
            </m:sSub>
            <m:r>
              <m:rPr>
                <m:sty m:val="p"/>
              </m:rPr>
              <m:t>−</m:t>
            </m:r>
            <m:sSub>
              <m:e>
                <m:r>
                  <m:t>t</m:t>
                </m:r>
              </m:e>
              <m:sub>
                <m:r>
                  <m:t>1</m:t>
                </m:r>
              </m:sub>
            </m:sSub>
          </m:e>
        </m:d>
      </m:oMath>
      <w:r>
        <w:t xml:space="preserve">. We propose, without having tested it, to use this interior zero crossing for speed calibration: it is a clean sign change, whereas entry and exit are defined by a signal emerging from the noise floor, and a simply supported span has no interior zero. Using entry and exit instead, the distance is</w:t>
      </w:r>
      <w:r>
        <w:t xml:space="preserve"> </w:t>
      </w:r>
      <m:oMath>
        <m:r>
          <m:t>2</m:t>
        </m:r>
        <m:r>
          <m:t>l</m:t>
        </m:r>
      </m:oMath>
      <w:r>
        <w:t xml:space="preserve"> </w:t>
      </w:r>
      <w:r>
        <w:t xml:space="preserve">and</w:t>
      </w:r>
      <w:r>
        <w:t xml:space="preserve"> </w:t>
      </w:r>
      <m:oMath>
        <m:r>
          <m:t>v</m:t>
        </m:r>
        <m:r>
          <m:rPr>
            <m:sty m:val="p"/>
          </m:rPr>
          <m:t>=</m:t>
        </m:r>
        <m:r>
          <m:t>2</m:t>
        </m:r>
        <m:r>
          <m:t>l</m:t>
        </m:r>
        <m:r>
          <m:rPr>
            <m:sty m:val="p"/>
          </m:rPr>
          <m:t>/</m:t>
        </m:r>
        <m:d>
          <m:dPr>
            <m:begChr m:val="("/>
            <m:endChr m:val=")"/>
            <m:sepChr m:val=""/>
            <m:grow/>
          </m:dPr>
          <m:e>
            <m:sSub>
              <m:e>
                <m:r>
                  <m:t>t</m:t>
                </m:r>
              </m:e>
              <m:sub>
                <m:r>
                  <m:rPr>
                    <m:sty m:val="p"/>
                  </m:rPr>
                  <m:t>o</m:t>
                </m:r>
                <m:r>
                  <m:rPr>
                    <m:sty m:val="p"/>
                  </m:rPr>
                  <m:t>u</m:t>
                </m:r>
                <m:r>
                  <m:rPr>
                    <m:sty m:val="p"/>
                  </m:rPr>
                  <m:t>t</m:t>
                </m:r>
              </m:sub>
            </m:sSub>
            <m:r>
              <m:rPr>
                <m:sty m:val="p"/>
              </m:rPr>
              <m:t>−</m:t>
            </m:r>
            <m:sSub>
              <m:e>
                <m:r>
                  <m:t>t</m:t>
                </m:r>
              </m:e>
              <m:sub>
                <m:r>
                  <m:rPr>
                    <m:sty m:val="p"/>
                  </m:rPr>
                  <m:t>i</m:t>
                </m:r>
                <m:r>
                  <m:rPr>
                    <m:sty m:val="p"/>
                  </m:rPr>
                  <m:t>n</m:t>
                </m:r>
              </m:sub>
            </m:sSub>
          </m:e>
        </m:d>
      </m:oMath>
      <w:r>
        <w:t xml:space="preserve">; conflating the two distances costs a factor of two in the load. For a convoy the zero crossings shift, and the speed should be obtained from independent axle detection or from a least-squares fit of Eq. (1) with</w:t>
      </w:r>
      <w:r>
        <w:t xml:space="preserve"> </w:t>
      </w:r>
      <m:oMath>
        <m:r>
          <m:t>v</m:t>
        </m:r>
      </m:oMath>
      <w:r>
        <w:t xml:space="preserve"> </w:t>
      </w:r>
      <w:r>
        <w:t xml:space="preserve">and the spacings as parameters. Two vehicles on the structure at once return their combined weight, so overlapping crossings must be discarded.</w:t>
      </w:r>
    </w:p>
    <w:bookmarkEnd w:id="41"/>
    <w:bookmarkStart w:id="42" w:name="quasi-static-assumption"/>
    <w:p>
      <w:pPr>
        <w:pStyle w:val="Heading3"/>
      </w:pPr>
      <w:r>
        <w:t xml:space="preserve">6.5. Quasi-static assumption</w:t>
      </w:r>
    </w:p>
    <w:p>
      <w:pPr>
        <w:pStyle w:val="FirstParagraph"/>
      </w:pPr>
      <w:r>
        <w:t xml:space="preserve">The laboratory programme cannot test the quasi-static premise. It was therefore quantified for a constant force crossing the specimen, which isolates bridge dynamics and is not a vehicle–bridge interaction analysis. The beam was modelled with a consistent mass matrix (1.464 kg/m) and Rayleigh damping of 2 % at the first and third modes. The computed fundamental frequency, 11.942 Hz, agrees to four figures with the analytical value. The equations of motion were integrated with the Newmark average-acceleration scheme; refining from 1000 to 16 000 steps changed the error by 0.002 percentage points. Fig. 10 shows the error of the quasi-static integral over 47 speeds spanning</w:t>
      </w:r>
      <w:r>
        <w:t xml:space="preserve"> </w:t>
      </w:r>
      <m:oMath>
        <m:sSub>
          <m:e>
            <m:r>
              <m:t>T</m:t>
            </m:r>
          </m:e>
          <m:sub>
            <m:r>
              <m:rPr>
                <m:sty m:val="p"/>
              </m:rPr>
              <m:t>c</m:t>
            </m:r>
            <m:r>
              <m:rPr>
                <m:sty m:val="p"/>
              </m:rPr>
              <m:t>r</m:t>
            </m:r>
          </m:sub>
        </m:sSub>
        <m:r>
          <m:rPr>
            <m:sty m:val="p"/>
          </m:rPr>
          <m:t>/</m:t>
        </m:r>
        <m:sSub>
          <m:e>
            <m:r>
              <m:t>T</m:t>
            </m:r>
          </m:e>
          <m:sub>
            <m:r>
              <m:t>1</m:t>
            </m:r>
          </m:sub>
        </m:sSub>
        <m:r>
          <m:rPr>
            <m:sty m:val="p"/>
          </m:rPr>
          <m:t>=</m:t>
        </m:r>
        <m:r>
          <m:t>2</m:t>
        </m:r>
        <m:r>
          <m:t>l</m:t>
        </m:r>
        <m:sSub>
          <m:e>
            <m:r>
              <m:t>f</m:t>
            </m:r>
          </m:e>
          <m:sub>
            <m:r>
              <m:t>1</m:t>
            </m:r>
          </m:sub>
        </m:sSub>
        <m:r>
          <m:rPr>
            <m:sty m:val="p"/>
          </m:rPr>
          <m:t>/</m:t>
        </m:r>
        <m:r>
          <m:t>v</m:t>
        </m:r>
      </m:oMath>
      <w:r>
        <w:t xml:space="preserve"> </w:t>
      </w:r>
      <w:r>
        <w:t xml:space="preserve">from 0.6 to 120, and Table 9 its envelope, taken from a denser sweep of 300 speeds so that it does not depend on the speed sampling.</w:t>
      </w:r>
    </w:p>
    <w:p>
      <w:pPr>
        <w:pStyle w:val="BodyText"/>
      </w:pPr>
      <w:r>
        <w:rPr>
          <w:bCs/>
          <w:b/>
        </w:rPr>
        <w:t xml:space="preserve">Table 9.</w:t>
      </w:r>
      <w:r>
        <w:t xml:space="preserve"> </w:t>
      </w:r>
      <w:r>
        <w:t xml:space="preserve">Envelope of the dynamic error of the quasi-static estimator.</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1557"/>
        <w:gridCol w:w="1007"/>
        <w:gridCol w:w="824"/>
        <w:gridCol w:w="824"/>
        <w:gridCol w:w="824"/>
        <w:gridCol w:w="1007"/>
        <w:gridCol w:w="1007"/>
        <w:gridCol w:w="1007"/>
        <w:gridCol w:w="1007"/>
      </w:tblGrid>
      <w:tr>
        <w:trPr>
          <w:tblHeader w:val="true"/>
        </w:trPr>
        <w:tc>
          <w:tcPr>
            <w:tcW w:type="dxa" w:w="1557"/>
            <w:tcBorders>
              <w:top w:val="nil"/>
              <w:left w:val="nil"/>
              <w:bottom w:val="single" w:sz="6" w:space="0" w:color="000000"/>
              <w:right w:val="nil"/>
            </w:tcBorders>
          </w:tcPr>
          <w:p>
            <w:pPr>
              <w:pStyle w:val="Compact"/>
              <w:jc w:val="left"/>
            </w:pPr>
            <m:oMath>
              <m:sSub>
                <m:e>
                  <m:r>
                    <m:t>T</m:t>
                  </m:r>
                </m:e>
                <m:sub>
                  <m:r>
                    <m:rPr>
                      <m:sty m:val="p"/>
                    </m:rPr>
                    <m:t>c</m:t>
                  </m:r>
                  <m:r>
                    <m:rPr>
                      <m:sty m:val="p"/>
                    </m:rPr>
                    <m:t>r</m:t>
                  </m:r>
                </m:sub>
              </m:sSub>
              <m:r>
                <m:rPr>
                  <m:sty m:val="p"/>
                </m:rPr>
                <m:t>/</m:t>
              </m:r>
              <m:sSub>
                <m:e>
                  <m:r>
                    <m:t>T</m:t>
                  </m:r>
                </m:e>
                <m:sub>
                  <m:r>
                    <m:t>1</m:t>
                  </m:r>
                </m:sub>
              </m:sSub>
              <m:r>
                <m:rPr>
                  <m:sty m:val="p"/>
                </m:rPr>
                <m:t>≥</m:t>
              </m:r>
            </m:oMath>
          </w:p>
        </w:tc>
        <w:tc>
          <w:tcPr>
            <w:tcW w:type="dxa" w:w="1007"/>
            <w:tcBorders>
              <w:top w:val="nil"/>
              <w:left w:val="nil"/>
              <w:bottom w:val="single" w:sz="6" w:space="0" w:color="000000"/>
              <w:right w:val="nil"/>
            </w:tcBorders>
          </w:tcPr>
          <w:p>
            <w:pPr>
              <w:pStyle w:val="Compact"/>
              <w:jc w:val="left"/>
            </w:pPr>
            <w:r>
              <w:t xml:space="preserve">2</w:t>
            </w:r>
          </w:p>
        </w:tc>
        <w:tc>
          <w:tcPr>
            <w:tcW w:type="dxa" w:w="824"/>
            <w:tcBorders>
              <w:top w:val="nil"/>
              <w:left w:val="nil"/>
              <w:bottom w:val="single" w:sz="6" w:space="0" w:color="000000"/>
              <w:right w:val="nil"/>
            </w:tcBorders>
          </w:tcPr>
          <w:p>
            <w:pPr>
              <w:pStyle w:val="Compact"/>
              <w:jc w:val="left"/>
            </w:pPr>
            <w:r>
              <w:t xml:space="preserve">3</w:t>
            </w:r>
          </w:p>
        </w:tc>
        <w:tc>
          <w:tcPr>
            <w:tcW w:type="dxa" w:w="824"/>
            <w:tcBorders>
              <w:top w:val="nil"/>
              <w:left w:val="nil"/>
              <w:bottom w:val="single" w:sz="6" w:space="0" w:color="000000"/>
              <w:right w:val="nil"/>
            </w:tcBorders>
          </w:tcPr>
          <w:p>
            <w:pPr>
              <w:pStyle w:val="Compact"/>
              <w:jc w:val="left"/>
            </w:pPr>
            <w:r>
              <w:t xml:space="preserve">4</w:t>
            </w:r>
          </w:p>
        </w:tc>
        <w:tc>
          <w:tcPr>
            <w:tcW w:type="dxa" w:w="824"/>
            <w:tcBorders>
              <w:top w:val="nil"/>
              <w:left w:val="nil"/>
              <w:bottom w:val="single" w:sz="6" w:space="0" w:color="000000"/>
              <w:right w:val="nil"/>
            </w:tcBorders>
          </w:tcPr>
          <w:p>
            <w:pPr>
              <w:pStyle w:val="Compact"/>
              <w:jc w:val="left"/>
            </w:pPr>
            <w:r>
              <w:t xml:space="preserve">6</w:t>
            </w:r>
          </w:p>
        </w:tc>
        <w:tc>
          <w:tcPr>
            <w:tcW w:type="dxa" w:w="1007"/>
            <w:tcBorders>
              <w:top w:val="nil"/>
              <w:left w:val="nil"/>
              <w:bottom w:val="single" w:sz="6" w:space="0" w:color="000000"/>
              <w:right w:val="nil"/>
            </w:tcBorders>
          </w:tcPr>
          <w:p>
            <w:pPr>
              <w:pStyle w:val="Compact"/>
              <w:jc w:val="left"/>
            </w:pPr>
            <w:r>
              <w:t xml:space="preserve">8</w:t>
            </w:r>
          </w:p>
        </w:tc>
        <w:tc>
          <w:tcPr>
            <w:tcW w:type="dxa" w:w="1007"/>
            <w:tcBorders>
              <w:top w:val="nil"/>
              <w:left w:val="nil"/>
              <w:bottom w:val="single" w:sz="6" w:space="0" w:color="000000"/>
              <w:right w:val="nil"/>
            </w:tcBorders>
          </w:tcPr>
          <w:p>
            <w:pPr>
              <w:pStyle w:val="Compact"/>
              <w:jc w:val="left"/>
            </w:pPr>
            <w:r>
              <w:t xml:space="preserve">10</w:t>
            </w:r>
          </w:p>
        </w:tc>
        <w:tc>
          <w:tcPr>
            <w:tcW w:type="dxa" w:w="1007"/>
            <w:tcBorders>
              <w:top w:val="nil"/>
              <w:left w:val="nil"/>
              <w:bottom w:val="single" w:sz="6" w:space="0" w:color="000000"/>
              <w:right w:val="nil"/>
            </w:tcBorders>
          </w:tcPr>
          <w:p>
            <w:pPr>
              <w:pStyle w:val="Compact"/>
              <w:jc w:val="left"/>
            </w:pPr>
            <w:r>
              <w:t xml:space="preserve">15</w:t>
            </w:r>
          </w:p>
        </w:tc>
        <w:tc>
          <w:tcPr>
            <w:tcW w:type="dxa" w:w="1007"/>
            <w:tcBorders>
              <w:top w:val="nil"/>
              <w:left w:val="nil"/>
              <w:bottom w:val="single" w:sz="6" w:space="0" w:color="000000"/>
              <w:right w:val="nil"/>
            </w:tcBorders>
          </w:tcPr>
          <w:p>
            <w:pPr>
              <w:pStyle w:val="Compact"/>
              <w:jc w:val="left"/>
            </w:pPr>
            <w:r>
              <w:t xml:space="preserve">20</w:t>
            </w:r>
          </w:p>
        </w:tc>
      </w:tr>
      <w:tr>
        <w:tc>
          <w:tcPr>
            <w:tcW w:type="dxa" w:w="1557"/>
          </w:tcPr>
          <w:p>
            <w:pPr>
              <w:pStyle w:val="Compact"/>
              <w:jc w:val="left"/>
            </w:pPr>
            <w:r>
              <w:t xml:space="preserve">max</w:t>
            </w:r>
            <w:r>
              <w:t xml:space="preserve"> </w:t>
            </w:r>
            <m:oMath>
              <m:r>
                <m:rPr>
                  <m:sty m:val="p"/>
                </m:rPr>
                <m:t>|</m:t>
              </m:r>
              <m:sSub>
                <m:e>
                  <m:r>
                    <m:t>E</m:t>
                  </m:r>
                </m:e>
                <m:sub>
                  <m:r>
                    <m:rPr>
                      <m:sty m:val="p"/>
                    </m:rPr>
                    <m:t>d</m:t>
                  </m:r>
                  <m:r>
                    <m:rPr>
                      <m:sty m:val="p"/>
                    </m:rPr>
                    <m:t>y</m:t>
                  </m:r>
                  <m:r>
                    <m:rPr>
                      <m:sty m:val="p"/>
                    </m:rPr>
                    <m:t>n</m:t>
                  </m:r>
                </m:sub>
              </m:sSub>
              <m:r>
                <m:rPr>
                  <m:sty m:val="p"/>
                </m:rPr>
                <m:t>|</m:t>
              </m:r>
            </m:oMath>
            <w:r>
              <w:t xml:space="preserve"> </w:t>
            </w:r>
            <w:r>
              <w:t xml:space="preserve">(%)</w:t>
            </w:r>
          </w:p>
        </w:tc>
        <w:tc>
          <w:tcPr>
            <w:tcW w:type="dxa" w:w="1007"/>
          </w:tcPr>
          <w:p>
            <w:pPr>
              <w:pStyle w:val="Compact"/>
              <w:jc w:val="left"/>
            </w:pPr>
            <w:r>
              <w:t xml:space="preserve">17.6</w:t>
            </w:r>
          </w:p>
        </w:tc>
        <w:tc>
          <w:tcPr>
            <w:tcW w:type="dxa" w:w="824"/>
          </w:tcPr>
          <w:p>
            <w:pPr>
              <w:pStyle w:val="Compact"/>
              <w:jc w:val="left"/>
            </w:pPr>
            <w:r>
              <w:t xml:space="preserve">8.6</w:t>
            </w:r>
          </w:p>
        </w:tc>
        <w:tc>
          <w:tcPr>
            <w:tcW w:type="dxa" w:w="824"/>
          </w:tcPr>
          <w:p>
            <w:pPr>
              <w:pStyle w:val="Compact"/>
              <w:jc w:val="left"/>
            </w:pPr>
            <w:r>
              <w:t xml:space="preserve">4.1</w:t>
            </w:r>
          </w:p>
        </w:tc>
        <w:tc>
          <w:tcPr>
            <w:tcW w:type="dxa" w:w="824"/>
          </w:tcPr>
          <w:p>
            <w:pPr>
              <w:pStyle w:val="Compact"/>
              <w:jc w:val="left"/>
            </w:pPr>
            <w:r>
              <w:t xml:space="preserve">1.8</w:t>
            </w:r>
          </w:p>
        </w:tc>
        <w:tc>
          <w:tcPr>
            <w:tcW w:type="dxa" w:w="1007"/>
          </w:tcPr>
          <w:p>
            <w:pPr>
              <w:pStyle w:val="Compact"/>
              <w:jc w:val="left"/>
            </w:pPr>
            <w:r>
              <w:t xml:space="preserve">0.99</w:t>
            </w:r>
          </w:p>
        </w:tc>
        <w:tc>
          <w:tcPr>
            <w:tcW w:type="dxa" w:w="1007"/>
          </w:tcPr>
          <w:p>
            <w:pPr>
              <w:pStyle w:val="Compact"/>
              <w:jc w:val="left"/>
            </w:pPr>
            <w:r>
              <w:t xml:space="preserve">0.59</w:t>
            </w:r>
          </w:p>
        </w:tc>
        <w:tc>
          <w:tcPr>
            <w:tcW w:type="dxa" w:w="1007"/>
          </w:tcPr>
          <w:p>
            <w:pPr>
              <w:pStyle w:val="Compact"/>
              <w:jc w:val="left"/>
            </w:pPr>
            <w:r>
              <w:t xml:space="preserve">0.23</w:t>
            </w:r>
          </w:p>
        </w:tc>
        <w:tc>
          <w:tcPr>
            <w:tcW w:type="dxa" w:w="1007"/>
          </w:tcPr>
          <w:p>
            <w:pPr>
              <w:pStyle w:val="Compact"/>
              <w:jc w:val="left"/>
            </w:pPr>
            <w:r>
              <w:t xml:space="preserve">0.13</w:t>
            </w:r>
          </w:p>
        </w:tc>
      </w:tr>
    </w:tbl>
    <w:p>
      <w:pPr>
        <w:pStyle w:val="BodyText"/>
      </w:pPr>
      <w:r>
        <w:t xml:space="preserve">The error oscillates with speed, as the moving-load literature leads one to expect [46], so the envelope is the appropriate summary:</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f>
                  <m:fPr>
                    <m:type m:val="bar"/>
                  </m:fPr>
                  <m:num>
                    <m:sSub>
                      <m:e>
                        <m:r>
                          <m:t>T</m:t>
                        </m:r>
                      </m:e>
                      <m:sub>
                        <m:r>
                          <m:rPr>
                            <m:sty m:val="p"/>
                          </m:rPr>
                          <m:t>c</m:t>
                        </m:r>
                        <m:r>
                          <m:rPr>
                            <m:sty m:val="p"/>
                          </m:rPr>
                          <m:t>r</m:t>
                        </m:r>
                      </m:sub>
                    </m:sSub>
                  </m:num>
                  <m:den>
                    <m:sSub>
                      <m:e>
                        <m:r>
                          <m:t>T</m:t>
                        </m:r>
                      </m:e>
                      <m:sub>
                        <m:r>
                          <m:t>1</m:t>
                        </m:r>
                      </m:sub>
                    </m:sSub>
                  </m:den>
                </m:f>
                <m:r>
                  <m:rPr>
                    <m:sty m:val="p"/>
                  </m:rPr>
                  <m:t>≥</m:t>
                </m:r>
                <m:r>
                  <m:t>8</m:t>
                </m:r>
                <m:r>
                  <m:t> </m:t>
                </m:r>
                <m:r>
                  <m:rPr>
                    <m:sty m:val="p"/>
                  </m:rPr>
                  <m:t>⇒</m:t>
                </m:r>
                <m:r>
                  <m:t> </m:t>
                </m:r>
                <m:d>
                  <m:dPr>
                    <m:begChr m:val="|"/>
                    <m:endChr m:val="|"/>
                    <m:sepChr m:val=""/>
                    <m:grow/>
                  </m:dPr>
                  <m:e>
                    <m:sSub>
                      <m:e>
                        <m:r>
                          <m:t>E</m:t>
                        </m:r>
                      </m:e>
                      <m:sub>
                        <m:r>
                          <m:rPr>
                            <m:sty m:val="p"/>
                          </m:rPr>
                          <m:t>d</m:t>
                        </m:r>
                        <m:r>
                          <m:rPr>
                            <m:sty m:val="p"/>
                          </m:rPr>
                          <m:t>y</m:t>
                        </m:r>
                        <m:r>
                          <m:rPr>
                            <m:sty m:val="p"/>
                          </m:rPr>
                          <m:t>n</m:t>
                        </m:r>
                      </m:sub>
                    </m:sSub>
                  </m:e>
                </m:d>
                <m:r>
                  <m:rPr>
                    <m:sty m:val="p"/>
                  </m:rPr>
                  <m:t>≲</m:t>
                </m:r>
                <m:r>
                  <m:t>1</m:t>
                </m:r>
                <m:r>
                  <m:t> </m:t>
                </m:r>
                <m:r>
                  <m:rPr>
                    <m:sty m:val="p"/>
                  </m:rPr>
                  <m:t>%</m:t>
                </m:r>
                <m:r>
                  <m:rPr>
                    <m:sty m:val="p"/>
                  </m:rPr>
                  <m:t>;</m:t>
                </m:r>
                <m:r>
                  <m:t>  </m:t>
                </m:r>
                <m:f>
                  <m:fPr>
                    <m:type m:val="bar"/>
                  </m:fPr>
                  <m:num>
                    <m:sSub>
                      <m:e>
                        <m:r>
                          <m:t>T</m:t>
                        </m:r>
                      </m:e>
                      <m:sub>
                        <m:r>
                          <m:rPr>
                            <m:sty m:val="p"/>
                          </m:rPr>
                          <m:t>c</m:t>
                        </m:r>
                        <m:r>
                          <m:rPr>
                            <m:sty m:val="p"/>
                          </m:rPr>
                          <m:t>r</m:t>
                        </m:r>
                      </m:sub>
                    </m:sSub>
                  </m:num>
                  <m:den>
                    <m:sSub>
                      <m:e>
                        <m:r>
                          <m:t>T</m:t>
                        </m:r>
                      </m:e>
                      <m:sub>
                        <m:r>
                          <m:t>1</m:t>
                        </m:r>
                      </m:sub>
                    </m:sSub>
                  </m:den>
                </m:f>
                <m:r>
                  <m:rPr>
                    <m:sty m:val="p"/>
                  </m:rPr>
                  <m:t>≥</m:t>
                </m:r>
                <m:r>
                  <m:t>4</m:t>
                </m:r>
                <m:r>
                  <m:t> </m:t>
                </m:r>
                <m:r>
                  <m:rPr>
                    <m:sty m:val="p"/>
                  </m:rPr>
                  <m:t>⇒</m:t>
                </m:r>
                <m:r>
                  <m:t> </m:t>
                </m:r>
                <m:d>
                  <m:dPr>
                    <m:begChr m:val="|"/>
                    <m:endChr m:val="|"/>
                    <m:sepChr m:val=""/>
                    <m:grow/>
                  </m:dPr>
                  <m:e>
                    <m:sSub>
                      <m:e>
                        <m:r>
                          <m:t>E</m:t>
                        </m:r>
                      </m:e>
                      <m:sub>
                        <m:r>
                          <m:rPr>
                            <m:sty m:val="p"/>
                          </m:rPr>
                          <m:t>d</m:t>
                        </m:r>
                        <m:r>
                          <m:rPr>
                            <m:sty m:val="p"/>
                          </m:rPr>
                          <m:t>y</m:t>
                        </m:r>
                        <m:r>
                          <m:rPr>
                            <m:sty m:val="p"/>
                          </m:rPr>
                          <m:t>n</m:t>
                        </m:r>
                      </m:sub>
                    </m:sSub>
                  </m:e>
                </m:d>
                <m:r>
                  <m:rPr>
                    <m:sty m:val="p"/>
                  </m:rPr>
                  <m:t>&lt;</m:t>
                </m:r>
                <m:r>
                  <m:t>4.2</m:t>
                </m:r>
                <m:r>
                  <m:t> </m:t>
                </m:r>
                <m:r>
                  <m:rPr>
                    <m:sty m:val="p"/>
                  </m:rPr>
                  <m:t>%</m:t>
                </m:r>
                <m:r>
                  <m:rPr>
                    <m:sty m:val="p"/>
                  </m:rPr>
                  <m:t>.</m:t>
                </m:r>
              </m:oMath>
            </m:oMathPara>
          </w:p>
        </w:tc>
        <w:tc>
          <w:tcPr>
            <w:tcW w:type="dxa" w:w="1088"/>
            <w:vAlign w:val="center"/>
          </w:tcPr>
          <w:p>
            <w:pPr>
              <w:jc w:val="right"/>
            </w:pPr>
            <w:r>
              <w:t xml:space="preserve">(21)</w:t>
            </w:r>
          </w:p>
        </w:tc>
      </w:tr>
    </w:tbl>
    <w:p>
      <w:pPr>
        <w:pStyle w:val="BodyText"/>
      </w:pPr>
      <w:r>
        <w:t xml:space="preserve">Below</w:t>
      </w:r>
      <w:r>
        <w:t xml:space="preserve"> </w:t>
      </w:r>
      <m:oMath>
        <m:sSub>
          <m:e>
            <m:r>
              <m:t>T</m:t>
            </m:r>
          </m:e>
          <m:sub>
            <m:r>
              <m:rPr>
                <m:sty m:val="p"/>
              </m:rPr>
              <m:t>c</m:t>
            </m:r>
            <m:r>
              <m:rPr>
                <m:sty m:val="p"/>
              </m:rPr>
              <m:t>r</m:t>
            </m:r>
          </m:sub>
        </m:sSub>
        <m:r>
          <m:rPr>
            <m:sty m:val="p"/>
          </m:rPr>
          <m:t>/</m:t>
        </m:r>
        <m:sSub>
          <m:e>
            <m:r>
              <m:t>T</m:t>
            </m:r>
          </m:e>
          <m:sub>
            <m:r>
              <m:t>1</m:t>
            </m:r>
          </m:sub>
        </m:sSub>
        <m:r>
          <m:rPr>
            <m:sty m:val="p"/>
          </m:rPr>
          <m:t>≈</m:t>
        </m:r>
        <m:r>
          <m:t>2.5</m:t>
        </m:r>
      </m:oMath>
      <w:r>
        <w:t xml:space="preserve"> </w:t>
      </w:r>
      <w:r>
        <w:t xml:space="preserve">the error exceeds 15 % and changes sign, and the estimator should not be used. The dominant mechanism is truncation: at high speed the beam has not returned to its datum when the load leaves (34.5 % of the static peak, with opposite sign, at</w:t>
      </w:r>
      <w:r>
        <w:t xml:space="preserve"> </w:t>
      </w:r>
      <m:oMath>
        <m:sSub>
          <m:e>
            <m:r>
              <m:t>T</m:t>
            </m:r>
          </m:e>
          <m:sub>
            <m:r>
              <m:rPr>
                <m:sty m:val="p"/>
              </m:rPr>
              <m:t>c</m:t>
            </m:r>
            <m:r>
              <m:rPr>
                <m:sty m:val="p"/>
              </m:rPr>
              <m:t>r</m:t>
            </m:r>
          </m:sub>
        </m:sSub>
        <m:r>
          <m:rPr>
            <m:sty m:val="p"/>
          </m:rPr>
          <m:t>/</m:t>
        </m:r>
        <m:sSub>
          <m:e>
            <m:r>
              <m:t>T</m:t>
            </m:r>
          </m:e>
          <m:sub>
            <m:r>
              <m:t>1</m:t>
            </m:r>
          </m:sub>
        </m:sSub>
        <m:r>
          <m:rPr>
            <m:sty m:val="p"/>
          </m:rPr>
          <m:t>=</m:t>
        </m:r>
        <m:r>
          <m:t>1.5</m:t>
        </m:r>
      </m:oMath>
      <w:r>
        <w:t xml:space="preserve">). Extending the window by four fundamental periods reduces the error by 20–28 %. The error is not a residue of free vibration that damping would remove: repeating the analysis with damping ratios from 0.5 % to 5 % changes it monotonically. Invariance survives the dynamics approximately: for a fixed total load carried by one axle or by two or three equal axles at spacings of 0.5, 1.0 or 1.5 m, the spread of the integrals is 0.23 % at</w:t>
      </w:r>
      <w:r>
        <w:t xml:space="preserve"> </w:t>
      </w:r>
      <m:oMath>
        <m:sSub>
          <m:e>
            <m:r>
              <m:t>T</m:t>
            </m:r>
          </m:e>
          <m:sub>
            <m:r>
              <m:rPr>
                <m:sty m:val="p"/>
              </m:rPr>
              <m:t>c</m:t>
            </m:r>
            <m:r>
              <m:rPr>
                <m:sty m:val="p"/>
              </m:rPr>
              <m:t>r</m:t>
            </m:r>
          </m:sub>
        </m:sSub>
        <m:r>
          <m:rPr>
            <m:sty m:val="p"/>
          </m:rPr>
          <m:t>/</m:t>
        </m:r>
        <m:sSub>
          <m:e>
            <m:r>
              <m:t>T</m:t>
            </m:r>
          </m:e>
          <m:sub>
            <m:r>
              <m:t>1</m:t>
            </m:r>
          </m:sub>
        </m:sSub>
        <m:r>
          <m:rPr>
            <m:sty m:val="p"/>
          </m:rPr>
          <m:t>=</m:t>
        </m:r>
        <m:r>
          <m:t>11.9</m:t>
        </m:r>
      </m:oMath>
      <w:r>
        <w:t xml:space="preserve"> </w:t>
      </w:r>
      <w:r>
        <w:t xml:space="preserve">and 2.31 % at 3.0. Because the analysis omits the vehicle’s own suspension and road roughness, Eq. (21) is a necessary condition for real traffic, not a sufficient one. As an order-of-magnitude orientation only, plausible fundamental frequencies for individual spans of 10 to 30 m give</w:t>
      </w:r>
      <w:r>
        <w:t xml:space="preserve"> </w:t>
      </w:r>
      <m:oMath>
        <m:sSub>
          <m:e>
            <m:r>
              <m:t>T</m:t>
            </m:r>
          </m:e>
          <m:sub>
            <m:r>
              <m:rPr>
                <m:sty m:val="p"/>
              </m:rPr>
              <m:t>c</m:t>
            </m:r>
            <m:r>
              <m:rPr>
                <m:sty m:val="p"/>
              </m:rPr>
              <m:t>r</m:t>
            </m:r>
          </m:sub>
        </m:sSub>
        <m:r>
          <m:rPr>
            <m:sty m:val="p"/>
          </m:rPr>
          <m:t>/</m:t>
        </m:r>
        <m:sSub>
          <m:e>
            <m:r>
              <m:t>T</m:t>
            </m:r>
          </m:e>
          <m:sub>
            <m:r>
              <m:t>1</m:t>
            </m:r>
          </m:sub>
        </m:sSub>
      </m:oMath>
      <w:r>
        <w:t xml:space="preserve"> </w:t>
      </w:r>
      <w:r>
        <w:t xml:space="preserve">of 7 to 20 at 50 to 80 km/h. The ratio is governed mainly by speed and should be checked with the measured</w:t>
      </w:r>
      <w:r>
        <w:t xml:space="preserve"> </w:t>
      </w:r>
      <m:oMath>
        <m:sSub>
          <m:e>
            <m:r>
              <m:t>f</m:t>
            </m:r>
          </m:e>
          <m:sub>
            <m:r>
              <m:t>1</m:t>
            </m:r>
          </m:sub>
        </m:sSub>
      </m:oMath>
      <w:r>
        <w:t xml:space="preserve"> </w:t>
      </w:r>
      <w:r>
        <w:t xml:space="preserve">of the structure rather than converted into a speed limit.</w:t>
      </w:r>
    </w:p>
    <w:bookmarkEnd w:id="42"/>
    <w:bookmarkStart w:id="43" w:name="combined-budget"/>
    <w:p>
      <w:pPr>
        <w:pStyle w:val="Heading3"/>
      </w:pPr>
      <w:r>
        <w:t xml:space="preserve">6.6. Combined budget</w:t>
      </w:r>
    </w:p>
    <w:p>
      <w:pPr>
        <w:pStyle w:val="FirstParagraph"/>
      </w:pPr>
      <w:r>
        <w:t xml:space="preserve">Table 10 assembles an indicative budget for the laboratory tests and for a plausible field deployment on a short-span concrete continuous bridge with a well-conditioned gauge. Following the GUM [47], known biases are corrected rather than budgeted: the trapezoidal bias is removed by Simpson quadrature or by fine sampling (Section 2.4). All remaining contributions are treated as independent standard uncertainties and combined by root-sum-square, with the same rule in every column. The field entries are engineering scenarios propagated through the sensitivities derived above, with environmental drift values from long-term monitoring [48,49]. They are not a metrological validation of a complete system. The Type A entries are upper bounds set by the transducer resolution and the Monte Carlo result of Section 6.3, not evaluations from the repeated cycles.</w:t>
      </w:r>
    </w:p>
    <w:p>
      <w:pPr>
        <w:pStyle w:val="BodyText"/>
      </w:pPr>
      <w:r>
        <w:rPr>
          <w:bCs/>
          <w:b/>
        </w:rPr>
        <w:t xml:space="preserve">Table 10.</w:t>
      </w:r>
      <w:r>
        <w:t xml:space="preserve"> </w:t>
      </w:r>
      <w:r>
        <w:t xml:space="preserve">Indicative sensitivity-based uncertainty budget (standard uncertainties in per cent, combined by root-sum-square in every column; a bound</w:t>
      </w:r>
      <w:r>
        <w:t xml:space="preserve"> </w:t>
      </w:r>
      <w:r>
        <w:t xml:space="preserve">“</w:t>
      </w:r>
      <w:r>
        <w:t xml:space="preserve">&lt; x</w:t>
      </w:r>
      <w:r>
        <w:t xml:space="preserve">”</w:t>
      </w:r>
      <w:r>
        <w:t xml:space="preserve"> </w:t>
      </w:r>
      <w:r>
        <w:t xml:space="preserve">is entered as x, and the dynamic term as 0 at the lower and 1 % at the upper end of a range).</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2330"/>
        <w:gridCol w:w="1070"/>
        <w:gridCol w:w="1574"/>
        <w:gridCol w:w="1448"/>
        <w:gridCol w:w="1322"/>
        <w:gridCol w:w="1322"/>
      </w:tblGrid>
      <w:tr>
        <w:trPr>
          <w:tblHeader w:val="true"/>
        </w:trPr>
        <w:tc>
          <w:tcPr>
            <w:tcW w:type="dxa" w:w="2330"/>
            <w:tcBorders>
              <w:top w:val="nil"/>
              <w:left w:val="nil"/>
              <w:bottom w:val="single" w:sz="6" w:space="0" w:color="000000"/>
              <w:right w:val="nil"/>
            </w:tcBorders>
          </w:tcPr>
          <w:p>
            <w:pPr>
              <w:pStyle w:val="Compact"/>
              <w:jc w:val="left"/>
            </w:pPr>
            <w:r>
              <w:t xml:space="preserve">Contribution</w:t>
            </w:r>
          </w:p>
        </w:tc>
        <w:tc>
          <w:tcPr>
            <w:tcW w:type="dxa" w:w="1070"/>
            <w:tcBorders>
              <w:top w:val="nil"/>
              <w:left w:val="nil"/>
              <w:bottom w:val="single" w:sz="6" w:space="0" w:color="000000"/>
              <w:right w:val="nil"/>
            </w:tcBorders>
          </w:tcPr>
          <w:p>
            <w:pPr>
              <w:pStyle w:val="Compact"/>
              <w:jc w:val="left"/>
            </w:pPr>
            <w:r>
              <w:t xml:space="preserve">Type</w:t>
            </w:r>
          </w:p>
        </w:tc>
        <w:tc>
          <w:tcPr>
            <w:tcW w:type="dxa" w:w="1574"/>
            <w:tcBorders>
              <w:top w:val="nil"/>
              <w:left w:val="nil"/>
              <w:bottom w:val="single" w:sz="6" w:space="0" w:color="000000"/>
              <w:right w:val="nil"/>
            </w:tcBorders>
          </w:tcPr>
          <w:p>
            <w:pPr>
              <w:pStyle w:val="Compact"/>
              <w:jc w:val="left"/>
            </w:pPr>
            <w:r>
              <w:t xml:space="preserve">Sensitivity</w:t>
            </w:r>
          </w:p>
        </w:tc>
        <w:tc>
          <w:tcPr>
            <w:tcW w:type="dxa" w:w="1448"/>
            <w:tcBorders>
              <w:top w:val="nil"/>
              <w:left w:val="nil"/>
              <w:bottom w:val="single" w:sz="6" w:space="0" w:color="000000"/>
              <w:right w:val="nil"/>
            </w:tcBorders>
          </w:tcPr>
          <w:p>
            <w:pPr>
              <w:pStyle w:val="Compact"/>
              <w:jc w:val="left"/>
            </w:pPr>
            <w:r>
              <w:t xml:space="preserve">Laboratory (SLM)</w:t>
            </w:r>
          </w:p>
        </w:tc>
        <w:tc>
          <w:tcPr>
            <w:tcW w:type="dxa" w:w="1322"/>
            <w:tcBorders>
              <w:top w:val="nil"/>
              <w:left w:val="nil"/>
              <w:bottom w:val="single" w:sz="6" w:space="0" w:color="000000"/>
              <w:right w:val="nil"/>
            </w:tcBorders>
          </w:tcPr>
          <w:p>
            <w:pPr>
              <w:pStyle w:val="Compact"/>
              <w:jc w:val="left"/>
            </w:pPr>
            <w:r>
              <w:t xml:space="preserve">Field (SLM)</w:t>
            </w:r>
          </w:p>
        </w:tc>
        <w:tc>
          <w:tcPr>
            <w:tcW w:type="dxa" w:w="1322"/>
            <w:tcBorders>
              <w:top w:val="nil"/>
              <w:left w:val="nil"/>
              <w:bottom w:val="single" w:sz="6" w:space="0" w:color="000000"/>
              <w:right w:val="nil"/>
            </w:tcBorders>
          </w:tcPr>
          <w:p>
            <w:pPr>
              <w:pStyle w:val="Compact"/>
              <w:jc w:val="left"/>
            </w:pPr>
            <w:r>
              <w:t xml:space="preserve">Field (BPM)</w:t>
            </w:r>
          </w:p>
        </w:tc>
      </w:tr>
      <w:tr>
        <w:tc>
          <w:tcPr>
            <w:tcW w:type="dxa" w:w="2330"/>
          </w:tcPr>
          <w:p>
            <w:pPr>
              <w:pStyle w:val="Compact"/>
              <w:jc w:val="left"/>
            </w:pPr>
            <w:r>
              <w:t xml:space="preserve">Flexural rigidity</w:t>
            </w:r>
            <w:r>
              <w:t xml:space="preserve"> </w:t>
            </w:r>
            <m:oMath>
              <m:r>
                <m:t>E</m:t>
              </m:r>
              <m:r>
                <m:t>I</m:t>
              </m:r>
            </m:oMath>
          </w:p>
        </w:tc>
        <w:tc>
          <w:tcPr>
            <w:tcW w:type="dxa" w:w="1070"/>
          </w:tcPr>
          <w:p>
            <w:pPr>
              <w:pStyle w:val="Compact"/>
              <w:jc w:val="left"/>
            </w:pPr>
            <w:r>
              <w:t xml:space="preserve">B</w:t>
            </w:r>
          </w:p>
        </w:tc>
        <w:tc>
          <w:tcPr>
            <w:tcW w:type="dxa" w:w="1574"/>
          </w:tcPr>
          <w:p>
            <w:pPr>
              <w:pStyle w:val="Compact"/>
              <w:jc w:val="left"/>
            </w:pPr>
            <w:r>
              <w:t xml:space="preserve">1</w:t>
            </w:r>
          </w:p>
        </w:tc>
        <w:tc>
          <w:tcPr>
            <w:tcW w:type="dxa" w:w="1448"/>
          </w:tcPr>
          <w:p>
            <w:pPr>
              <w:pStyle w:val="Compact"/>
              <w:jc w:val="left"/>
            </w:pPr>
            <w:r>
              <w:t xml:space="preserve">cancels</w:t>
            </w:r>
          </w:p>
        </w:tc>
        <w:tc>
          <w:tcPr>
            <w:tcW w:type="dxa" w:w="1322"/>
          </w:tcPr>
          <w:p>
            <w:pPr>
              <w:pStyle w:val="Compact"/>
              <w:jc w:val="left"/>
            </w:pPr>
            <w:r>
              <w:t xml:space="preserve">cancels</w:t>
            </w:r>
          </w:p>
        </w:tc>
        <w:tc>
          <w:tcPr>
            <w:tcW w:type="dxa" w:w="1322"/>
          </w:tcPr>
          <w:p>
            <w:pPr>
              <w:pStyle w:val="Compact"/>
              <w:jc w:val="left"/>
            </w:pPr>
            <w:r>
              <w:t xml:space="preserve">5–15 %</w:t>
            </w:r>
          </w:p>
        </w:tc>
      </w:tr>
      <w:tr>
        <w:tc>
          <w:tcPr>
            <w:tcW w:type="dxa" w:w="2330"/>
          </w:tcPr>
          <w:p>
            <w:pPr>
              <w:pStyle w:val="Compact"/>
              <w:jc w:val="left"/>
            </w:pPr>
            <w:r>
              <w:t xml:space="preserve">Span length</w:t>
            </w:r>
            <w:r>
              <w:t xml:space="preserve"> </w:t>
            </w:r>
            <m:oMath>
              <m:r>
                <m:t>l</m:t>
              </m:r>
            </m:oMath>
          </w:p>
        </w:tc>
        <w:tc>
          <w:tcPr>
            <w:tcW w:type="dxa" w:w="1070"/>
          </w:tcPr>
          <w:p>
            <w:pPr>
              <w:pStyle w:val="Compact"/>
              <w:jc w:val="left"/>
            </w:pPr>
            <w:r>
              <w:t xml:space="preserve">B</w:t>
            </w:r>
          </w:p>
        </w:tc>
        <w:tc>
          <w:tcPr>
            <w:tcW w:type="dxa" w:w="1574"/>
          </w:tcPr>
          <w:p>
            <w:pPr>
              <w:pStyle w:val="Compact"/>
              <w:jc w:val="left"/>
            </w:pPr>
            <w:r>
              <w:t xml:space="preserve">4</w:t>
            </w:r>
          </w:p>
        </w:tc>
        <w:tc>
          <w:tcPr>
            <w:tcW w:type="dxa" w:w="1448"/>
          </w:tcPr>
          <w:p>
            <w:pPr>
              <w:pStyle w:val="Compact"/>
              <w:jc w:val="left"/>
            </w:pPr>
            <w:r>
              <w:t xml:space="preserve">cancels</w:t>
            </w:r>
          </w:p>
        </w:tc>
        <w:tc>
          <w:tcPr>
            <w:tcW w:type="dxa" w:w="1322"/>
          </w:tcPr>
          <w:p>
            <w:pPr>
              <w:pStyle w:val="Compact"/>
              <w:jc w:val="left"/>
            </w:pPr>
            <w:r>
              <w:t xml:space="preserve">cancels</w:t>
            </w:r>
          </w:p>
        </w:tc>
        <w:tc>
          <w:tcPr>
            <w:tcW w:type="dxa" w:w="1322"/>
          </w:tcPr>
          <w:p>
            <w:pPr>
              <w:pStyle w:val="Compact"/>
              <w:jc w:val="left"/>
            </w:pPr>
            <w:r>
              <w:t xml:space="preserve">0.4–2 %</w:t>
            </w:r>
          </w:p>
        </w:tc>
      </w:tr>
      <w:tr>
        <w:tc>
          <w:tcPr>
            <w:tcW w:type="dxa" w:w="2330"/>
          </w:tcPr>
          <w:p>
            <w:pPr>
              <w:pStyle w:val="Compact"/>
              <w:jc w:val="left"/>
            </w:pPr>
            <w:r>
              <w:t xml:space="preserve">Sensor gain</w:t>
            </w:r>
            <w:r>
              <w:t xml:space="preserve"> </w:t>
            </w:r>
            <m:oMath>
              <m:r>
                <m:t>γ</m:t>
              </m:r>
            </m:oMath>
          </w:p>
        </w:tc>
        <w:tc>
          <w:tcPr>
            <w:tcW w:type="dxa" w:w="1070"/>
          </w:tcPr>
          <w:p>
            <w:pPr>
              <w:pStyle w:val="Compact"/>
              <w:jc w:val="left"/>
            </w:pPr>
            <w:r>
              <w:t xml:space="preserve">B</w:t>
            </w:r>
          </w:p>
        </w:tc>
        <w:tc>
          <w:tcPr>
            <w:tcW w:type="dxa" w:w="1574"/>
          </w:tcPr>
          <w:p>
            <w:pPr>
              <w:pStyle w:val="Compact"/>
              <w:jc w:val="left"/>
            </w:pPr>
            <w:r>
              <w:t xml:space="preserve">1</w:t>
            </w:r>
          </w:p>
        </w:tc>
        <w:tc>
          <w:tcPr>
            <w:tcW w:type="dxa" w:w="1448"/>
          </w:tcPr>
          <w:p>
            <w:pPr>
              <w:pStyle w:val="Compact"/>
              <w:jc w:val="left"/>
            </w:pPr>
            <w:r>
              <w:t xml:space="preserve">cancels</w:t>
            </w:r>
          </w:p>
        </w:tc>
        <w:tc>
          <w:tcPr>
            <w:tcW w:type="dxa" w:w="1322"/>
          </w:tcPr>
          <w:p>
            <w:pPr>
              <w:pStyle w:val="Compact"/>
              <w:jc w:val="left"/>
            </w:pPr>
            <w:r>
              <w:t xml:space="preserve">cancels</w:t>
            </w:r>
          </w:p>
        </w:tc>
        <w:tc>
          <w:tcPr>
            <w:tcW w:type="dxa" w:w="1322"/>
          </w:tcPr>
          <w:p>
            <w:pPr>
              <w:pStyle w:val="Compact"/>
              <w:jc w:val="left"/>
            </w:pPr>
            <w:r>
              <w:t xml:space="preserve">1–2 %</w:t>
            </w:r>
          </w:p>
        </w:tc>
      </w:tr>
      <w:tr>
        <w:tc>
          <w:tcPr>
            <w:tcW w:type="dxa" w:w="2330"/>
          </w:tcPr>
          <w:p>
            <w:pPr>
              <w:pStyle w:val="Compact"/>
              <w:jc w:val="left"/>
            </w:pPr>
            <w:r>
              <w:t xml:space="preserve">Quadrature bias</w:t>
            </w:r>
            <w:r>
              <w:t xml:space="preserve"> </w:t>
            </w:r>
            <m:oMath>
              <m:sSub>
                <m:e>
                  <m:r>
                    <m:t>e</m:t>
                  </m:r>
                </m:e>
                <m:sub>
                  <m:r>
                    <m:t>q</m:t>
                  </m:r>
                </m:sub>
              </m:sSub>
            </m:oMath>
          </w:p>
        </w:tc>
        <w:tc>
          <w:tcPr>
            <w:tcW w:type="dxa" w:w="1070"/>
          </w:tcPr>
          <w:p>
            <w:pPr>
              <w:pStyle w:val="Compact"/>
              <w:jc w:val="left"/>
            </w:pPr>
            <w:r>
              <w:t xml:space="preserve">B</w:t>
            </w:r>
          </w:p>
        </w:tc>
        <w:tc>
          <w:tcPr>
            <w:tcW w:type="dxa" w:w="1574"/>
          </w:tcPr>
          <w:p>
            <w:pPr>
              <w:pStyle w:val="Compact"/>
              <w:jc w:val="left"/>
            </w:pPr>
            <w:r>
              <w:t xml:space="preserve">1</w:t>
            </w:r>
          </w:p>
        </w:tc>
        <w:tc>
          <w:tcPr>
            <w:tcW w:type="dxa" w:w="1448"/>
          </w:tcPr>
          <w:p>
            <w:pPr>
              <w:pStyle w:val="Compact"/>
              <w:jc w:val="left"/>
            </w:pPr>
            <w:r>
              <w:t xml:space="preserve">corrected</w:t>
            </w:r>
          </w:p>
        </w:tc>
        <w:tc>
          <w:tcPr>
            <w:tcW w:type="dxa" w:w="1322"/>
          </w:tcPr>
          <w:p>
            <w:pPr>
              <w:pStyle w:val="Compact"/>
              <w:jc w:val="left"/>
            </w:pPr>
            <w:r>
              <w:t xml:space="preserve">corrected</w:t>
            </w:r>
          </w:p>
        </w:tc>
        <w:tc>
          <w:tcPr>
            <w:tcW w:type="dxa" w:w="1322"/>
          </w:tcPr>
          <w:p>
            <w:pPr>
              <w:pStyle w:val="Compact"/>
              <w:jc w:val="left"/>
            </w:pPr>
            <w:r>
              <w:t xml:space="preserve">corrected</w:t>
            </w:r>
          </w:p>
        </w:tc>
      </w:tr>
      <w:tr>
        <w:tc>
          <w:tcPr>
            <w:tcW w:type="dxa" w:w="2330"/>
          </w:tcPr>
          <w:p>
            <w:pPr>
              <w:pStyle w:val="Compact"/>
              <w:jc w:val="left"/>
            </w:pPr>
            <w:r>
              <w:t xml:space="preserve">Reference weighing</w:t>
            </w:r>
            <w:r>
              <w:t xml:space="preserve"> </w:t>
            </w:r>
            <m:oMath>
              <m:sSub>
                <m:e>
                  <m:r>
                    <m:t>P</m:t>
                  </m:r>
                </m:e>
                <m:sub>
                  <m:r>
                    <m:t>0</m:t>
                  </m:r>
                </m:sub>
              </m:sSub>
            </m:oMath>
          </w:p>
        </w:tc>
        <w:tc>
          <w:tcPr>
            <w:tcW w:type="dxa" w:w="1070"/>
          </w:tcPr>
          <w:p>
            <w:pPr>
              <w:pStyle w:val="Compact"/>
              <w:jc w:val="left"/>
            </w:pPr>
            <w:r>
              <w:t xml:space="preserve">B</w:t>
            </w:r>
          </w:p>
        </w:tc>
        <w:tc>
          <w:tcPr>
            <w:tcW w:type="dxa" w:w="1574"/>
          </w:tcPr>
          <w:p>
            <w:pPr>
              <w:pStyle w:val="Compact"/>
              <w:jc w:val="left"/>
            </w:pPr>
            <w:r>
              <w:t xml:space="preserve">1</w:t>
            </w:r>
          </w:p>
        </w:tc>
        <w:tc>
          <w:tcPr>
            <w:tcW w:type="dxa" w:w="1448"/>
          </w:tcPr>
          <w:p>
            <w:pPr>
              <w:pStyle w:val="Compact"/>
              <w:jc w:val="left"/>
            </w:pPr>
            <w:r>
              <w:t xml:space="preserve">0.1 %</w:t>
            </w:r>
          </w:p>
        </w:tc>
        <w:tc>
          <w:tcPr>
            <w:tcW w:type="dxa" w:w="1322"/>
          </w:tcPr>
          <w:p>
            <w:pPr>
              <w:pStyle w:val="Compact"/>
              <w:jc w:val="left"/>
            </w:pPr>
            <w:r>
              <w:t xml:space="preserve">0.5–1 %</w:t>
            </w:r>
          </w:p>
        </w:tc>
        <w:tc>
          <w:tcPr>
            <w:tcW w:type="dxa" w:w="1322"/>
          </w:tcPr>
          <w:p>
            <w:pPr>
              <w:pStyle w:val="Compact"/>
              <w:jc w:val="left"/>
            </w:pPr>
            <w:r>
              <w:t xml:space="preserve">n/a</w:t>
            </w:r>
          </w:p>
        </w:tc>
      </w:tr>
      <w:tr>
        <w:tc>
          <w:tcPr>
            <w:tcW w:type="dxa" w:w="2330"/>
          </w:tcPr>
          <w:p>
            <w:pPr>
              <w:pStyle w:val="Compact"/>
              <w:jc w:val="left"/>
            </w:pPr>
            <w:r>
              <w:t xml:space="preserve">Residual zero offset</w:t>
            </w:r>
            <w:r>
              <w:t xml:space="preserve"> </w:t>
            </w:r>
            <m:oMath>
              <m:sSub>
                <m:e>
                  <m:r>
                    <m:t>ε</m:t>
                  </m:r>
                </m:e>
                <m:sub>
                  <m:r>
                    <m:t>0</m:t>
                  </m:r>
                </m:sub>
              </m:sSub>
            </m:oMath>
          </w:p>
        </w:tc>
        <w:tc>
          <w:tcPr>
            <w:tcW w:type="dxa" w:w="1070"/>
          </w:tcPr>
          <w:p>
            <w:pPr>
              <w:pStyle w:val="Compact"/>
              <w:jc w:val="left"/>
            </w:pPr>
            <w:r>
              <w:t xml:space="preserve">B</w:t>
            </w:r>
          </w:p>
        </w:tc>
        <w:tc>
          <w:tcPr>
            <w:tcW w:type="dxa" w:w="1574"/>
          </w:tcPr>
          <w:p>
            <w:pPr>
              <w:pStyle w:val="Compact"/>
              <w:jc w:val="left"/>
            </w:pPr>
            <m:oMath>
              <m:sSub>
                <m:e>
                  <m:r>
                    <m:t>L</m:t>
                  </m:r>
                </m:e>
                <m:sub>
                  <m:r>
                    <m:rPr>
                      <m:sty m:val="p"/>
                    </m:rPr>
                    <m:t>t</m:t>
                  </m:r>
                  <m:r>
                    <m:rPr>
                      <m:sty m:val="p"/>
                    </m:rPr>
                    <m:t>o</m:t>
                  </m:r>
                  <m:r>
                    <m:rPr>
                      <m:sty m:val="p"/>
                    </m:rPr>
                    <m:t>t</m:t>
                  </m:r>
                </m:sub>
              </m:sSub>
              <m:r>
                <m:rPr>
                  <m:sty m:val="p"/>
                </m:rPr>
                <m:t>/</m:t>
              </m:r>
              <m:sSub>
                <m:e>
                  <m:r>
                    <m:t>I</m:t>
                  </m:r>
                </m:e>
                <m:sub>
                  <m:r>
                    <m:t>y</m:t>
                  </m:r>
                </m:sub>
              </m:sSub>
            </m:oMath>
          </w:p>
        </w:tc>
        <w:tc>
          <w:tcPr>
            <w:tcW w:type="dxa" w:w="1448"/>
          </w:tcPr>
          <w:p>
            <w:pPr>
              <w:pStyle w:val="Compact"/>
              <w:jc w:val="left"/>
            </w:pPr>
            <w:r>
              <w:t xml:space="preserve">0.4–1 %</w:t>
            </w:r>
          </w:p>
        </w:tc>
        <w:tc>
          <w:tcPr>
            <w:tcW w:type="dxa" w:w="1322"/>
          </w:tcPr>
          <w:p>
            <w:pPr>
              <w:pStyle w:val="Compact"/>
              <w:jc w:val="left"/>
            </w:pPr>
            <w:r>
              <w:t xml:space="preserve">2–10 %</w:t>
            </w:r>
          </w:p>
        </w:tc>
        <w:tc>
          <w:tcPr>
            <w:tcW w:type="dxa" w:w="1322"/>
          </w:tcPr>
          <w:p>
            <w:pPr>
              <w:pStyle w:val="Compact"/>
              <w:jc w:val="left"/>
            </w:pPr>
            <w:r>
              <w:t xml:space="preserve">2–10 %</w:t>
            </w:r>
          </w:p>
        </w:tc>
      </w:tr>
      <w:tr>
        <w:tc>
          <w:tcPr>
            <w:tcW w:type="dxa" w:w="2330"/>
          </w:tcPr>
          <w:p>
            <w:pPr>
              <w:pStyle w:val="Compact"/>
              <w:jc w:val="left"/>
            </w:pPr>
            <w:r>
              <w:t xml:space="preserve">Traverse speed</w:t>
            </w:r>
            <w:r>
              <w:t xml:space="preserve"> </w:t>
            </w:r>
            <m:oMath>
              <m:r>
                <m:t>v</m:t>
              </m:r>
            </m:oMath>
          </w:p>
        </w:tc>
        <w:tc>
          <w:tcPr>
            <w:tcW w:type="dxa" w:w="1070"/>
          </w:tcPr>
          <w:p>
            <w:pPr>
              <w:pStyle w:val="Compact"/>
              <w:jc w:val="left"/>
            </w:pPr>
            <w:r>
              <w:t xml:space="preserve">B</w:t>
            </w:r>
          </w:p>
        </w:tc>
        <w:tc>
          <w:tcPr>
            <w:tcW w:type="dxa" w:w="1574"/>
          </w:tcPr>
          <w:p>
            <w:pPr>
              <w:pStyle w:val="Compact"/>
              <w:jc w:val="left"/>
            </w:pPr>
            <w:r>
              <w:t xml:space="preserve">1</w:t>
            </w:r>
          </w:p>
        </w:tc>
        <w:tc>
          <w:tcPr>
            <w:tcW w:type="dxa" w:w="1448"/>
          </w:tcPr>
          <w:p>
            <w:pPr>
              <w:pStyle w:val="Compact"/>
              <w:jc w:val="left"/>
            </w:pPr>
            <w:r>
              <w:t xml:space="preserve">n/a</w:t>
            </w:r>
          </w:p>
        </w:tc>
        <w:tc>
          <w:tcPr>
            <w:tcW w:type="dxa" w:w="1322"/>
          </w:tcPr>
          <w:p>
            <w:pPr>
              <w:pStyle w:val="Compact"/>
              <w:jc w:val="left"/>
            </w:pPr>
            <w:r>
              <w:t xml:space="preserve">1–3 %</w:t>
            </w:r>
          </w:p>
        </w:tc>
        <w:tc>
          <w:tcPr>
            <w:tcW w:type="dxa" w:w="1322"/>
          </w:tcPr>
          <w:p>
            <w:pPr>
              <w:pStyle w:val="Compact"/>
              <w:jc w:val="left"/>
            </w:pPr>
            <w:r>
              <w:t xml:space="preserve">1–3 %</w:t>
            </w:r>
          </w:p>
        </w:tc>
      </w:tr>
      <w:tr>
        <w:tc>
          <w:tcPr>
            <w:tcW w:type="dxa" w:w="2330"/>
          </w:tcPr>
          <w:p>
            <w:pPr>
              <w:pStyle w:val="Compact"/>
              <w:jc w:val="left"/>
            </w:pPr>
            <w:r>
              <w:t xml:space="preserve">Dynamic effects (</w:t>
            </w:r>
            <m:oMath>
              <m:sSub>
                <m:e>
                  <m:r>
                    <m:t>T</m:t>
                  </m:r>
                </m:e>
                <m:sub>
                  <m:r>
                    <m:rPr>
                      <m:sty m:val="p"/>
                    </m:rPr>
                    <m:t>c</m:t>
                  </m:r>
                  <m:r>
                    <m:rPr>
                      <m:sty m:val="p"/>
                    </m:rPr>
                    <m:t>r</m:t>
                  </m:r>
                </m:sub>
              </m:sSub>
              <m:r>
                <m:rPr>
                  <m:sty m:val="p"/>
                </m:rPr>
                <m:t>/</m:t>
              </m:r>
              <m:sSub>
                <m:e>
                  <m:r>
                    <m:t>T</m:t>
                  </m:r>
                </m:e>
                <m:sub>
                  <m:r>
                    <m:t>1</m:t>
                  </m:r>
                </m:sub>
              </m:sSub>
              <m:r>
                <m:rPr>
                  <m:sty m:val="p"/>
                </m:rPr>
                <m:t>≥</m:t>
              </m:r>
              <m:r>
                <m:t>8</m:t>
              </m:r>
            </m:oMath>
            <w:r>
              <w:t xml:space="preserve">)</w:t>
            </w:r>
          </w:p>
        </w:tc>
        <w:tc>
          <w:tcPr>
            <w:tcW w:type="dxa" w:w="1070"/>
          </w:tcPr>
          <w:p>
            <w:pPr>
              <w:pStyle w:val="Compact"/>
              <w:jc w:val="left"/>
            </w:pPr>
            <w:r>
              <w:t xml:space="preserve">B</w:t>
            </w:r>
          </w:p>
        </w:tc>
        <w:tc>
          <w:tcPr>
            <w:tcW w:type="dxa" w:w="1574"/>
          </w:tcPr>
          <w:p>
            <w:pPr>
              <w:pStyle w:val="Compact"/>
              <w:jc w:val="left"/>
            </w:pPr>
            <w:r>
              <w:t xml:space="preserve">1</w:t>
            </w:r>
          </w:p>
        </w:tc>
        <w:tc>
          <w:tcPr>
            <w:tcW w:type="dxa" w:w="1448"/>
          </w:tcPr>
          <w:p>
            <w:pPr>
              <w:pStyle w:val="Compact"/>
              <w:jc w:val="left"/>
            </w:pPr>
            <w:r>
              <w:t xml:space="preserve">n/a</w:t>
            </w:r>
          </w:p>
        </w:tc>
        <w:tc>
          <w:tcPr>
            <w:tcW w:type="dxa" w:w="1322"/>
          </w:tcPr>
          <w:p>
            <w:pPr>
              <w:pStyle w:val="Compact"/>
              <w:jc w:val="left"/>
            </w:pPr>
            <w:r>
              <w:t xml:space="preserve">&lt; 1 %</w:t>
            </w:r>
          </w:p>
        </w:tc>
        <w:tc>
          <w:tcPr>
            <w:tcW w:type="dxa" w:w="1322"/>
          </w:tcPr>
          <w:p>
            <w:pPr>
              <w:pStyle w:val="Compact"/>
              <w:jc w:val="left"/>
            </w:pPr>
            <w:r>
              <w:t xml:space="preserve">&lt; 1 %</w:t>
            </w:r>
          </w:p>
        </w:tc>
      </w:tr>
      <w:tr>
        <w:tc>
          <w:tcPr>
            <w:tcW w:type="dxa" w:w="2330"/>
          </w:tcPr>
          <w:p>
            <w:pPr>
              <w:pStyle w:val="Compact"/>
              <w:jc w:val="left"/>
            </w:pPr>
            <w:r>
              <w:t xml:space="preserve">Random noise</w:t>
            </w:r>
            <w:r>
              <w:t xml:space="preserve"> </w:t>
            </w:r>
            <m:oMath>
              <m:sSub>
                <m:e>
                  <m:r>
                    <m:t>σ</m:t>
                  </m:r>
                </m:e>
                <m:sub>
                  <m:r>
                    <m:t>a</m:t>
                  </m:r>
                </m:sub>
              </m:sSub>
            </m:oMath>
          </w:p>
        </w:tc>
        <w:tc>
          <w:tcPr>
            <w:tcW w:type="dxa" w:w="1070"/>
          </w:tcPr>
          <w:p>
            <w:pPr>
              <w:pStyle w:val="Compact"/>
              <w:jc w:val="left"/>
            </w:pPr>
            <w:r>
              <w:t xml:space="preserve">A (bound)</w:t>
            </w:r>
          </w:p>
        </w:tc>
        <w:tc>
          <w:tcPr>
            <w:tcW w:type="dxa" w:w="1574"/>
          </w:tcPr>
          <w:p>
            <w:pPr>
              <w:pStyle w:val="Compact"/>
              <w:jc w:val="left"/>
            </w:pPr>
            <w:r>
              <w:t xml:space="preserve">&lt; 0.1</w:t>
            </w:r>
          </w:p>
        </w:tc>
        <w:tc>
          <w:tcPr>
            <w:tcW w:type="dxa" w:w="1448"/>
          </w:tcPr>
          <w:p>
            <w:pPr>
              <w:pStyle w:val="Compact"/>
              <w:jc w:val="left"/>
            </w:pPr>
            <w:r>
              <w:t xml:space="preserve">&lt; 0.1 %</w:t>
            </w:r>
          </w:p>
        </w:tc>
        <w:tc>
          <w:tcPr>
            <w:tcW w:type="dxa" w:w="1322"/>
          </w:tcPr>
          <w:p>
            <w:pPr>
              <w:pStyle w:val="Compact"/>
              <w:jc w:val="left"/>
            </w:pPr>
            <w:r>
              <w:t xml:space="preserve">0.1–0.3 %</w:t>
            </w:r>
          </w:p>
        </w:tc>
        <w:tc>
          <w:tcPr>
            <w:tcW w:type="dxa" w:w="1322"/>
          </w:tcPr>
          <w:p>
            <w:pPr>
              <w:pStyle w:val="Compact"/>
              <w:jc w:val="left"/>
            </w:pPr>
            <w:r>
              <w:t xml:space="preserve">0.1–0.3 %</w:t>
            </w:r>
          </w:p>
        </w:tc>
      </w:tr>
      <w:tr>
        <w:tc>
          <w:tcPr>
            <w:tcW w:type="dxa" w:w="2330"/>
          </w:tcPr>
          <w:p>
            <w:pPr>
              <w:pStyle w:val="Compact"/>
              <w:jc w:val="left"/>
            </w:pPr>
            <w:r>
              <w:t xml:space="preserve">Reference scatter (</w:t>
            </w:r>
            <m:oMath>
              <m:sSub>
                <m:e>
                  <m:r>
                    <m:t>N</m:t>
                  </m:r>
                </m:e>
                <m:sub>
                  <m:r>
                    <m:rPr>
                      <m:sty m:val="p"/>
                    </m:rPr>
                    <m:t>r</m:t>
                  </m:r>
                  <m:r>
                    <m:rPr>
                      <m:sty m:val="p"/>
                    </m:rPr>
                    <m:t>e</m:t>
                  </m:r>
                  <m:r>
                    <m:rPr>
                      <m:sty m:val="p"/>
                    </m:rPr>
                    <m:t>p</m:t>
                  </m:r>
                </m:sub>
              </m:sSub>
            </m:oMath>
            <w:r>
              <w:t xml:space="preserve"> </w:t>
            </w:r>
            <w:r>
              <w:t xml:space="preserve">= 1)</w:t>
            </w:r>
          </w:p>
        </w:tc>
        <w:tc>
          <w:tcPr>
            <w:tcW w:type="dxa" w:w="1070"/>
          </w:tcPr>
          <w:p>
            <w:pPr>
              <w:pStyle w:val="Compact"/>
              <w:jc w:val="left"/>
            </w:pPr>
            <w:r>
              <w:t xml:space="preserve">A (bound)</w:t>
            </w:r>
          </w:p>
        </w:tc>
        <w:tc>
          <w:tcPr>
            <w:tcW w:type="dxa" w:w="1574"/>
          </w:tcPr>
          <w:p>
            <w:pPr>
              <w:pStyle w:val="Compact"/>
              <w:jc w:val="left"/>
            </w:pPr>
            <w:r>
              <w:t xml:space="preserve">1</w:t>
            </w:r>
          </w:p>
        </w:tc>
        <w:tc>
          <w:tcPr>
            <w:tcW w:type="dxa" w:w="1448"/>
          </w:tcPr>
          <w:p>
            <w:pPr>
              <w:pStyle w:val="Compact"/>
              <w:jc w:val="left"/>
            </w:pPr>
            <w:r>
              <w:t xml:space="preserve">&lt; 0.1 %</w:t>
            </w:r>
          </w:p>
        </w:tc>
        <w:tc>
          <w:tcPr>
            <w:tcW w:type="dxa" w:w="1322"/>
          </w:tcPr>
          <w:p>
            <w:pPr>
              <w:pStyle w:val="Compact"/>
              <w:jc w:val="left"/>
            </w:pPr>
            <w:r>
              <w:t xml:space="preserve">0.1–0.3 %</w:t>
            </w:r>
          </w:p>
        </w:tc>
        <w:tc>
          <w:tcPr>
            <w:tcW w:type="dxa" w:w="1322"/>
          </w:tcPr>
          <w:p>
            <w:pPr>
              <w:pStyle w:val="Compact"/>
              <w:jc w:val="left"/>
            </w:pPr>
            <w:r>
              <w:t xml:space="preserve">n/a</w:t>
            </w:r>
          </w:p>
        </w:tc>
      </w:tr>
      <w:tr>
        <w:tc>
          <w:tcPr>
            <w:tcW w:type="dxa" w:w="2330"/>
          </w:tcPr>
          <w:p>
            <w:pPr>
              <w:pStyle w:val="Compact"/>
              <w:jc w:val="left"/>
            </w:pPr>
            <w:r>
              <w:rPr>
                <w:bCs/>
                <w:b/>
              </w:rPr>
              <w:t xml:space="preserve">Combined (root-sum-square)</w:t>
            </w:r>
          </w:p>
        </w:tc>
        <w:tc>
          <w:tcPr>
            <w:tcW w:type="dxa" w:w="1070"/>
          </w:tcPr>
          <w:p>
            <w:pPr>
              <w:pStyle w:val="Compact"/>
            </w:pPr>
          </w:p>
        </w:tc>
        <w:tc>
          <w:tcPr>
            <w:tcW w:type="dxa" w:w="1574"/>
          </w:tcPr>
          <w:p>
            <w:pPr>
              <w:pStyle w:val="Compact"/>
            </w:pPr>
          </w:p>
        </w:tc>
        <w:tc>
          <w:tcPr>
            <w:tcW w:type="dxa" w:w="1448"/>
          </w:tcPr>
          <w:p>
            <w:pPr>
              <w:pStyle w:val="Compact"/>
              <w:jc w:val="left"/>
            </w:pPr>
            <w:r>
              <w:rPr>
                <w:bCs/>
                <w:b/>
              </w:rPr>
              <w:t xml:space="preserve">0.4–1.0 %</w:t>
            </w:r>
          </w:p>
        </w:tc>
        <w:tc>
          <w:tcPr>
            <w:tcW w:type="dxa" w:w="1322"/>
          </w:tcPr>
          <w:p>
            <w:pPr>
              <w:pStyle w:val="Compact"/>
              <w:jc w:val="left"/>
            </w:pPr>
            <w:r>
              <w:rPr>
                <w:bCs/>
                <w:b/>
              </w:rPr>
              <w:t xml:space="preserve">2.3–10.5 %</w:t>
            </w:r>
          </w:p>
        </w:tc>
        <w:tc>
          <w:tcPr>
            <w:tcW w:type="dxa" w:w="1322"/>
          </w:tcPr>
          <w:p>
            <w:pPr>
              <w:pStyle w:val="Compact"/>
              <w:jc w:val="left"/>
            </w:pPr>
            <w:r>
              <w:rPr>
                <w:bCs/>
                <w:b/>
              </w:rPr>
              <w:t xml:space="preserve">5.6–18.5 %</w:t>
            </w:r>
          </w:p>
        </w:tc>
      </w:tr>
    </w:tbl>
    <w:p>
      <w:pPr>
        <w:pStyle w:val="BodyText"/>
      </w:pPr>
      <w:r>
        <w:t xml:space="preserve">In the laboratory, SLM is limited by zero offset and reference weighing, and the combined 0.4–1.0 % is consistent with the observed deviations of 0.61 % and 0.70 %. In the field, baseline stability and speed dominate. The field offset entry of 2–10 % assumes a well-conditioned gauge; at an ill-conditioned location the offset term alone can be several times larger, as Table 8 shows for the side-span gauge of a long continuous girder. The ranges are scenario-based and must be verified for each structure and instrumentation chain. They fall short of a certified weighing device, and the method is proposed for preliminary overload screening, with the decision threshold set sufficiently apart from the legal limit and the design live loads [50,51]; establishing that threshold requires field calibration and lies outside this study.</w:t>
      </w:r>
    </w:p>
    <w:bookmarkEnd w:id="43"/>
    <w:bookmarkEnd w:id="44"/>
    <w:bookmarkStart w:id="47" w:name="recommendations-and-limitations"/>
    <w:p>
      <w:pPr>
        <w:pStyle w:val="Heading2"/>
      </w:pPr>
      <w:r>
        <w:t xml:space="preserve">7. Recommendations and limitations</w:t>
      </w:r>
    </w:p>
    <w:bookmarkStart w:id="45" w:name="X33d3116c95b87dfb2b9799a5dbca3491f110b81"/>
    <w:p>
      <w:pPr>
        <w:pStyle w:val="Heading3"/>
      </w:pPr>
      <w:r>
        <w:t xml:space="preserve">7.1. Recommendations for sensor placement and operation</w:t>
      </w:r>
    </w:p>
    <w:p>
      <w:pPr>
        <w:pStyle w:val="FirstParagraph"/>
      </w:pPr>
      <w:r>
        <w:t xml:space="preserve">The results above combine into a pre-installation procedure.</w:t>
      </w:r>
    </w:p>
    <w:p>
      <w:pPr>
        <w:numPr>
          <w:ilvl w:val="0"/>
          <w:numId w:val="1001"/>
        </w:numPr>
        <w:pStyle w:val="BodyText"/>
      </w:pPr>
      <w:r>
        <w:t xml:space="preserve">Compute</w:t>
      </w:r>
      <w:r>
        <w:t xml:space="preserve"> </w:t>
      </w:r>
      <m:oMath>
        <m:sSub>
          <m:e>
            <m:r>
              <m:t>C</m:t>
            </m:r>
          </m:e>
          <m:sub>
            <m:r>
              <m:t>m</m:t>
            </m:r>
          </m:sub>
        </m:sSub>
      </m:oMath>
      <w:r>
        <w:t xml:space="preserve"> </w:t>
      </w:r>
      <w:r>
        <w:t xml:space="preserve">for each candidate location: from Eq. (4) for two spans, Eq. (8) for symmetric three spans, or Eq. (3) with one static analysis of a model with</w:t>
      </w:r>
      <w:r>
        <w:t xml:space="preserve"> </w:t>
      </w:r>
      <m:oMath>
        <m:r>
          <m:t>E</m:t>
        </m:r>
        <m:r>
          <m:t>I</m:t>
        </m:r>
        <m:d>
          <m:dPr>
            <m:begChr m:val="("/>
            <m:endChr m:val=")"/>
            <m:sepChr m:val=""/>
            <m:grow/>
          </m:dPr>
          <m:e>
            <m:r>
              <m:t>x</m:t>
            </m:r>
          </m:e>
        </m:d>
      </m:oMath>
      <w:r>
        <w:t xml:space="preserve">, or one static uniform-load test.</w:t>
      </w:r>
    </w:p>
    <w:p>
      <w:pPr>
        <w:numPr>
          <w:ilvl w:val="0"/>
          <w:numId w:val="1001"/>
        </w:numPr>
        <w:pStyle w:val="BodyText"/>
      </w:pPr>
      <w:r>
        <w:t xml:space="preserve">Check the blind locus. For prismatic beams, stay out of the band</w:t>
      </w:r>
      <w:r>
        <w:t xml:space="preserve"> </w:t>
      </w:r>
      <m:oMath>
        <m:d>
          <m:dPr>
            <m:begChr m:val="|"/>
            <m:endChr m:val="|"/>
            <m:sepChr m:val=""/>
            <m:grow/>
          </m:dPr>
          <m:e>
            <m:sSub>
              <m:e>
                <m:r>
                  <m:t>N</m:t>
                </m:r>
              </m:e>
              <m:sub>
                <m:r>
                  <m:t>m</m:t>
                </m:r>
              </m:sub>
            </m:sSub>
          </m:e>
        </m:d>
        <m:r>
          <m:rPr>
            <m:sty m:val="p"/>
          </m:rPr>
          <m:t>&lt;</m:t>
        </m:r>
        <m:r>
          <m:t>0.2</m:t>
        </m:r>
      </m:oMath>
      <w:r>
        <w:t xml:space="preserve"> </w:t>
      </w:r>
      <w:r>
        <w:t xml:space="preserve">around the blind locus, on both sides of it: for two spans with uniform stiffness and a mid-span sensor this excludes</w:t>
      </w:r>
      <w:r>
        <w:t xml:space="preserve"> </w:t>
      </w:r>
      <m:oMath>
        <m:r>
          <m:t>1.385</m:t>
        </m:r>
        <m:r>
          <m:rPr>
            <m:sty m:val="p"/>
          </m:rPr>
          <m:t>&lt;</m:t>
        </m:r>
        <m:sSub>
          <m:e>
            <m:r>
              <m:t>ρ</m:t>
            </m:r>
          </m:e>
          <m:sub>
            <m:r>
              <m:t>L</m:t>
            </m:r>
          </m:sub>
        </m:sSub>
        <m:r>
          <m:rPr>
            <m:sty m:val="p"/>
          </m:rPr>
          <m:t>&lt;</m:t>
        </m:r>
        <m:r>
          <m:t>1.525</m:t>
        </m:r>
      </m:oMath>
      <w:r>
        <w:t xml:space="preserve">, and for symmetric three spans with a mid side-span sensor</w:t>
      </w:r>
      <w:r>
        <w:t xml:space="preserve"> </w:t>
      </w:r>
      <m:oMath>
        <m:r>
          <m:t>1.621399</m:t>
        </m:r>
        <m:r>
          <m:rPr>
            <m:sty m:val="p"/>
          </m:rPr>
          <m:t>&lt;</m:t>
        </m:r>
        <m:r>
          <m:t>β</m:t>
        </m:r>
        <m:r>
          <m:rPr>
            <m:sty m:val="p"/>
          </m:rPr>
          <m:t>&lt;</m:t>
        </m:r>
        <m:r>
          <m:t>1.775</m:t>
        </m:r>
      </m:oMath>
      <w:r>
        <w:t xml:space="preserve">. A negative constant outside the band is observable; it needs sign-reversed processing and depends mainly on the adjacent span.</w:t>
      </w:r>
    </w:p>
    <w:p>
      <w:pPr>
        <w:numPr>
          <w:ilvl w:val="0"/>
          <w:numId w:val="1001"/>
        </w:numPr>
        <w:pStyle w:val="BodyText"/>
      </w:pPr>
      <w:r>
        <w:t xml:space="preserve">For haunched girders, report</w:t>
      </w:r>
      <w:r>
        <w:t xml:space="preserve"> </w:t>
      </w:r>
      <m:oMath>
        <m:sSub>
          <m:e>
            <m:r>
              <m:t>N</m:t>
            </m:r>
          </m:e>
          <m:sub>
            <m:r>
              <m:t>m</m:t>
            </m:r>
          </m:sub>
        </m:sSub>
      </m:oMath>
      <w:r>
        <w:t xml:space="preserve"> </w:t>
      </w:r>
      <w:r>
        <w:t xml:space="preserve">with its</w:t>
      </w:r>
      <w:r>
        <w:t xml:space="preserve"> </w:t>
      </w:r>
      <m:oMath>
        <m:r>
          <m:t>E</m:t>
        </m:r>
        <m:sSub>
          <m:e>
            <m:r>
              <m:t>I</m:t>
            </m:r>
          </m:e>
          <m:sub>
            <m:r>
              <m:rPr>
                <m:sty m:val="p"/>
              </m:rPr>
              <m:t>r</m:t>
            </m:r>
            <m:r>
              <m:rPr>
                <m:sty m:val="p"/>
              </m:rPr>
              <m:t>e</m:t>
            </m:r>
            <m:r>
              <m:rPr>
                <m:sty m:val="p"/>
              </m:rPr>
              <m:t>f</m:t>
            </m:r>
          </m:sub>
        </m:sSub>
      </m:oMath>
      <w:r>
        <w:t xml:space="preserve"> </w:t>
      </w:r>
      <w:r>
        <w:t xml:space="preserve">and also</w:t>
      </w:r>
      <w:r>
        <w:t xml:space="preserve"> </w:t>
      </w:r>
      <m:oMath>
        <m:sSub>
          <m:e>
            <m:r>
              <m:t>R</m:t>
            </m:r>
          </m:e>
          <m:sub>
            <m:r>
              <m:t>m</m:t>
            </m:r>
          </m:sub>
        </m:sSub>
        <m:r>
          <m:rPr>
            <m:sty m:val="p"/>
          </m:rPr>
          <m:t>=</m:t>
        </m:r>
        <m:sSub>
          <m:e>
            <m:r>
              <m:t>C</m:t>
            </m:r>
          </m:e>
          <m:sub>
            <m:r>
              <m:t>m</m:t>
            </m:r>
          </m:sub>
        </m:sSub>
        <m:r>
          <m:rPr>
            <m:sty m:val="p"/>
          </m:rPr>
          <m:t>/</m:t>
        </m:r>
        <m:sSup>
          <m:e>
            <m:r>
              <m:t>A</m:t>
            </m:r>
          </m:e>
          <m:sup>
            <m:r>
              <m:rPr>
                <m:sty m:val="p"/>
              </m:rPr>
              <m:t>+</m:t>
            </m:r>
          </m:sup>
        </m:sSup>
      </m:oMath>
      <w:r>
        <w:t xml:space="preserve">, and rank locations by</w:t>
      </w:r>
      <w:r>
        <w:t xml:space="preserve"> </w:t>
      </w:r>
      <m:oMath>
        <m:d>
          <m:dPr>
            <m:begChr m:val="|"/>
            <m:endChr m:val="|"/>
            <m:sepChr m:val=""/>
            <m:grow/>
          </m:dPr>
          <m:e>
            <m:sSub>
              <m:e>
                <m:r>
                  <m:t>R</m:t>
                </m:r>
              </m:e>
              <m:sub>
                <m:r>
                  <m:t>m</m:t>
                </m:r>
              </m:sub>
            </m:sSub>
          </m:e>
        </m:d>
      </m:oMath>
      <w:r>
        <w:t xml:space="preserve">. Evaluate</w:t>
      </w:r>
      <w:r>
        <w:t xml:space="preserve"> </w:t>
      </w:r>
      <m:oMath>
        <m:sSub>
          <m:e>
            <m:r>
              <m:t>C</m:t>
            </m:r>
          </m:e>
          <m:sub>
            <m:r>
              <m:t>m</m:t>
            </m:r>
          </m:sub>
        </m:sSub>
      </m:oMath>
      <w:r>
        <w:t xml:space="preserve"> </w:t>
      </w:r>
      <w:r>
        <w:t xml:space="preserve">over a plausible range of pier stiffness; the pinned and fixed limits only bound it. A location whose</w:t>
      </w:r>
      <w:r>
        <w:t xml:space="preserve"> </w:t>
      </w:r>
      <m:oMath>
        <m:sSub>
          <m:e>
            <m:r>
              <m:t>C</m:t>
            </m:r>
          </m:e>
          <m:sub>
            <m:r>
              <m:t>m</m:t>
            </m:r>
          </m:sub>
        </m:sSub>
      </m:oMath>
      <w:r>
        <w:t xml:space="preserve"> </w:t>
      </w:r>
      <w:r>
        <w:t xml:space="preserve">changes strongly within that range, such as the side-span gauge of Section 4, needs an in-situ calibration.</w:t>
      </w:r>
    </w:p>
    <w:p>
      <w:pPr>
        <w:numPr>
          <w:ilvl w:val="0"/>
          <w:numId w:val="1001"/>
        </w:numPr>
        <w:pStyle w:val="BodyText"/>
      </w:pPr>
      <w:r>
        <w:t xml:space="preserve">Place the sensor near</w:t>
      </w:r>
      <w:r>
        <w:t xml:space="preserve"> </w:t>
      </w:r>
      <m:oMath>
        <m:sSup>
          <m:e>
            <m:r>
              <m:t>ξ</m:t>
            </m:r>
          </m:e>
          <m:sup>
            <m:r>
              <m:rPr>
                <m:sty m:val="p"/>
              </m:rPr>
              <m:t>*</m:t>
            </m:r>
          </m:sup>
        </m:sSup>
      </m:oMath>
      <w:r>
        <w:t xml:space="preserve"> </w:t>
      </w:r>
      <w:r>
        <w:t xml:space="preserve">(0.42154 of the span for two equal spans; Table 2 for three spans) or, on long-main-span girders, in the main span.</w:t>
      </w:r>
    </w:p>
    <w:p>
      <w:pPr>
        <w:numPr>
          <w:ilvl w:val="0"/>
          <w:numId w:val="1001"/>
        </w:numPr>
        <w:pStyle w:val="BodyText"/>
      </w:pPr>
      <w:r>
        <w:t xml:space="preserve">Use SLM with a weighed vehicle comparable to the screened traffic, averaging at least five reference crossings. Use BPM only where the location is well conditioned and</w:t>
      </w:r>
      <w:r>
        <w:t xml:space="preserve"> </w:t>
      </w:r>
      <m:oMath>
        <m:r>
          <m:t>E</m:t>
        </m:r>
        <m:r>
          <m:t>I</m:t>
        </m:r>
      </m:oMath>
      <w:r>
        <w:t xml:space="preserve"> </w:t>
      </w:r>
      <w:r>
        <w:t xml:space="preserve">and the support conditions are known. For side-span gauges on continuous girders, take</w:t>
      </w:r>
      <w:r>
        <w:t xml:space="preserve"> </w:t>
      </w:r>
      <m:oMath>
        <m:sSub>
          <m:e>
            <m:r>
              <m:t>C</m:t>
            </m:r>
          </m:e>
          <m:sub>
            <m:r>
              <m:t>m</m:t>
            </m:r>
          </m:sub>
        </m:sSub>
      </m:oMath>
      <w:r>
        <w:t xml:space="preserve"> </w:t>
      </w:r>
      <w:r>
        <w:t xml:space="preserve">from SLM or from a model identified in situ, never from the design model.</w:t>
      </w:r>
    </w:p>
    <w:p>
      <w:pPr>
        <w:numPr>
          <w:ilvl w:val="0"/>
          <w:numId w:val="1001"/>
        </w:numPr>
        <w:pStyle w:val="BodyText"/>
      </w:pPr>
      <w:r>
        <w:t xml:space="preserve">Evaluate</w:t>
      </w:r>
      <w:r>
        <w:t xml:space="preserve"> </w:t>
      </w:r>
      <m:oMath>
        <m:sSub>
          <m:e>
            <m:r>
              <m:t>P</m:t>
            </m:r>
          </m:e>
          <m:sub>
            <m:r>
              <m:t>ε</m:t>
            </m:r>
          </m:sub>
        </m:sSub>
        <m:r>
          <m:rPr>
            <m:sty m:val="p"/>
          </m:rPr>
          <m:t>=</m:t>
        </m:r>
        <m:sSub>
          <m:e>
            <m:r>
              <m:t>ε</m:t>
            </m:r>
          </m:e>
          <m:sub>
            <m:r>
              <m:t>0</m:t>
            </m:r>
          </m:sub>
        </m:sSub>
        <m:sSub>
          <m:e>
            <m:r>
              <m:t>L</m:t>
            </m:r>
          </m:e>
          <m:sub>
            <m:r>
              <m:rPr>
                <m:sty m:val="p"/>
              </m:rPr>
              <m:t>t</m:t>
            </m:r>
            <m:r>
              <m:rPr>
                <m:sty m:val="p"/>
              </m:rPr>
              <m:t>o</m:t>
            </m:r>
            <m:r>
              <m:rPr>
                <m:sty m:val="p"/>
              </m:rPr>
              <m:t>t</m:t>
            </m:r>
          </m:sub>
        </m:sSub>
        <m:r>
          <m:rPr>
            <m:sty m:val="p"/>
          </m:rPr>
          <m:t>/</m:t>
        </m:r>
        <m:sSub>
          <m:e>
            <m:r>
              <m:t>C</m:t>
            </m:r>
          </m:e>
          <m:sub>
            <m:r>
              <m:t>m</m:t>
            </m:r>
          </m:sub>
        </m:sSub>
      </m:oMath>
      <w:r>
        <w:t xml:space="preserve">, Eq. (19), for the residual offset that the instrumentation can achieve after re-zeroing, and compare it with the lightest vehicle to be screened.</w:t>
      </w:r>
    </w:p>
    <w:p>
      <w:pPr>
        <w:numPr>
          <w:ilvl w:val="0"/>
          <w:numId w:val="1001"/>
        </w:numPr>
        <w:pStyle w:val="BodyText"/>
      </w:pPr>
      <w:r>
        <w:t xml:space="preserve">Check</w:t>
      </w:r>
      <w:r>
        <w:t xml:space="preserve"> </w:t>
      </w:r>
      <m:oMath>
        <m:sSub>
          <m:e>
            <m:r>
              <m:t>T</m:t>
            </m:r>
          </m:e>
          <m:sub>
            <m:r>
              <m:rPr>
                <m:sty m:val="p"/>
              </m:rPr>
              <m:t>c</m:t>
            </m:r>
            <m:r>
              <m:rPr>
                <m:sty m:val="p"/>
              </m:rPr>
              <m:t>r</m:t>
            </m:r>
          </m:sub>
        </m:sSub>
        <m:r>
          <m:rPr>
            <m:sty m:val="p"/>
          </m:rPr>
          <m:t>/</m:t>
        </m:r>
        <m:sSub>
          <m:e>
            <m:r>
              <m:t>T</m:t>
            </m:r>
          </m:e>
          <m:sub>
            <m:r>
              <m:t>1</m:t>
            </m:r>
          </m:sub>
        </m:sSub>
        <m:r>
          <m:rPr>
            <m:sty m:val="p"/>
          </m:rPr>
          <m:t>=</m:t>
        </m:r>
        <m:r>
          <m:t>2</m:t>
        </m:r>
        <m:r>
          <m:t>l</m:t>
        </m:r>
        <m:sSub>
          <m:e>
            <m:r>
              <m:t>f</m:t>
            </m:r>
          </m:e>
          <m:sub>
            <m:r>
              <m:t>1</m:t>
            </m:r>
          </m:sub>
        </m:sSub>
        <m:r>
          <m:rPr>
            <m:sty m:val="p"/>
          </m:rPr>
          <m:t>/</m:t>
        </m:r>
        <m:r>
          <m:t>v</m:t>
        </m:r>
        <m:r>
          <m:rPr>
            <m:sty m:val="p"/>
          </m:rPr>
          <m:t>≥</m:t>
        </m:r>
        <m:r>
          <m:t>8</m:t>
        </m:r>
      </m:oMath>
      <w:r>
        <w:t xml:space="preserve"> </w:t>
      </w:r>
      <w:r>
        <w:t xml:space="preserve">for the actual frequency, not a speed limit.</w:t>
      </w:r>
    </w:p>
    <w:p>
      <w:pPr>
        <w:numPr>
          <w:ilvl w:val="0"/>
          <w:numId w:val="1001"/>
        </w:numPr>
        <w:pStyle w:val="BodyText"/>
      </w:pPr>
      <w:r>
        <w:t xml:space="preserve">Integrate over a window tight around the crossing, re-zero the baseline before and after each crossing, and reject records whose end values differ by more than a set tolerance. Remove dynamics with a low-pass filter well below</w:t>
      </w:r>
      <w:r>
        <w:t xml:space="preserve"> </w:t>
      </w:r>
      <m:oMath>
        <m:sSub>
          <m:e>
            <m:r>
              <m:t>f</m:t>
            </m:r>
          </m:e>
          <m:sub>
            <m:r>
              <m:t>1</m:t>
            </m:r>
          </m:sub>
        </m:sSub>
      </m:oMath>
      <w:r>
        <w:t xml:space="preserve">, never with a high-pass filter.</w:t>
      </w:r>
    </w:p>
    <w:p>
      <w:pPr>
        <w:numPr>
          <w:ilvl w:val="0"/>
          <w:numId w:val="1001"/>
        </w:numPr>
        <w:pStyle w:val="BodyText"/>
      </w:pPr>
      <w:r>
        <w:t xml:space="preserve">Use Simpson quadrature, with a 3/8 end panel for an odd number of intervals, only when the entry and exit of every axle fall on panel edges; otherwise use the trapezoidal rule with a sampling interval of</w:t>
      </w:r>
      <w:r>
        <w:t xml:space="preserve"> </w:t>
      </w:r>
      <m:oMath>
        <m:r>
          <m:t>l</m:t>
        </m:r>
        <m:r>
          <m:rPr>
            <m:sty m:val="p"/>
          </m:rPr>
          <m:t>/</m:t>
        </m:r>
        <m:r>
          <m:t>20</m:t>
        </m:r>
      </m:oMath>
      <w:r>
        <w:t xml:space="preserve"> </w:t>
      </w:r>
      <w:r>
        <w:t xml:space="preserve">or finer, and obtain the speed from independent axle detection or from a fitted response model.</w:t>
      </w:r>
    </w:p>
    <w:p>
      <w:pPr>
        <w:pStyle w:val="FirstParagraph"/>
      </w:pPr>
      <w:r>
        <w:t xml:space="preserve">The procedure positions the deflection integral as a reduced alternative to BWIM rather than a competitor. It returns only the gross weight of a load group, needs one displacement channel and only the scalar</w:t>
      </w:r>
      <w:r>
        <w:t xml:space="preserve"> </w:t>
      </w:r>
      <m:oMath>
        <m:sSub>
          <m:e>
            <m:r>
              <m:t>C</m:t>
            </m:r>
          </m:e>
          <m:sub>
            <m:r>
              <m:t>m</m:t>
            </m:r>
          </m:sub>
        </m:sSub>
      </m:oMath>
      <w:r>
        <w:t xml:space="preserve"> </w:t>
      </w:r>
      <w:r>
        <w:t xml:space="preserve">instead of an influence line or a full model, and involves a single division rather than a regularised inversion. Its natural role is low-cost screening across many secondary structures, with instrumented BWIM or enforcement weighing reserved for the vehicles it flags, and with the screened loads feeding the load models used in assessment. With several sensors, each crossing gives a vector of integrals proportional to the same load, a one-parameter model fitted by weighted least squares in which a near-blind sensor carries almost no weight; the maps of Figs. 2 and 3 then double as sensor-selection charts.</w:t>
      </w:r>
    </w:p>
    <w:bookmarkEnd w:id="45"/>
    <w:bookmarkStart w:id="46" w:name="limitations"/>
    <w:p>
      <w:pPr>
        <w:pStyle w:val="Heading3"/>
      </w:pPr>
      <w:r>
        <w:t xml:space="preserve">7.2. Limitations</w:t>
      </w:r>
    </w:p>
    <w:p>
      <w:pPr>
        <w:pStyle w:val="FirstParagraph"/>
      </w:pPr>
      <w:r>
        <w:t xml:space="preserve">The laboratory tests used one small steel specimen with idealised supports and statically positioned loads; concrete cracking, creep, bearing friction and moving traffic are not represented. The accuracy class of the calibrated weights is not reported [NEED VALUE], and the Type A component was bounded rather than evaluated from the repeated cycles. The invariance is verified only indirectly, because the configurations differ in both load and spacing, and the measured-to-analytical ratio rises from 1.010 to 1.017 with the load group. A direct test with a fixed total load at several spacings and load magnitudes needs no new apparatus, and the predicted blind configuration (spans of 2500 mm and 3644 mm on the same rig) is a falsifiable prediction; neither has yet been carried out. The dynamic study models a constant force and omits vehicle–bridge interaction and road roughness. The treatment is one-dimensional, so transverse load position is ignored; the eccentric readings at Cầu Mây show that it matters.</w:t>
      </w:r>
    </w:p>
    <w:p>
      <w:pPr>
        <w:pStyle w:val="BodyText"/>
      </w:pPr>
      <w:r>
        <w:t xml:space="preserve">The bridge application rests on static parked-convoy data, the mean mass of the weighed trucks rather than the masses of the trucks in each convoy, and an assumed depth law, and two static readings cannot separate the girder rigidity from the pier stiffness; the designer’s FE model used for calibration A is itself a model. The side-span result is therefore stated as a range, not as a single value. A second three-span box girder (42 + 63 + 42 m) was examined, but its two-dimensional model could not reproduce the deflections reported for the designer’s FE model (misfits of −11 %, +22 % and −12 %), and cross-section and pier dimensions are missing; it is therefore not analysed here. Repeating the analysis with the full design models, pier drawings or measured natural frequencies, and testing Eq. (2) with crawl passes of weighed vehicles on a continuous girder, are the next steps.</w:t>
      </w:r>
    </w:p>
    <w:bookmarkEnd w:id="46"/>
    <w:bookmarkEnd w:id="47"/>
    <w:bookmarkStart w:id="48" w:name="conclusions"/>
    <w:p>
      <w:pPr>
        <w:pStyle w:val="Heading2"/>
      </w:pPr>
      <w:r>
        <w:t xml:space="preserve">8. Conclusions</w:t>
      </w:r>
    </w:p>
    <w:p>
      <w:pPr>
        <w:pStyle w:val="FirstParagraph"/>
      </w:pPr>
      <w:r>
        <w:t xml:space="preserve">This paper examined when the total load on a continuous girder is observable from the integral of a single deflection channel. The integral over a complete crossing equals the total load times a constant</w:t>
      </w:r>
      <w:r>
        <w:t xml:space="preserve"> </w:t>
      </w:r>
      <m:oMath>
        <m:sSub>
          <m:e>
            <m:r>
              <m:t>C</m:t>
            </m:r>
          </m:e>
          <m:sub>
            <m:r>
              <m:t>m</m:t>
            </m:r>
          </m:sub>
        </m:sSub>
      </m:oMath>
      <w:r>
        <w:t xml:space="preserve"> </w:t>
      </w:r>
      <w:r>
        <w:t xml:space="preserve">of the structure and the sensor position, a property that underlies influence-area weigh-in-motion. By reciprocity,</w:t>
      </w:r>
      <w:r>
        <w:t xml:space="preserve"> </w:t>
      </w:r>
      <m:oMath>
        <m:sSub>
          <m:e>
            <m:r>
              <m:t>C</m:t>
            </m:r>
          </m:e>
          <m:sub>
            <m:r>
              <m:t>m</m:t>
            </m:r>
          </m:sub>
        </m:sSub>
      </m:oMath>
      <w:r>
        <w:t xml:space="preserve"> </w:t>
      </w:r>
      <w:r>
        <w:t xml:space="preserve">is the deflection at the sensor under a uniform unit load, which makes it available before any instrument is installed.</w:t>
      </w:r>
    </w:p>
    <w:p>
      <w:pPr>
        <w:pStyle w:val="BodyText"/>
      </w:pPr>
      <w:r>
        <w:t xml:space="preserve">This characterisation gives closed forms for continuous beams. For a two-span beam of uniform stiffness the blind span ratio is</w:t>
      </w:r>
      <w:r>
        <w:t xml:space="preserve"> </w:t>
      </w:r>
      <m:oMath>
        <m:d>
          <m:dPr>
            <m:begChr m:val="("/>
            <m:endChr m:val=")"/>
            <m:sepChr m:val=""/>
            <m:grow/>
          </m:dPr>
          <m:e>
            <m:r>
              <m:t>3</m:t>
            </m:r>
            <m:r>
              <m:rPr>
                <m:sty m:val="p"/>
              </m:rPr>
              <m:t>+</m:t>
            </m:r>
            <m:rad>
              <m:radPr>
                <m:degHide m:val="on"/>
              </m:radPr>
              <m:deg/>
              <m:e>
                <m:r>
                  <m:t>33</m:t>
                </m:r>
              </m:e>
            </m:rad>
          </m:e>
        </m:d>
        <m:r>
          <m:rPr>
            <m:sty m:val="p"/>
          </m:rPr>
          <m:t>/</m:t>
        </m:r>
        <m:r>
          <m:t>6</m:t>
        </m:r>
        <m:r>
          <m:rPr>
            <m:sty m:val="p"/>
          </m:rPr>
          <m:t>=</m:t>
        </m:r>
        <m:r>
          <m:t>1.45743</m:t>
        </m:r>
      </m:oMath>
      <w:r>
        <w:t xml:space="preserve"> </w:t>
      </w:r>
      <w:r>
        <w:t xml:space="preserve">and the optimal sensor position is</w:t>
      </w:r>
      <w:r>
        <w:t xml:space="preserve"> </w:t>
      </w:r>
      <m:oMath>
        <m:d>
          <m:dPr>
            <m:begChr m:val="("/>
            <m:endChr m:val=")"/>
            <m:sepChr m:val=""/>
            <m:grow/>
          </m:dPr>
          <m:e>
            <m:r>
              <m:t>1</m:t>
            </m:r>
            <m:r>
              <m:rPr>
                <m:sty m:val="p"/>
              </m:rPr>
              <m:t>+</m:t>
            </m:r>
            <m:rad>
              <m:radPr>
                <m:degHide m:val="on"/>
              </m:radPr>
              <m:deg/>
              <m:e>
                <m:r>
                  <m:t>33</m:t>
                </m:r>
              </m:e>
            </m:rad>
          </m:e>
        </m:d>
        <m:r>
          <m:rPr>
            <m:sty m:val="p"/>
          </m:rPr>
          <m:t>/</m:t>
        </m:r>
        <m:r>
          <m:t>16</m:t>
        </m:r>
        <m:r>
          <m:rPr>
            <m:sty m:val="p"/>
          </m:rPr>
          <m:t>=</m:t>
        </m:r>
        <m:r>
          <m:t>0.42154</m:t>
        </m:r>
      </m:oMath>
      <w:r>
        <w:t xml:space="preserve"> </w:t>
      </w:r>
      <w:r>
        <w:t xml:space="preserve">of the span. For a symmetric three-span beam instrumented at mid side span, the blind main-to-side ratio is</w:t>
      </w:r>
      <w:r>
        <w:t xml:space="preserve"> </w:t>
      </w:r>
      <m:oMath>
        <m:r>
          <m:t>β</m:t>
        </m:r>
        <m:r>
          <m:rPr>
            <m:sty m:val="p"/>
          </m:rPr>
          <m:t>=</m:t>
        </m:r>
        <m:r>
          <m:t>1.700594</m:t>
        </m:r>
      </m:oMath>
      <w:r>
        <w:t xml:space="preserve">, the near-blind band runs from 1.621399 to 1.775, and</w:t>
      </w:r>
      <w:r>
        <w:t xml:space="preserve"> </w:t>
      </w:r>
      <m:oMath>
        <m:r>
          <m:t>2</m:t>
        </m:r>
        <m:r>
          <m:rPr>
            <m:sty m:val="p"/>
          </m:rPr>
          <m:t>cos</m:t>
        </m:r>
        <m:d>
          <m:dPr>
            <m:begChr m:val="("/>
            <m:endChr m:val=")"/>
            <m:sepChr m:val=""/>
            <m:grow/>
          </m:dPr>
          <m:e>
            <m:r>
              <m:t>π</m:t>
            </m:r>
            <m:r>
              <m:rPr>
                <m:sty m:val="p"/>
              </m:rPr>
              <m:t>/</m:t>
            </m:r>
            <m:r>
              <m:t>9</m:t>
            </m:r>
          </m:e>
        </m:d>
        <m:r>
          <m:rPr>
            <m:sty m:val="p"/>
          </m:rPr>
          <m:t>=</m:t>
        </m:r>
        <m:r>
          <m:t>1.879385</m:t>
        </m:r>
      </m:oMath>
      <w:r>
        <w:t xml:space="preserve"> </w:t>
      </w:r>
      <w:r>
        <w:t xml:space="preserve">ends the side-span blind locus: beyond it every side-span position has a negative but non-zero constant, dominated by the main span.</w:t>
      </w:r>
    </w:p>
    <w:p>
      <w:pPr>
        <w:pStyle w:val="BodyText"/>
      </w:pPr>
      <w:r>
        <w:t xml:space="preserve">On a laboratory two-span beam with statically positioned loads, two- and three-load groups were identified within 1.19 % by BPM and 0.70 % by SLM against direct weighing. The entire difference between the two methods was the calibration error of the reference record.</w:t>
      </w:r>
    </w:p>
    <w:p>
      <w:pPr>
        <w:pStyle w:val="BodyText"/>
      </w:pPr>
      <w:r>
        <w:t xml:space="preserve">On the 55 + 90 + 55 m Cầu Mây box girder, the observability of the side-span gauge could not be identified from design data and two static readings. Two calibrations reproduce the measured deflections and give indicators of 0.18 and 0.48, with 82 % and 44 % of the positive influence area cancelled. The centre-span gauge is stable at 0.21–0.23. A residual offset of 0.05 mm would bias a 25.06 t truck by 35–93 % at the side-span gauge and by 10–11 % at the centre-span gauge. Side-span gauges on continuous box girders are ill-conditioned with respect to pier rotational stiffness, so their constant must come from a weighed-vehicle calibration or an in-situ identified model, never from the design model. This application uses static data and is not a validation of the integral on a continuous bridge.</w:t>
      </w:r>
    </w:p>
    <w:p>
      <w:pPr>
        <w:pStyle w:val="BodyText"/>
      </w:pPr>
      <w:r>
        <w:t xml:space="preserve">The error budget places the residual zero offset, not random noise, at the top of the field error hierarchy, and crossing records from simply supported spans illustrate that baseline handling can change the integral by tens of per cent while low-pass filtering leaves it intact. For a constant moving force the quasi-static error is about 1 % at a crossing time of eight fundamental periods. Computing</w:t>
      </w:r>
      <w:r>
        <w:t xml:space="preserve"> </w:t>
      </w:r>
      <m:oMath>
        <m:d>
          <m:dPr>
            <m:begChr m:val="|"/>
            <m:endChr m:val="|"/>
            <m:sepChr m:val=""/>
            <m:grow/>
          </m:dPr>
          <m:e>
            <m:sSub>
              <m:e>
                <m:r>
                  <m:t>C</m:t>
                </m:r>
              </m:e>
              <m:sub>
                <m:r>
                  <m:t>m</m:t>
                </m:r>
              </m:sub>
            </m:sSub>
          </m:e>
        </m:d>
      </m:oMath>
      <w:r>
        <w:t xml:space="preserve">,</w:t>
      </w:r>
      <w:r>
        <w:t xml:space="preserve"> </w:t>
      </w:r>
      <m:oMath>
        <m:sSub>
          <m:e>
            <m:r>
              <m:t>C</m:t>
            </m:r>
          </m:e>
          <m:sub>
            <m:r>
              <m:t>m</m:t>
            </m:r>
          </m:sub>
        </m:sSub>
        <m:r>
          <m:rPr>
            <m:sty m:val="p"/>
          </m:rPr>
          <m:t>/</m:t>
        </m:r>
        <m:sSup>
          <m:e>
            <m:r>
              <m:t>A</m:t>
            </m:r>
          </m:e>
          <m:sup>
            <m:r>
              <m:rPr>
                <m:sty m:val="p"/>
              </m:rPr>
              <m:t>+</m:t>
            </m:r>
          </m:sup>
        </m:sSup>
      </m:oMath>
      <w:r>
        <w:t xml:space="preserve"> </w:t>
      </w:r>
      <w:r>
        <w:t xml:space="preserve">and</w:t>
      </w:r>
      <w:r>
        <w:t xml:space="preserve"> </w:t>
      </w:r>
      <m:oMath>
        <m:sSub>
          <m:e>
            <m:r>
              <m:t>P</m:t>
            </m:r>
          </m:e>
          <m:sub>
            <m:r>
              <m:t>ε</m:t>
            </m:r>
          </m:sub>
        </m:sSub>
      </m:oMath>
      <w:r>
        <w:t xml:space="preserve"> </w:t>
      </w:r>
      <w:r>
        <w:t xml:space="preserve">for each candidate location is proposed as a routine step before installing a deflection sensor for load screening on continuous bridges.</w:t>
      </w:r>
    </w:p>
    <w:bookmarkEnd w:id="48"/>
    <w:bookmarkStart w:id="49" w:name="X91e2010ddb7fadee929cd44ef58bd19510aad72"/>
    <w:p>
      <w:pPr>
        <w:pStyle w:val="Heading2"/>
      </w:pPr>
      <w:r>
        <w:t xml:space="preserve">Appendix A. Two-span beam: influence line and closed form</w:t>
      </w:r>
    </w:p>
    <w:p>
      <w:pPr>
        <w:pStyle w:val="FirstParagraph"/>
      </w:pPr>
      <w:r>
        <w:t xml:space="preserve">For two equal spans</w:t>
      </w:r>
      <w:r>
        <w:t xml:space="preserve"> </w:t>
      </w:r>
      <m:oMath>
        <m:r>
          <m:t>l</m:t>
        </m:r>
      </m:oMath>
      <w:r>
        <w:t xml:space="preserve"> </w:t>
      </w:r>
      <w:r>
        <w:t xml:space="preserve">with a knife-edge interior support, taking the support moment as redundant gives</w:t>
      </w:r>
      <w:r>
        <w:t xml:space="preserve"> </w:t>
      </w:r>
      <m:oMath>
        <m:sSub>
          <m:e>
            <m:r>
              <m:t>M</m:t>
            </m:r>
          </m:e>
          <m:sub>
            <m:r>
              <m:t>B</m:t>
            </m:r>
          </m:sub>
        </m:sSub>
        <m:r>
          <m:rPr>
            <m:sty m:val="p"/>
          </m:rPr>
          <m:t>=</m:t>
        </m:r>
        <m:r>
          <m:rPr>
            <m:sty m:val="p"/>
          </m:rPr>
          <m:t>−</m:t>
        </m:r>
        <m:r>
          <m:t>P</m:t>
        </m:r>
        <m:r>
          <m:t>x</m:t>
        </m:r>
        <m:d>
          <m:dPr>
            <m:begChr m:val="("/>
            <m:endChr m:val=")"/>
            <m:sepChr m:val=""/>
            <m:grow/>
          </m:dPr>
          <m:e>
            <m:sSup>
              <m:e>
                <m:r>
                  <m:t>l</m:t>
                </m:r>
              </m:e>
              <m:sup>
                <m:r>
                  <m:t>2</m:t>
                </m:r>
              </m:sup>
            </m:sSup>
            <m:r>
              <m:rPr>
                <m:sty m:val="p"/>
              </m:rPr>
              <m:t>−</m:t>
            </m:r>
            <m:sSup>
              <m:e>
                <m:r>
                  <m:t>x</m:t>
                </m:r>
              </m:e>
              <m:sup>
                <m:r>
                  <m:t>2</m:t>
                </m:r>
              </m:sup>
            </m:sSup>
          </m:e>
        </m:d>
        <m:r>
          <m:rPr>
            <m:sty m:val="p"/>
          </m:rPr>
          <m:t>/</m:t>
        </m:r>
        <m:d>
          <m:dPr>
            <m:begChr m:val="("/>
            <m:endChr m:val=")"/>
            <m:sepChr m:val=""/>
            <m:grow/>
          </m:dPr>
          <m:e>
            <m:r>
              <m:t>4</m:t>
            </m:r>
            <m:sSup>
              <m:e>
                <m:r>
                  <m:t>l</m:t>
                </m:r>
              </m:e>
              <m:sup>
                <m:r>
                  <m:t>2</m:t>
                </m:r>
              </m:sup>
            </m:sSup>
          </m:e>
        </m:d>
      </m:oMath>
      <w:r>
        <w:t xml:space="preserve"> </w:t>
      </w:r>
      <w:r>
        <w:t xml:space="preserve">for a load on the first span. The reactions for a load at</w:t>
      </w:r>
      <w:r>
        <w:t xml:space="preserve"> </w:t>
      </w:r>
      <m:oMath>
        <m:r>
          <m:t>0</m:t>
        </m:r>
        <m:r>
          <m:rPr>
            <m:sty m:val="p"/>
          </m:rPr>
          <m:t>≤</m:t>
        </m:r>
        <m:r>
          <m:t>x</m:t>
        </m:r>
        <m:r>
          <m:rPr>
            <m:sty m:val="p"/>
          </m:rPr>
          <m:t>≤</m:t>
        </m:r>
        <m:r>
          <m:t>l</m:t>
        </m:r>
      </m:oMath>
      <w:r>
        <w:t xml:space="preserve"> </w:t>
      </w:r>
      <w:r>
        <w:t xml:space="preserve">are</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R</m:t>
                    </m:r>
                  </m:e>
                  <m:sub>
                    <m:r>
                      <m:t>A</m:t>
                    </m:r>
                  </m:sub>
                </m:sSub>
                <m:r>
                  <m:rPr>
                    <m:sty m:val="p"/>
                  </m:rPr>
                  <m:t>=</m:t>
                </m:r>
                <m:r>
                  <m:t>P</m:t>
                </m:r>
                <m:r>
                  <m:t> </m:t>
                </m:r>
                <m:f>
                  <m:fPr>
                    <m:type m:val="bar"/>
                  </m:fPr>
                  <m:num>
                    <m:sSup>
                      <m:e>
                        <m:r>
                          <m:t>x</m:t>
                        </m:r>
                      </m:e>
                      <m:sup>
                        <m:r>
                          <m:t>3</m:t>
                        </m:r>
                      </m:sup>
                    </m:sSup>
                    <m:r>
                      <m:rPr>
                        <m:sty m:val="p"/>
                      </m:rPr>
                      <m:t>−</m:t>
                    </m:r>
                    <m:r>
                      <m:t>5</m:t>
                    </m:r>
                    <m:sSup>
                      <m:e>
                        <m:r>
                          <m:t>l</m:t>
                        </m:r>
                      </m:e>
                      <m:sup>
                        <m:r>
                          <m:t>2</m:t>
                        </m:r>
                      </m:sup>
                    </m:sSup>
                    <m:r>
                      <m:t>x</m:t>
                    </m:r>
                    <m:r>
                      <m:rPr>
                        <m:sty m:val="p"/>
                      </m:rPr>
                      <m:t>+</m:t>
                    </m:r>
                    <m:r>
                      <m:t>4</m:t>
                    </m:r>
                    <m:sSup>
                      <m:e>
                        <m:r>
                          <m:t>l</m:t>
                        </m:r>
                      </m:e>
                      <m:sup>
                        <m:r>
                          <m:t>3</m:t>
                        </m:r>
                      </m:sup>
                    </m:sSup>
                  </m:num>
                  <m:den>
                    <m:r>
                      <m:t>4</m:t>
                    </m:r>
                    <m:sSup>
                      <m:e>
                        <m:r>
                          <m:t>l</m:t>
                        </m:r>
                      </m:e>
                      <m:sup>
                        <m:r>
                          <m:t>3</m:t>
                        </m:r>
                      </m:sup>
                    </m:sSup>
                  </m:den>
                </m:f>
                <m:r>
                  <m:rPr>
                    <m:sty m:val="p"/>
                  </m:rPr>
                  <m:t>,</m:t>
                </m:r>
                <m:r>
                  <m:t>  </m:t>
                </m:r>
                <m:sSub>
                  <m:e>
                    <m:r>
                      <m:t>R</m:t>
                    </m:r>
                  </m:e>
                  <m:sub>
                    <m:r>
                      <m:t>B</m:t>
                    </m:r>
                  </m:sub>
                </m:sSub>
                <m:r>
                  <m:rPr>
                    <m:sty m:val="p"/>
                  </m:rPr>
                  <m:t>=</m:t>
                </m:r>
                <m:r>
                  <m:t>P</m:t>
                </m:r>
                <m:r>
                  <m:t> </m:t>
                </m:r>
                <m:f>
                  <m:fPr>
                    <m:type m:val="bar"/>
                  </m:fPr>
                  <m:num>
                    <m:r>
                      <m:rPr>
                        <m:sty m:val="p"/>
                      </m:rPr>
                      <m:t>−</m:t>
                    </m:r>
                    <m:sSup>
                      <m:e>
                        <m:r>
                          <m:t>x</m:t>
                        </m:r>
                      </m:e>
                      <m:sup>
                        <m:r>
                          <m:t>3</m:t>
                        </m:r>
                      </m:sup>
                    </m:sSup>
                    <m:r>
                      <m:rPr>
                        <m:sty m:val="p"/>
                      </m:rPr>
                      <m:t>+</m:t>
                    </m:r>
                    <m:r>
                      <m:t>3</m:t>
                    </m:r>
                    <m:sSup>
                      <m:e>
                        <m:r>
                          <m:t>l</m:t>
                        </m:r>
                      </m:e>
                      <m:sup>
                        <m:r>
                          <m:t>2</m:t>
                        </m:r>
                      </m:sup>
                    </m:sSup>
                    <m:r>
                      <m:t>x</m:t>
                    </m:r>
                  </m:num>
                  <m:den>
                    <m:r>
                      <m:t>2</m:t>
                    </m:r>
                    <m:sSup>
                      <m:e>
                        <m:r>
                          <m:t>l</m:t>
                        </m:r>
                      </m:e>
                      <m:sup>
                        <m:r>
                          <m:t>3</m:t>
                        </m:r>
                      </m:sup>
                    </m:sSup>
                  </m:den>
                </m:f>
                <m:r>
                  <m:rPr>
                    <m:sty m:val="p"/>
                  </m:rPr>
                  <m:t>,</m:t>
                </m:r>
                <m:r>
                  <m:t>  </m:t>
                </m:r>
                <m:sSub>
                  <m:e>
                    <m:r>
                      <m:t>R</m:t>
                    </m:r>
                  </m:e>
                  <m:sub>
                    <m:r>
                      <m:t>C</m:t>
                    </m:r>
                  </m:sub>
                </m:sSub>
                <m:r>
                  <m:rPr>
                    <m:sty m:val="p"/>
                  </m:rPr>
                  <m:t>=</m:t>
                </m:r>
                <m:r>
                  <m:t>P</m:t>
                </m:r>
                <m:r>
                  <m:t> </m:t>
                </m:r>
                <m:f>
                  <m:fPr>
                    <m:type m:val="bar"/>
                  </m:fPr>
                  <m:num>
                    <m:sSup>
                      <m:e>
                        <m:r>
                          <m:t>x</m:t>
                        </m:r>
                      </m:e>
                      <m:sup>
                        <m:r>
                          <m:t>3</m:t>
                        </m:r>
                      </m:sup>
                    </m:sSup>
                    <m:r>
                      <m:rPr>
                        <m:sty m:val="p"/>
                      </m:rPr>
                      <m:t>−</m:t>
                    </m:r>
                    <m:sSup>
                      <m:e>
                        <m:r>
                          <m:t>l</m:t>
                        </m:r>
                      </m:e>
                      <m:sup>
                        <m:r>
                          <m:t>2</m:t>
                        </m:r>
                      </m:sup>
                    </m:sSup>
                    <m:r>
                      <m:t>x</m:t>
                    </m:r>
                  </m:num>
                  <m:den>
                    <m:r>
                      <m:t>4</m:t>
                    </m:r>
                    <m:sSup>
                      <m:e>
                        <m:r>
                          <m:t>l</m:t>
                        </m:r>
                      </m:e>
                      <m:sup>
                        <m:r>
                          <m:t>3</m:t>
                        </m:r>
                      </m:sup>
                    </m:sSup>
                  </m:den>
                </m:f>
                <m:r>
                  <m:rPr>
                    <m:sty m:val="p"/>
                  </m:rPr>
                  <m:t>,</m:t>
                </m:r>
              </m:oMath>
            </m:oMathPara>
          </w:p>
        </w:tc>
        <w:tc>
          <w:tcPr>
            <w:tcW w:type="dxa" w:w="1088"/>
            <w:vAlign w:val="center"/>
          </w:tcPr>
          <w:p>
            <w:pPr>
              <w:jc w:val="right"/>
            </w:pPr>
            <w:r>
              <w:t xml:space="preserve">(A.1)</w:t>
            </w:r>
          </w:p>
        </w:tc>
      </w:tr>
    </w:tbl>
    <w:p>
      <w:pPr>
        <w:pStyle w:val="BodyText"/>
      </w:pPr>
      <w:r>
        <w:t xml:space="preserve">and for</w:t>
      </w:r>
      <w:r>
        <w:t xml:space="preserve"> </w:t>
      </w:r>
      <m:oMath>
        <m:r>
          <m:t>x</m:t>
        </m:r>
        <m:r>
          <m:rPr>
            <m:sty m:val="p"/>
          </m:rPr>
          <m:t>=</m:t>
        </m:r>
        <m:r>
          <m:t>l</m:t>
        </m:r>
        <m:r>
          <m:rPr>
            <m:sty m:val="p"/>
          </m:rPr>
          <m:t>/</m:t>
        </m:r>
        <m:r>
          <m:t>2</m:t>
        </m:r>
      </m:oMath>
      <w:r>
        <w:t xml:space="preserve"> </w:t>
      </w:r>
      <w:r>
        <w:t xml:space="preserve">Eq. (A.1) gives the classical values</w:t>
      </w:r>
      <w:r>
        <w:t xml:space="preserve"> </w:t>
      </w:r>
      <m:oMath>
        <m:r>
          <m:t>13</m:t>
        </m:r>
        <m:r>
          <m:t>P</m:t>
        </m:r>
        <m:r>
          <m:rPr>
            <m:sty m:val="p"/>
          </m:rPr>
          <m:t>/</m:t>
        </m:r>
        <m:r>
          <m:t>32</m:t>
        </m:r>
      </m:oMath>
      <w:r>
        <w:t xml:space="preserve">,</w:t>
      </w:r>
      <w:r>
        <w:t xml:space="preserve"> </w:t>
      </w:r>
      <m:oMath>
        <m:r>
          <m:t>11</m:t>
        </m:r>
        <m:r>
          <m:t>P</m:t>
        </m:r>
        <m:r>
          <m:rPr>
            <m:sty m:val="p"/>
          </m:rPr>
          <m:t>/</m:t>
        </m:r>
        <m:r>
          <m:t>16</m:t>
        </m:r>
      </m:oMath>
      <w:r>
        <w:t xml:space="preserve"> </w:t>
      </w:r>
      <w:r>
        <w:t xml:space="preserve">and</w:t>
      </w:r>
      <w:r>
        <w:t xml:space="preserve"> </w:t>
      </w:r>
      <m:oMath>
        <m:r>
          <m:rPr>
            <m:sty m:val="p"/>
          </m:rPr>
          <m:t>−</m:t>
        </m:r>
        <m:r>
          <m:t>3</m:t>
        </m:r>
        <m:r>
          <m:t>P</m:t>
        </m:r>
        <m:r>
          <m:rPr>
            <m:sty m:val="p"/>
          </m:rPr>
          <m:t>/</m:t>
        </m:r>
        <m:r>
          <m:t>32</m:t>
        </m:r>
      </m:oMath>
      <w:r>
        <w:t xml:space="preserve">. Double integration on</w:t>
      </w:r>
      <w:r>
        <w:t xml:space="preserve"> </w:t>
      </w:r>
      <m:oMath>
        <m:d>
          <m:dPr>
            <m:begChr m:val="["/>
            <m:endChr m:val="]"/>
            <m:sepChr m:val=""/>
            <m:grow/>
          </m:dPr>
          <m:e>
            <m:r>
              <m:t>0</m:t>
            </m:r>
            <m:r>
              <m:rPr>
                <m:sty m:val="p"/>
              </m:rPr>
              <m:t>,</m:t>
            </m:r>
            <m:r>
              <m:t>x</m:t>
            </m:r>
          </m:e>
        </m:d>
      </m:oMath>
      <w:r>
        <w:t xml:space="preserve">,</w:t>
      </w:r>
      <w:r>
        <w:t xml:space="preserve"> </w:t>
      </w:r>
      <m:oMath>
        <m:d>
          <m:dPr>
            <m:begChr m:val="["/>
            <m:endChr m:val="]"/>
            <m:sepChr m:val=""/>
            <m:grow/>
          </m:dPr>
          <m:e>
            <m:r>
              <m:t>x</m:t>
            </m:r>
            <m:r>
              <m:rPr>
                <m:sty m:val="p"/>
              </m:rPr>
              <m:t>,</m:t>
            </m:r>
            <m:r>
              <m:t>l</m:t>
            </m:r>
          </m:e>
        </m:d>
      </m:oMath>
      <w:r>
        <w:t xml:space="preserve"> </w:t>
      </w:r>
      <w:r>
        <w:t xml:space="preserve">and</w:t>
      </w:r>
      <w:r>
        <w:t xml:space="preserve"> </w:t>
      </w:r>
      <m:oMath>
        <m:d>
          <m:dPr>
            <m:begChr m:val="["/>
            <m:endChr m:val="]"/>
            <m:sepChr m:val=""/>
            <m:grow/>
          </m:dPr>
          <m:e>
            <m:r>
              <m:t>l</m:t>
            </m:r>
            <m:r>
              <m:rPr>
                <m:sty m:val="p"/>
              </m:rPr>
              <m:t>,</m:t>
            </m:r>
            <m:r>
              <m:t>2</m:t>
            </m:r>
            <m:r>
              <m:t>l</m:t>
            </m:r>
          </m:e>
        </m:d>
      </m:oMath>
      <w:r>
        <w:t xml:space="preserve"> </w:t>
      </w:r>
      <w:r>
        <w:t xml:space="preserve">with six displacement conditions (</w:t>
      </w:r>
      <m:oMath>
        <m:r>
          <m:t>y</m:t>
        </m:r>
        <m:d>
          <m:dPr>
            <m:begChr m:val="("/>
            <m:endChr m:val=")"/>
            <m:sepChr m:val=""/>
            <m:grow/>
          </m:dPr>
          <m:e>
            <m:r>
              <m:t>0</m:t>
            </m:r>
          </m:e>
        </m:d>
        <m:r>
          <m:rPr>
            <m:sty m:val="p"/>
          </m:rPr>
          <m:t>=</m:t>
        </m:r>
        <m:r>
          <m:t>0</m:t>
        </m:r>
      </m:oMath>
      <w:r>
        <w:t xml:space="preserve">; continuity of</w:t>
      </w:r>
      <w:r>
        <w:t xml:space="preserve"> </w:t>
      </w:r>
      <m:oMath>
        <m:r>
          <m:t>y</m:t>
        </m:r>
      </m:oMath>
      <w:r>
        <w:t xml:space="preserve"> </w:t>
      </w:r>
      <w:r>
        <w:t xml:space="preserve">and</w:t>
      </w:r>
      <w:r>
        <w:t xml:space="preserve"> </w:t>
      </w:r>
      <m:oMath>
        <m:r>
          <m:t>y</m:t>
        </m:r>
        <m:r>
          <m:rPr>
            <m:sty m:val="p"/>
          </m:rPr>
          <m:t>′</m:t>
        </m:r>
      </m:oMath>
      <w:r>
        <w:t xml:space="preserve"> </w:t>
      </w:r>
      <w:r>
        <w:t xml:space="preserve">at the load;</w:t>
      </w:r>
      <w:r>
        <w:t xml:space="preserve"> </w:t>
      </w:r>
      <m:oMath>
        <m:r>
          <m:t>y</m:t>
        </m:r>
        <m:d>
          <m:dPr>
            <m:begChr m:val="("/>
            <m:endChr m:val=")"/>
            <m:sepChr m:val=""/>
            <m:grow/>
          </m:dPr>
          <m:e>
            <m:r>
              <m:t>l</m:t>
            </m:r>
          </m:e>
        </m:d>
        <m:r>
          <m:rPr>
            <m:sty m:val="p"/>
          </m:rPr>
          <m:t>=</m:t>
        </m:r>
        <m:r>
          <m:t>0</m:t>
        </m:r>
      </m:oMath>
      <w:r>
        <w:t xml:space="preserve"> </w:t>
      </w:r>
      <w:r>
        <w:t xml:space="preserve">from each side;</w:t>
      </w:r>
      <w:r>
        <w:t xml:space="preserve"> </w:t>
      </w:r>
      <m:oMath>
        <m:r>
          <m:t>y</m:t>
        </m:r>
        <m:d>
          <m:dPr>
            <m:begChr m:val="("/>
            <m:endChr m:val=")"/>
            <m:sepChr m:val=""/>
            <m:grow/>
          </m:dPr>
          <m:e>
            <m:r>
              <m:t>2</m:t>
            </m:r>
            <m:r>
              <m:t>l</m:t>
            </m:r>
          </m:e>
        </m:d>
        <m:r>
          <m:rPr>
            <m:sty m:val="p"/>
          </m:rPr>
          <m:t>=</m:t>
        </m:r>
        <m:r>
          <m:t>0</m:t>
        </m:r>
      </m:oMath>
      <w:r>
        <w:t xml:space="preserve">) gives the influence line at</w:t>
      </w:r>
      <w:r>
        <w:t xml:space="preserve"> </w:t>
      </w:r>
      <m:oMath>
        <m:r>
          <m:t>s</m:t>
        </m:r>
        <m:r>
          <m:rPr>
            <m:sty m:val="p"/>
          </m:rPr>
          <m:t>=</m:t>
        </m:r>
        <m:r>
          <m:t>l</m:t>
        </m:r>
        <m:r>
          <m:rPr>
            <m:sty m:val="p"/>
          </m:rPr>
          <m:t>/</m:t>
        </m:r>
        <m:r>
          <m:t>2</m:t>
        </m:r>
      </m:oMath>
      <w:r>
        <w:t xml:space="preserve">:</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r>
                  <m:t>η</m:t>
                </m:r>
                <m:d>
                  <m:dPr>
                    <m:begChr m:val="("/>
                    <m:endChr m:val=")"/>
                    <m:sepChr m:val=""/>
                    <m:grow/>
                  </m:dPr>
                  <m:e>
                    <m:r>
                      <m:t>x</m:t>
                    </m:r>
                  </m:e>
                </m:d>
                <m:r>
                  <m:rPr>
                    <m:sty m:val="p"/>
                  </m:rPr>
                  <m:t>=</m:t>
                </m:r>
                <m:f>
                  <m:fPr>
                    <m:type m:val="bar"/>
                  </m:fPr>
                  <m:num>
                    <m:r>
                      <m:t>1</m:t>
                    </m:r>
                  </m:num>
                  <m:den>
                    <m:r>
                      <m:t>E</m:t>
                    </m:r>
                    <m:r>
                      <m:t>I</m:t>
                    </m:r>
                  </m:den>
                </m:f>
                <m:d>
                  <m:dPr>
                    <m:begChr m:val="{"/>
                    <m:endChr m:val=""/>
                    <m:sepChr m:val=""/>
                    <m:grow/>
                  </m:dPr>
                  <m:e>
                    <m:m>
                      <m:mPr>
                        <m:baseJc m:val="center"/>
                        <m:plcHide m:val="on"/>
                        <m:mcs>
                          <m:mc>
                            <m:mcPr>
                              <m:mcJc m:val="left"/>
                              <m:count m:val="1"/>
                            </m:mcPr>
                          </m:mc>
                          <m:mc>
                            <m:mcPr>
                              <m:mcJc m:val="left"/>
                              <m:count m:val="1"/>
                            </m:mcPr>
                          </m:mc>
                        </m:mcs>
                      </m:mPr>
                      <m:mr>
                        <m:e>
                          <m:f>
                            <m:fPr>
                              <m:type m:val="bar"/>
                            </m:fPr>
                            <m:num>
                              <m:r>
                                <m:t>x</m:t>
                              </m:r>
                              <m:r>
                                <m:t> </m:t>
                              </m:r>
                              <m:d>
                                <m:dPr>
                                  <m:begChr m:val="("/>
                                  <m:endChr m:val=")"/>
                                  <m:sepChr m:val=""/>
                                  <m:grow/>
                                </m:dPr>
                                <m:e>
                                  <m:r>
                                    <m:t>9</m:t>
                                  </m:r>
                                  <m:sSup>
                                    <m:e>
                                      <m:r>
                                        <m:t>l</m:t>
                                      </m:r>
                                    </m:e>
                                    <m:sup>
                                      <m:r>
                                        <m:t>2</m:t>
                                      </m:r>
                                    </m:sup>
                                  </m:sSup>
                                  <m:r>
                                    <m:rPr>
                                      <m:sty m:val="p"/>
                                    </m:rPr>
                                    <m:t>−</m:t>
                                  </m:r>
                                  <m:r>
                                    <m:t>13</m:t>
                                  </m:r>
                                  <m:sSup>
                                    <m:e>
                                      <m:r>
                                        <m:t>x</m:t>
                                      </m:r>
                                    </m:e>
                                    <m:sup>
                                      <m:r>
                                        <m:t>2</m:t>
                                      </m:r>
                                    </m:sup>
                                  </m:sSup>
                                </m:e>
                              </m:d>
                            </m:num>
                            <m:den>
                              <m:r>
                                <m:t>192</m:t>
                              </m:r>
                            </m:den>
                          </m:f>
                          <m:r>
                            <m:rPr>
                              <m:sty m:val="p"/>
                            </m:rPr>
                            <m:t>,</m:t>
                          </m:r>
                        </m:e>
                        <m:e>
                          <m:r>
                            <m:t>0</m:t>
                          </m:r>
                          <m:r>
                            <m:rPr>
                              <m:sty m:val="p"/>
                            </m:rPr>
                            <m:t>≤</m:t>
                          </m:r>
                          <m:r>
                            <m:t>x</m:t>
                          </m:r>
                          <m:r>
                            <m:rPr>
                              <m:sty m:val="p"/>
                            </m:rPr>
                            <m:t>≤</m:t>
                          </m:r>
                          <m:r>
                            <m:t>l</m:t>
                          </m:r>
                          <m:r>
                            <m:rPr>
                              <m:sty m:val="p"/>
                            </m:rPr>
                            <m:t>/</m:t>
                          </m:r>
                          <m:r>
                            <m:t>2</m:t>
                          </m:r>
                          <m:r>
                            <m:rPr>
                              <m:sty m:val="p"/>
                            </m:rPr>
                            <m:t>,</m:t>
                          </m:r>
                        </m:e>
                      </m:mr>
                      <m:mr>
                        <m:e>
                          <m:f>
                            <m:fPr>
                              <m:type m:val="bar"/>
                            </m:fPr>
                            <m:num>
                              <m:d>
                                <m:dPr>
                                  <m:begChr m:val="("/>
                                  <m:endChr m:val=")"/>
                                  <m:sepChr m:val=""/>
                                  <m:grow/>
                                </m:dPr>
                                <m:e>
                                  <m:r>
                                    <m:t>x</m:t>
                                  </m:r>
                                  <m:r>
                                    <m:rPr>
                                      <m:sty m:val="p"/>
                                    </m:rPr>
                                    <m:t>−</m:t>
                                  </m:r>
                                  <m:r>
                                    <m:t>l</m:t>
                                  </m:r>
                                </m:e>
                              </m:d>
                              <m:d>
                                <m:dPr>
                                  <m:begChr m:val="("/>
                                  <m:endChr m:val=")"/>
                                  <m:sepChr m:val=""/>
                                  <m:grow/>
                                </m:dPr>
                                <m:e>
                                  <m:r>
                                    <m:t>4</m:t>
                                  </m:r>
                                  <m:sSup>
                                    <m:e>
                                      <m:r>
                                        <m:t>l</m:t>
                                      </m:r>
                                    </m:e>
                                    <m:sup>
                                      <m:r>
                                        <m:t>2</m:t>
                                      </m:r>
                                    </m:sup>
                                  </m:sSup>
                                  <m:r>
                                    <m:rPr>
                                      <m:sty m:val="p"/>
                                    </m:rPr>
                                    <m:t>−</m:t>
                                  </m:r>
                                  <m:r>
                                    <m:t>29</m:t>
                                  </m:r>
                                  <m:r>
                                    <m:t>l</m:t>
                                  </m:r>
                                  <m:r>
                                    <m:t>x</m:t>
                                  </m:r>
                                  <m:r>
                                    <m:rPr>
                                      <m:sty m:val="p"/>
                                    </m:rPr>
                                    <m:t>+</m:t>
                                  </m:r>
                                  <m:r>
                                    <m:t>19</m:t>
                                  </m:r>
                                  <m:sSup>
                                    <m:e>
                                      <m:r>
                                        <m:t>x</m:t>
                                      </m:r>
                                    </m:e>
                                    <m:sup>
                                      <m:r>
                                        <m:t>2</m:t>
                                      </m:r>
                                    </m:sup>
                                  </m:sSup>
                                </m:e>
                              </m:d>
                            </m:num>
                            <m:den>
                              <m:r>
                                <m:t>192</m:t>
                              </m:r>
                            </m:den>
                          </m:f>
                          <m:r>
                            <m:rPr>
                              <m:sty m:val="p"/>
                            </m:rPr>
                            <m:t>,</m:t>
                          </m:r>
                        </m:e>
                        <m:e>
                          <m:r>
                            <m:t>l</m:t>
                          </m:r>
                          <m:r>
                            <m:rPr>
                              <m:sty m:val="p"/>
                            </m:rPr>
                            <m:t>/</m:t>
                          </m:r>
                          <m:r>
                            <m:t>2</m:t>
                          </m:r>
                          <m:r>
                            <m:rPr>
                              <m:sty m:val="p"/>
                            </m:rPr>
                            <m:t>&lt;</m:t>
                          </m:r>
                          <m:r>
                            <m:t>x</m:t>
                          </m:r>
                          <m:r>
                            <m:rPr>
                              <m:sty m:val="p"/>
                            </m:rPr>
                            <m:t>≤</m:t>
                          </m:r>
                          <m:r>
                            <m:t>l</m:t>
                          </m:r>
                          <m:r>
                            <m:rPr>
                              <m:sty m:val="p"/>
                            </m:rPr>
                            <m:t>,</m:t>
                          </m:r>
                        </m:e>
                      </m:mr>
                      <m:mr>
                        <m:e>
                          <m:f>
                            <m:fPr>
                              <m:type m:val="bar"/>
                            </m:fPr>
                            <m:num>
                              <m:d>
                                <m:dPr>
                                  <m:begChr m:val="("/>
                                  <m:endChr m:val=")"/>
                                  <m:sepChr m:val=""/>
                                  <m:grow/>
                                </m:dPr>
                                <m:e>
                                  <m:r>
                                    <m:t>2</m:t>
                                  </m:r>
                                  <m:r>
                                    <m:t>l</m:t>
                                  </m:r>
                                  <m:r>
                                    <m:rPr>
                                      <m:sty m:val="p"/>
                                    </m:rPr>
                                    <m:t>−</m:t>
                                  </m:r>
                                  <m:r>
                                    <m:t>x</m:t>
                                  </m:r>
                                </m:e>
                              </m:d>
                              <m:d>
                                <m:dPr>
                                  <m:begChr m:val="("/>
                                  <m:endChr m:val=")"/>
                                  <m:sepChr m:val=""/>
                                  <m:grow/>
                                </m:dPr>
                                <m:e>
                                  <m:r>
                                    <m:t>3</m:t>
                                  </m:r>
                                  <m:sSup>
                                    <m:e>
                                      <m:r>
                                        <m:t>l</m:t>
                                      </m:r>
                                    </m:e>
                                    <m:sup>
                                      <m:r>
                                        <m:t>2</m:t>
                                      </m:r>
                                    </m:sup>
                                  </m:sSup>
                                  <m:r>
                                    <m:rPr>
                                      <m:sty m:val="p"/>
                                    </m:rPr>
                                    <m:t>−</m:t>
                                  </m:r>
                                  <m:r>
                                    <m:t>4</m:t>
                                  </m:r>
                                  <m:r>
                                    <m:t>l</m:t>
                                  </m:r>
                                  <m:r>
                                    <m:t>x</m:t>
                                  </m:r>
                                  <m:r>
                                    <m:rPr>
                                      <m:sty m:val="p"/>
                                    </m:rPr>
                                    <m:t>+</m:t>
                                  </m:r>
                                  <m:sSup>
                                    <m:e>
                                      <m:r>
                                        <m:t>x</m:t>
                                      </m:r>
                                    </m:e>
                                    <m:sup>
                                      <m:r>
                                        <m:t>2</m:t>
                                      </m:r>
                                    </m:sup>
                                  </m:sSup>
                                </m:e>
                              </m:d>
                            </m:num>
                            <m:den>
                              <m:r>
                                <m:t>64</m:t>
                              </m:r>
                            </m:den>
                          </m:f>
                          <m:r>
                            <m:rPr>
                              <m:sty m:val="p"/>
                            </m:rPr>
                            <m:t>,</m:t>
                          </m:r>
                        </m:e>
                        <m:e>
                          <m:r>
                            <m:t>l</m:t>
                          </m:r>
                          <m:r>
                            <m:rPr>
                              <m:sty m:val="p"/>
                            </m:rPr>
                            <m:t>&lt;</m:t>
                          </m:r>
                          <m:r>
                            <m:t>x</m:t>
                          </m:r>
                          <m:r>
                            <m:rPr>
                              <m:sty m:val="p"/>
                            </m:rPr>
                            <m:t>≤</m:t>
                          </m:r>
                          <m:r>
                            <m:t>2</m:t>
                          </m:r>
                          <m:r>
                            <m:t>l</m:t>
                          </m:r>
                          <m:r>
                            <m:rPr>
                              <m:sty m:val="p"/>
                            </m:rPr>
                            <m:t>.</m:t>
                          </m:r>
                        </m:e>
                      </m:mr>
                    </m:m>
                  </m:e>
                </m:d>
              </m:oMath>
            </m:oMathPara>
          </w:p>
        </w:tc>
        <w:tc>
          <w:tcPr>
            <w:tcW w:type="dxa" w:w="1088"/>
            <w:vAlign w:val="center"/>
          </w:tcPr>
          <w:p>
            <w:pPr>
              <w:jc w:val="right"/>
            </w:pPr>
            <w:r>
              <w:t xml:space="preserve">(A.2)</w:t>
            </w:r>
          </w:p>
        </w:tc>
      </w:tr>
    </w:tbl>
    <w:p>
      <w:pPr>
        <w:pStyle w:val="BodyText"/>
      </w:pPr>
      <w:r>
        <w:t xml:space="preserve">The influence line neglects the 400 mm of overhang beyond the end supports. Eq. (A.2) is continuous and twice differentiable at</w:t>
      </w:r>
      <w:r>
        <w:t xml:space="preserve"> </w:t>
      </w:r>
      <m:oMath>
        <m:r>
          <m:t>x</m:t>
        </m:r>
        <m:r>
          <m:rPr>
            <m:sty m:val="p"/>
          </m:rPr>
          <m:t>=</m:t>
        </m:r>
        <m:r>
          <m:t>l</m:t>
        </m:r>
        <m:r>
          <m:rPr>
            <m:sty m:val="p"/>
          </m:rPr>
          <m:t>/</m:t>
        </m:r>
        <m:r>
          <m:t>2</m:t>
        </m:r>
      </m:oMath>
      <w:r>
        <w:t xml:space="preserve"> </w:t>
      </w:r>
      <w:r>
        <w:t xml:space="preserve">and</w:t>
      </w:r>
      <w:r>
        <w:t xml:space="preserve"> </w:t>
      </w:r>
      <m:oMath>
        <m:r>
          <m:t>x</m:t>
        </m:r>
        <m:r>
          <m:rPr>
            <m:sty m:val="p"/>
          </m:rPr>
          <m:t>=</m:t>
        </m:r>
        <m:r>
          <m:t>l</m:t>
        </m:r>
      </m:oMath>
      <w:r>
        <w:t xml:space="preserve">; the third branch carries the denominator</w:t>
      </w:r>
      <w:r>
        <w:t xml:space="preserve"> </w:t>
      </w:r>
      <m:oMath>
        <m:r>
          <m:t>64</m:t>
        </m:r>
        <m:r>
          <m:t>E</m:t>
        </m:r>
        <m:r>
          <m:t>I</m:t>
        </m:r>
      </m:oMath>
      <w:r>
        <w:t xml:space="preserve">, not</w:t>
      </w:r>
      <w:r>
        <w:t xml:space="preserve"> </w:t>
      </w:r>
      <m:oMath>
        <m:r>
          <m:t>192</m:t>
        </m:r>
        <m:r>
          <m:t>E</m:t>
        </m:r>
        <m:r>
          <m:t>I</m:t>
        </m:r>
      </m:oMath>
      <w:r>
        <w:t xml:space="preserve">.</w:t>
      </w:r>
    </w:p>
    <w:p>
      <w:pPr>
        <w:pStyle w:val="BodyText"/>
      </w:pPr>
      <w:r>
        <w:t xml:space="preserve">At mid-span the deflection under a mid-span load is</w:t>
      </w:r>
      <w:r>
        <w:t xml:space="preserve"> </w:t>
      </w:r>
      <m:oMath>
        <m:r>
          <m:t>2.875</m:t>
        </m:r>
        <m:r>
          <m:t>P</m:t>
        </m:r>
        <m:sSup>
          <m:e>
            <m:r>
              <m:t>l</m:t>
            </m:r>
          </m:e>
          <m:sup>
            <m:r>
              <m:t>3</m:t>
            </m:r>
          </m:sup>
        </m:sSup>
        <m:r>
          <m:rPr>
            <m:sty m:val="p"/>
          </m:rPr>
          <m:t>/</m:t>
        </m:r>
        <m:d>
          <m:dPr>
            <m:begChr m:val="("/>
            <m:endChr m:val=")"/>
            <m:sepChr m:val=""/>
            <m:grow/>
          </m:dPr>
          <m:e>
            <m:r>
              <m:t>192</m:t>
            </m:r>
            <m:r>
              <m:t>E</m:t>
            </m:r>
            <m:r>
              <m:t>I</m:t>
            </m:r>
          </m:e>
        </m:d>
      </m:oMath>
      <w:r>
        <w:t xml:space="preserve">, 71.9 % of the simply supported value; the maximum over load position, at</w:t>
      </w:r>
      <w:r>
        <w:t xml:space="preserve"> </w:t>
      </w:r>
      <m:oMath>
        <m:r>
          <m:t>x</m:t>
        </m:r>
        <m:r>
          <m:rPr>
            <m:sty m:val="p"/>
          </m:rPr>
          <m:t>=</m:t>
        </m:r>
        <m:r>
          <m:t>0.480</m:t>
        </m:r>
        <m:r>
          <m:t>l</m:t>
        </m:r>
      </m:oMath>
      <w:r>
        <w:t xml:space="preserve">, is 72.1 %.</w:t>
      </w:r>
    </w:p>
    <w:p>
      <w:pPr>
        <w:pStyle w:val="BodyText"/>
      </w:pPr>
      <w:r>
        <w:t xml:space="preserve">For unequal spans, the uniform-load support moment is</w:t>
      </w:r>
      <w:r>
        <w:t xml:space="preserve"> </w:t>
      </w:r>
      <m:oMath>
        <m:sSub>
          <m:e>
            <m:r>
              <m:t>M</m:t>
            </m:r>
          </m:e>
          <m:sub>
            <m:r>
              <m:t>B</m:t>
            </m:r>
          </m:sub>
        </m:sSub>
        <m:r>
          <m:rPr>
            <m:sty m:val="p"/>
          </m:rPr>
          <m:t>=</m:t>
        </m:r>
        <m:r>
          <m:rPr>
            <m:sty m:val="p"/>
          </m:rPr>
          <m:t>−</m:t>
        </m:r>
        <m:sSub>
          <m:e>
            <m:r>
              <m:t>q</m:t>
            </m:r>
          </m:e>
          <m:sub>
            <m:r>
              <m:t>0</m:t>
            </m:r>
          </m:sub>
        </m:sSub>
        <m:d>
          <m:dPr>
            <m:begChr m:val="("/>
            <m:endChr m:val=")"/>
            <m:sepChr m:val=""/>
            <m:grow/>
          </m:dPr>
          <m:e>
            <m:sSubSup>
              <m:e>
                <m:r>
                  <m:t>L</m:t>
                </m:r>
              </m:e>
              <m:sub>
                <m:r>
                  <m:t>1</m:t>
                </m:r>
              </m:sub>
              <m:sup>
                <m:r>
                  <m:t>3</m:t>
                </m:r>
              </m:sup>
            </m:sSubSup>
            <m:r>
              <m:rPr>
                <m:sty m:val="p"/>
              </m:rPr>
              <m:t>/</m:t>
            </m:r>
            <m:r>
              <m:t>E</m:t>
            </m:r>
            <m:sSub>
              <m:e>
                <m:r>
                  <m:t>I</m:t>
                </m:r>
              </m:e>
              <m:sub>
                <m:r>
                  <m:t>1</m:t>
                </m:r>
              </m:sub>
            </m:sSub>
            <m:r>
              <m:rPr>
                <m:sty m:val="p"/>
              </m:rPr>
              <m:t>+</m:t>
            </m:r>
            <m:sSubSup>
              <m:e>
                <m:r>
                  <m:t>L</m:t>
                </m:r>
              </m:e>
              <m:sub>
                <m:r>
                  <m:t>2</m:t>
                </m:r>
              </m:sub>
              <m:sup>
                <m:r>
                  <m:t>3</m:t>
                </m:r>
              </m:sup>
            </m:sSubSup>
            <m:r>
              <m:rPr>
                <m:sty m:val="p"/>
              </m:rPr>
              <m:t>/</m:t>
            </m:r>
            <m:r>
              <m:t>E</m:t>
            </m:r>
            <m:sSub>
              <m:e>
                <m:r>
                  <m:t>I</m:t>
                </m:r>
              </m:e>
              <m:sub>
                <m:r>
                  <m:t>2</m:t>
                </m:r>
              </m:sub>
            </m:sSub>
          </m:e>
        </m:d>
        <m:r>
          <m:rPr>
            <m:sty m:val="p"/>
          </m:rPr>
          <m:t>/</m:t>
        </m:r>
        <m:d>
          <m:dPr>
            <m:begChr m:val="["/>
            <m:endChr m:val="]"/>
            <m:sepChr m:val=""/>
            <m:grow/>
          </m:dPr>
          <m:e>
            <m:r>
              <m:t>8</m:t>
            </m:r>
            <m:d>
              <m:dPr>
                <m:begChr m:val="("/>
                <m:endChr m:val=")"/>
                <m:sepChr m:val=""/>
                <m:grow/>
              </m:dPr>
              <m:e>
                <m:sSub>
                  <m:e>
                    <m:r>
                      <m:t>L</m:t>
                    </m:r>
                  </m:e>
                  <m:sub>
                    <m:r>
                      <m:t>1</m:t>
                    </m:r>
                  </m:sub>
                </m:sSub>
                <m:r>
                  <m:rPr>
                    <m:sty m:val="p"/>
                  </m:rPr>
                  <m:t>/</m:t>
                </m:r>
                <m:r>
                  <m:t>E</m:t>
                </m:r>
                <m:sSub>
                  <m:e>
                    <m:r>
                      <m:t>I</m:t>
                    </m:r>
                  </m:e>
                  <m:sub>
                    <m:r>
                      <m:t>1</m:t>
                    </m:r>
                  </m:sub>
                </m:sSub>
                <m:r>
                  <m:rPr>
                    <m:sty m:val="p"/>
                  </m:rPr>
                  <m:t>+</m:t>
                </m:r>
                <m:sSub>
                  <m:e>
                    <m:r>
                      <m:t>L</m:t>
                    </m:r>
                  </m:e>
                  <m:sub>
                    <m:r>
                      <m:t>2</m:t>
                    </m:r>
                  </m:sub>
                </m:sSub>
                <m:r>
                  <m:rPr>
                    <m:sty m:val="p"/>
                  </m:rPr>
                  <m:t>/</m:t>
                </m:r>
                <m:r>
                  <m:t>E</m:t>
                </m:r>
                <m:sSub>
                  <m:e>
                    <m:r>
                      <m:t>I</m:t>
                    </m:r>
                  </m:e>
                  <m:sub>
                    <m:r>
                      <m:t>2</m:t>
                    </m:r>
                  </m:sub>
                </m:sSub>
              </m:e>
            </m:d>
          </m:e>
        </m:d>
      </m:oMath>
      <w:r>
        <w:t xml:space="preserve">. Superposing the simply supported uniform-load deflection of span 1 and the deflection due to</w:t>
      </w:r>
      <w:r>
        <w:t xml:space="preserve"> </w:t>
      </w:r>
      <m:oMath>
        <m:sSub>
          <m:e>
            <m:r>
              <m:t>M</m:t>
            </m:r>
          </m:e>
          <m:sub>
            <m:r>
              <m:t>B</m:t>
            </m:r>
          </m:sub>
        </m:sSub>
      </m:oMath>
      <w:r>
        <w:t xml:space="preserve">, evaluating at</w:t>
      </w:r>
      <w:r>
        <w:t xml:space="preserve"> </w:t>
      </w:r>
      <m:oMath>
        <m:sSub>
          <m:e>
            <m:r>
              <m:t>x</m:t>
            </m:r>
          </m:e>
          <m:sub>
            <m:r>
              <m:t>m</m:t>
            </m:r>
          </m:sub>
        </m:sSub>
      </m:oMath>
      <w:r>
        <w:t xml:space="preserve"> </w:t>
      </w:r>
      <w:r>
        <w:t xml:space="preserve">and dividing by</w:t>
      </w:r>
      <w:r>
        <w:t xml:space="preserve"> </w:t>
      </w:r>
      <m:oMath>
        <m:sSub>
          <m:e>
            <m:r>
              <m:t>q</m:t>
            </m:r>
          </m:e>
          <m:sub>
            <m:r>
              <m:t>0</m:t>
            </m:r>
          </m:sub>
        </m:sSub>
      </m:oMath>
      <w:r>
        <w:t xml:space="preserve"> </w:t>
      </w:r>
      <w:r>
        <w:t xml:space="preserve">gives Eq. (4) with</w:t>
      </w:r>
      <w:r>
        <w:t xml:space="preserve"> </w:t>
      </w:r>
      <m:oMath>
        <m:r>
          <m:t>μ</m:t>
        </m:r>
        <m:r>
          <m:rPr>
            <m:sty m:val="p"/>
          </m:rPr>
          <m:t>=</m:t>
        </m:r>
        <m:r>
          <m:rPr>
            <m:sty m:val="p"/>
          </m:rPr>
          <m:t>−</m:t>
        </m:r>
        <m:r>
          <m:t>8</m:t>
        </m:r>
        <m:sSub>
          <m:e>
            <m:r>
              <m:t>M</m:t>
            </m:r>
          </m:e>
          <m:sub>
            <m:r>
              <m:t>B</m:t>
            </m:r>
          </m:sub>
        </m:sSub>
        <m:r>
          <m:rPr>
            <m:sty m:val="p"/>
          </m:rPr>
          <m:t>/</m:t>
        </m:r>
        <m:d>
          <m:dPr>
            <m:begChr m:val="("/>
            <m:endChr m:val=")"/>
            <m:sepChr m:val=""/>
            <m:grow/>
          </m:dPr>
          <m:e>
            <m:sSub>
              <m:e>
                <m:r>
                  <m:t>q</m:t>
                </m:r>
              </m:e>
              <m:sub>
                <m:r>
                  <m:t>0</m:t>
                </m:r>
              </m:sub>
            </m:sSub>
            <m:sSubSup>
              <m:e>
                <m:r>
                  <m:t>L</m:t>
                </m:r>
              </m:e>
              <m:sub>
                <m:r>
                  <m:t>1</m:t>
                </m:r>
              </m:sub>
              <m:sup>
                <m:r>
                  <m:t>2</m:t>
                </m:r>
              </m:sup>
            </m:sSubSup>
          </m:e>
        </m:d>
      </m:oMath>
      <w:r>
        <w:t xml:space="preserve">, which is Eq. (5). Differentiating</w:t>
      </w:r>
      <w:r>
        <w:t xml:space="preserve"> </w:t>
      </w:r>
      <m:oMath>
        <m:r>
          <m:t>μ</m:t>
        </m:r>
      </m:oMath>
      <w:r>
        <w:t xml:space="preserve"> </w:t>
      </w:r>
      <w:r>
        <w:t xml:space="preserve">with respect to</w:t>
      </w:r>
      <w:r>
        <w:t xml:space="preserve"> </w:t>
      </w:r>
      <m:oMath>
        <m:sSub>
          <m:e>
            <m:r>
              <m:t>ρ</m:t>
            </m:r>
          </m:e>
          <m:sub>
            <m:r>
              <m:t>L</m:t>
            </m:r>
          </m:sub>
        </m:sSub>
      </m:oMath>
      <w:r>
        <w:t xml:space="preserve"> </w:t>
      </w:r>
      <w:r>
        <w:t xml:space="preserve">gives a numerator</w:t>
      </w:r>
      <w:r>
        <w:t xml:space="preserve"> </w:t>
      </w:r>
      <m:oMath>
        <m:sSub>
          <m:e>
            <m:r>
              <m:t>ρ</m:t>
            </m:r>
          </m:e>
          <m:sub>
            <m:r>
              <m:t>E</m:t>
            </m:r>
            <m:r>
              <m:t>I</m:t>
            </m:r>
          </m:sub>
        </m:sSub>
        <m:d>
          <m:dPr>
            <m:begChr m:val="("/>
            <m:endChr m:val=")"/>
            <m:sepChr m:val=""/>
            <m:grow/>
          </m:dPr>
          <m:e>
            <m:r>
              <m:t>3</m:t>
            </m:r>
            <m:sSubSup>
              <m:e>
                <m:r>
                  <m:t>ρ</m:t>
                </m:r>
              </m:e>
              <m:sub>
                <m:r>
                  <m:t>L</m:t>
                </m:r>
              </m:sub>
              <m:sup>
                <m:r>
                  <m:t>2</m:t>
                </m:r>
              </m:sup>
            </m:sSubSup>
            <m:r>
              <m:rPr>
                <m:sty m:val="p"/>
              </m:rPr>
              <m:t>−</m:t>
            </m:r>
            <m:r>
              <m:t>1</m:t>
            </m:r>
          </m:e>
        </m:d>
        <m:r>
          <m:rPr>
            <m:sty m:val="p"/>
          </m:rPr>
          <m:t>+</m:t>
        </m:r>
        <m:r>
          <m:t>2</m:t>
        </m:r>
        <m:sSubSup>
          <m:e>
            <m:r>
              <m:t>ρ</m:t>
            </m:r>
          </m:e>
          <m:sub>
            <m:r>
              <m:t>L</m:t>
            </m:r>
          </m:sub>
          <m:sup>
            <m:r>
              <m:t>3</m:t>
            </m:r>
          </m:sup>
        </m:sSubSup>
      </m:oMath>
      <w:r>
        <w:t xml:space="preserve">; for</w:t>
      </w:r>
      <w:r>
        <w:t xml:space="preserve"> </w:t>
      </w:r>
      <m:oMath>
        <m:sSub>
          <m:e>
            <m:r>
              <m:t>ρ</m:t>
            </m:r>
          </m:e>
          <m:sub>
            <m:r>
              <m:t>E</m:t>
            </m:r>
            <m:r>
              <m:t>I</m:t>
            </m:r>
          </m:sub>
        </m:sSub>
        <m:r>
          <m:rPr>
            <m:sty m:val="p"/>
          </m:rPr>
          <m:t>=</m:t>
        </m:r>
        <m:r>
          <m:t>1</m:t>
        </m:r>
      </m:oMath>
      <w:r>
        <w:t xml:space="preserve">,</w:t>
      </w:r>
      <w:r>
        <w:t xml:space="preserve"> </w:t>
      </w:r>
      <m:oMath>
        <m:r>
          <m:t>μ</m:t>
        </m:r>
      </m:oMath>
      <w:r>
        <w:t xml:space="preserve"> </w:t>
      </w:r>
      <w:r>
        <w:t xml:space="preserve">falls to 0.750 at</w:t>
      </w:r>
      <w:r>
        <w:t xml:space="preserve"> </w:t>
      </w:r>
      <m:oMath>
        <m:sSub>
          <m:e>
            <m:r>
              <m:t>ρ</m:t>
            </m:r>
          </m:e>
          <m:sub>
            <m:r>
              <m:t>L</m:t>
            </m:r>
          </m:sub>
        </m:sSub>
        <m:r>
          <m:rPr>
            <m:sty m:val="p"/>
          </m:rPr>
          <m:t>=</m:t>
        </m:r>
        <m:r>
          <m:t>1</m:t>
        </m:r>
        <m:r>
          <m:rPr>
            <m:sty m:val="p"/>
          </m:rPr>
          <m:t>/</m:t>
        </m:r>
        <m:r>
          <m:t>2</m:t>
        </m:r>
      </m:oMath>
      <w:r>
        <w:t xml:space="preserve">, passes 1 at equal spans and reaches 3 at</w:t>
      </w:r>
      <w:r>
        <w:t xml:space="preserve"> </w:t>
      </w:r>
      <m:oMath>
        <m:sSub>
          <m:e>
            <m:r>
              <m:t>ρ</m:t>
            </m:r>
          </m:e>
          <m:sub>
            <m:r>
              <m:t>L</m:t>
            </m:r>
          </m:sub>
        </m:sSub>
        <m:r>
          <m:rPr>
            <m:sty m:val="p"/>
          </m:rPr>
          <m:t>=</m:t>
        </m:r>
        <m:r>
          <m:t>2</m:t>
        </m:r>
      </m:oMath>
      <w:r>
        <w:t xml:space="preserve">. Table A.1 lists the normalised constant against the span ratio for a mid-span sensor.</w:t>
      </w:r>
    </w:p>
    <w:p>
      <w:pPr>
        <w:pStyle w:val="BodyText"/>
      </w:pPr>
      <w:r>
        <w:t xml:space="preserve">The blind condition has a mechanical reading. In units of</w:t>
      </w:r>
      <w:r>
        <w:t xml:space="preserve"> </w:t>
      </w:r>
      <m:oMath>
        <m:sSubSup>
          <m:e>
            <m:r>
              <m:t>L</m:t>
            </m:r>
          </m:e>
          <m:sub>
            <m:r>
              <m:t>1</m:t>
            </m:r>
          </m:sub>
          <m:sup>
            <m:r>
              <m:t>4</m:t>
            </m:r>
          </m:sup>
        </m:sSubSup>
        <m:r>
          <m:rPr>
            <m:sty m:val="p"/>
          </m:rPr>
          <m:t>/</m:t>
        </m:r>
        <m:d>
          <m:dPr>
            <m:begChr m:val="("/>
            <m:endChr m:val=")"/>
            <m:sepChr m:val=""/>
            <m:grow/>
          </m:dPr>
          <m:e>
            <m:r>
              <m:t>192</m:t>
            </m:r>
            <m:r>
              <m:t>E</m:t>
            </m:r>
            <m:sSub>
              <m:e>
                <m:r>
                  <m:t>I</m:t>
                </m:r>
              </m:e>
              <m:sub>
                <m:r>
                  <m:t>1</m:t>
                </m:r>
              </m:sub>
            </m:sSub>
          </m:e>
        </m:d>
      </m:oMath>
      <w:r>
        <w:t xml:space="preserve"> </w:t>
      </w:r>
      <w:r>
        <w:t xml:space="preserve">and for a mid-span sensor, the positive contribution of the instrumented span,</w:t>
      </w:r>
      <w:r>
        <w:t xml:space="preserve"> </w:t>
      </w:r>
      <m:oMath>
        <m:sSubSup>
          <m:e>
            <m:r>
              <m:t>C</m:t>
            </m:r>
          </m:e>
          <m:sub>
            <m:r>
              <m:t>m</m:t>
            </m:r>
          </m:sub>
          <m:sup>
            <m:r>
              <m:rPr>
                <m:sty m:val="p"/>
              </m:rPr>
              <m:t>+</m:t>
            </m:r>
          </m:sup>
        </m:sSubSup>
      </m:oMath>
      <w:r>
        <w:t xml:space="preserve">, varies only between 1.50 and 2.00 for</w:t>
      </w:r>
      <w:r>
        <w:t xml:space="preserve"> </w:t>
      </w:r>
      <m:oMath>
        <m:sSub>
          <m:e>
            <m:r>
              <m:t>ρ</m:t>
            </m:r>
          </m:e>
          <m:sub>
            <m:r>
              <m:t>L</m:t>
            </m:r>
          </m:sub>
        </m:sSub>
      </m:oMath>
      <w:r>
        <w:t xml:space="preserve"> </w:t>
      </w:r>
      <w:r>
        <w:t xml:space="preserve">from 0.5 to 2.0, whereas the negative contribution of the adjacent span,</w:t>
      </w:r>
      <w:r>
        <w:t xml:space="preserve"> </w:t>
      </w:r>
      <m:oMath>
        <m:sSubSup>
          <m:e>
            <m:r>
              <m:t>C</m:t>
            </m:r>
          </m:e>
          <m:sub>
            <m:r>
              <m:t>m</m:t>
            </m:r>
          </m:sub>
          <m:sup>
            <m:r>
              <m:rPr>
                <m:sty m:val="p"/>
              </m:rPr>
              <m:t>−</m:t>
            </m:r>
          </m:sup>
        </m:sSubSup>
      </m:oMath>
      <w:r>
        <w:t xml:space="preserve">, sweeps from −0.125 to −4.00; the degeneracy is driven almost entirely by the adjacent span. For equal spans</w:t>
      </w:r>
      <w:r>
        <w:t xml:space="preserve"> </w:t>
      </w:r>
      <m:oMath>
        <m:sSubSup>
          <m:e>
            <m:r>
              <m:t>C</m:t>
            </m:r>
          </m:e>
          <m:sub>
            <m:r>
              <m:t>m</m:t>
            </m:r>
          </m:sub>
          <m:sup>
            <m:r>
              <m:rPr>
                <m:sty m:val="p"/>
              </m:rPr>
              <m:t>+</m:t>
            </m:r>
          </m:sup>
        </m:sSubSup>
        <m:r>
          <m:rPr>
            <m:sty m:val="p"/>
          </m:rPr>
          <m:t>=</m:t>
        </m:r>
        <m:r>
          <m:t>1.750</m:t>
        </m:r>
      </m:oMath>
      <w:r>
        <w:t xml:space="preserve"> </w:t>
      </w:r>
      <w:r>
        <w:t xml:space="preserve">and</w:t>
      </w:r>
      <w:r>
        <w:t xml:space="preserve"> </w:t>
      </w:r>
      <m:oMath>
        <m:sSubSup>
          <m:e>
            <m:r>
              <m:t>C</m:t>
            </m:r>
          </m:e>
          <m:sub>
            <m:r>
              <m:t>m</m:t>
            </m:r>
          </m:sub>
          <m:sup>
            <m:r>
              <m:rPr>
                <m:sty m:val="p"/>
              </m:rPr>
              <m:t>−</m:t>
            </m:r>
          </m:sup>
        </m:sSubSup>
        <m:r>
          <m:rPr>
            <m:sty m:val="p"/>
          </m:rPr>
          <m:t>=</m:t>
        </m:r>
        <m:r>
          <m:rPr>
            <m:sty m:val="p"/>
          </m:rPr>
          <m:t>−</m:t>
        </m:r>
        <m:r>
          <m:t>0.750</m:t>
        </m:r>
      </m:oMath>
      <w:r>
        <w:t xml:space="preserve">, so the net constant is only 4/7 of the positive part. Moving the sensor from</w:t>
      </w:r>
      <w:r>
        <w:t xml:space="preserve"> </w:t>
      </w:r>
      <m:oMath>
        <m:r>
          <m:t>0.50</m:t>
        </m:r>
        <m:sSub>
          <m:e>
            <m:r>
              <m:t>L</m:t>
            </m:r>
          </m:e>
          <m:sub>
            <m:r>
              <m:t>1</m:t>
            </m:r>
          </m:sub>
        </m:sSub>
      </m:oMath>
      <w:r>
        <w:t xml:space="preserve"> </w:t>
      </w:r>
      <w:r>
        <w:t xml:space="preserve">to</w:t>
      </w:r>
      <w:r>
        <w:t xml:space="preserve"> </w:t>
      </w:r>
      <m:oMath>
        <m:r>
          <m:t>0.42</m:t>
        </m:r>
        <m:sSub>
          <m:e>
            <m:r>
              <m:t>L</m:t>
            </m:r>
          </m:e>
          <m:sub>
            <m:r>
              <m:t>1</m:t>
            </m:r>
          </m:sub>
        </m:sSub>
      </m:oMath>
      <w:r>
        <w:t xml:space="preserve"> </w:t>
      </w:r>
      <w:r>
        <w:t xml:space="preserve">lowers the positive contribution only from 1.750 to 1.732 but the magnitude of the negative one from 0.750 to 0.692, so the net constant rises from 1.000 to 1.040. The optimum therefore lies towards the outer support, where the adjacent span interferes less; on a simply supported beam mid-span is optimal by symmetry, so the shift is a signature of continuity.</w:t>
      </w:r>
    </w:p>
    <w:p>
      <w:pPr>
        <w:pStyle w:val="BodyText"/>
      </w:pPr>
      <w:r>
        <w:rPr>
          <w:bCs/>
          <w:b/>
        </w:rPr>
        <w:t xml:space="preserve">Table A.1.</w:t>
      </w:r>
      <w:r>
        <w:t xml:space="preserve"> </w:t>
      </w:r>
      <m:oMath>
        <m:r>
          <m:t>192</m:t>
        </m:r>
        <m:r>
          <m:t>E</m:t>
        </m:r>
        <m:sSub>
          <m:e>
            <m:r>
              <m:t>I</m:t>
            </m:r>
          </m:e>
          <m:sub>
            <m:r>
              <m:t>1</m:t>
            </m:r>
          </m:sub>
        </m:sSub>
        <m:sSub>
          <m:e>
            <m:r>
              <m:t>C</m:t>
            </m:r>
          </m:e>
          <m:sub>
            <m:r>
              <m:t>m</m:t>
            </m:r>
          </m:sub>
        </m:sSub>
        <m:r>
          <m:rPr>
            <m:sty m:val="p"/>
          </m:rPr>
          <m:t>/</m:t>
        </m:r>
        <m:sSubSup>
          <m:e>
            <m:r>
              <m:t>L</m:t>
            </m:r>
          </m:e>
          <m:sub>
            <m:r>
              <m:t>1</m:t>
            </m:r>
          </m:sub>
          <m:sup>
            <m:r>
              <m:t>4</m:t>
            </m:r>
          </m:sup>
        </m:sSubSup>
      </m:oMath>
      <w:r>
        <w:t xml:space="preserve"> </w:t>
      </w:r>
      <w:r>
        <w:t xml:space="preserve">against the span ratio, sensor at mid-span, uniform stiffness.</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866"/>
        <w:gridCol w:w="866"/>
        <w:gridCol w:w="866"/>
        <w:gridCol w:w="866"/>
        <w:gridCol w:w="866"/>
        <w:gridCol w:w="866"/>
        <w:gridCol w:w="866"/>
        <w:gridCol w:w="866"/>
        <w:gridCol w:w="1133"/>
        <w:gridCol w:w="1000"/>
      </w:tblGrid>
      <w:tr>
        <w:trPr>
          <w:tblHeader w:val="true"/>
        </w:trPr>
        <w:tc>
          <w:tcPr>
            <w:tcW w:type="dxa" w:w="866"/>
            <w:tcBorders>
              <w:top w:val="nil"/>
              <w:left w:val="nil"/>
              <w:bottom w:val="single" w:sz="6" w:space="0" w:color="000000"/>
              <w:right w:val="nil"/>
            </w:tcBorders>
          </w:tcPr>
          <w:p>
            <w:pPr>
              <w:pStyle w:val="Compact"/>
              <w:jc w:val="left"/>
            </w:pPr>
            <m:oMath>
              <m:sSub>
                <m:e>
                  <m:r>
                    <m:t>L</m:t>
                  </m:r>
                </m:e>
                <m:sub>
                  <m:r>
                    <m:t>2</m:t>
                  </m:r>
                </m:sub>
              </m:sSub>
              <m:r>
                <m:rPr>
                  <m:sty m:val="p"/>
                </m:rPr>
                <m:t>/</m:t>
              </m:r>
              <m:sSub>
                <m:e>
                  <m:r>
                    <m:t>L</m:t>
                  </m:r>
                </m:e>
                <m:sub>
                  <m:r>
                    <m:t>1</m:t>
                  </m:r>
                </m:sub>
              </m:sSub>
            </m:oMath>
          </w:p>
        </w:tc>
        <w:tc>
          <w:tcPr>
            <w:tcW w:type="dxa" w:w="866"/>
            <w:tcBorders>
              <w:top w:val="nil"/>
              <w:left w:val="nil"/>
              <w:bottom w:val="single" w:sz="6" w:space="0" w:color="000000"/>
              <w:right w:val="nil"/>
            </w:tcBorders>
          </w:tcPr>
          <w:p>
            <w:pPr>
              <w:pStyle w:val="Compact"/>
              <w:jc w:val="left"/>
            </w:pPr>
            <w:r>
              <w:t xml:space="preserve">0.5</w:t>
            </w:r>
          </w:p>
        </w:tc>
        <w:tc>
          <w:tcPr>
            <w:tcW w:type="dxa" w:w="866"/>
            <w:tcBorders>
              <w:top w:val="nil"/>
              <w:left w:val="nil"/>
              <w:bottom w:val="single" w:sz="6" w:space="0" w:color="000000"/>
              <w:right w:val="nil"/>
            </w:tcBorders>
          </w:tcPr>
          <w:p>
            <w:pPr>
              <w:pStyle w:val="Compact"/>
              <w:jc w:val="left"/>
            </w:pPr>
            <w:r>
              <w:t xml:space="preserve">0.7</w:t>
            </w:r>
          </w:p>
        </w:tc>
        <w:tc>
          <w:tcPr>
            <w:tcW w:type="dxa" w:w="866"/>
            <w:tcBorders>
              <w:top w:val="nil"/>
              <w:left w:val="nil"/>
              <w:bottom w:val="single" w:sz="6" w:space="0" w:color="000000"/>
              <w:right w:val="nil"/>
            </w:tcBorders>
          </w:tcPr>
          <w:p>
            <w:pPr>
              <w:pStyle w:val="Compact"/>
              <w:jc w:val="left"/>
            </w:pPr>
            <w:r>
              <w:t xml:space="preserve">0.8</w:t>
            </w:r>
          </w:p>
        </w:tc>
        <w:tc>
          <w:tcPr>
            <w:tcW w:type="dxa" w:w="866"/>
            <w:tcBorders>
              <w:top w:val="nil"/>
              <w:left w:val="nil"/>
              <w:bottom w:val="single" w:sz="6" w:space="0" w:color="000000"/>
              <w:right w:val="nil"/>
            </w:tcBorders>
          </w:tcPr>
          <w:p>
            <w:pPr>
              <w:pStyle w:val="Compact"/>
              <w:jc w:val="left"/>
            </w:pPr>
            <w:r>
              <w:t xml:space="preserve">1.0</w:t>
            </w:r>
          </w:p>
        </w:tc>
        <w:tc>
          <w:tcPr>
            <w:tcW w:type="dxa" w:w="866"/>
            <w:tcBorders>
              <w:top w:val="nil"/>
              <w:left w:val="nil"/>
              <w:bottom w:val="single" w:sz="6" w:space="0" w:color="000000"/>
              <w:right w:val="nil"/>
            </w:tcBorders>
          </w:tcPr>
          <w:p>
            <w:pPr>
              <w:pStyle w:val="Compact"/>
              <w:jc w:val="left"/>
            </w:pPr>
            <w:r>
              <w:t xml:space="preserve">1.2</w:t>
            </w:r>
          </w:p>
        </w:tc>
        <w:tc>
          <w:tcPr>
            <w:tcW w:type="dxa" w:w="866"/>
            <w:tcBorders>
              <w:top w:val="nil"/>
              <w:left w:val="nil"/>
              <w:bottom w:val="single" w:sz="6" w:space="0" w:color="000000"/>
              <w:right w:val="nil"/>
            </w:tcBorders>
          </w:tcPr>
          <w:p>
            <w:pPr>
              <w:pStyle w:val="Compact"/>
              <w:jc w:val="left"/>
            </w:pPr>
            <w:r>
              <w:t xml:space="preserve">1.3</w:t>
            </w:r>
          </w:p>
        </w:tc>
        <w:tc>
          <w:tcPr>
            <w:tcW w:type="dxa" w:w="866"/>
            <w:tcBorders>
              <w:top w:val="nil"/>
              <w:left w:val="nil"/>
              <w:bottom w:val="single" w:sz="6" w:space="0" w:color="000000"/>
              <w:right w:val="nil"/>
            </w:tcBorders>
          </w:tcPr>
          <w:p>
            <w:pPr>
              <w:pStyle w:val="Compact"/>
              <w:jc w:val="left"/>
            </w:pPr>
            <w:r>
              <w:t xml:space="preserve">1.4</w:t>
            </w:r>
          </w:p>
        </w:tc>
        <w:tc>
          <w:tcPr>
            <w:tcW w:type="dxa" w:w="1133"/>
            <w:tcBorders>
              <w:top w:val="nil"/>
              <w:left w:val="nil"/>
              <w:bottom w:val="single" w:sz="6" w:space="0" w:color="000000"/>
              <w:right w:val="nil"/>
            </w:tcBorders>
          </w:tcPr>
          <w:p>
            <w:pPr>
              <w:pStyle w:val="Compact"/>
              <w:jc w:val="left"/>
            </w:pPr>
            <w:r>
              <w:t xml:space="preserve">1.45743</w:t>
            </w:r>
          </w:p>
        </w:tc>
        <w:tc>
          <w:tcPr>
            <w:tcW w:type="dxa" w:w="1000"/>
            <w:tcBorders>
              <w:top w:val="nil"/>
              <w:left w:val="nil"/>
              <w:bottom w:val="single" w:sz="6" w:space="0" w:color="000000"/>
              <w:right w:val="nil"/>
            </w:tcBorders>
          </w:tcPr>
          <w:p>
            <w:pPr>
              <w:pStyle w:val="Compact"/>
              <w:jc w:val="left"/>
            </w:pPr>
            <w:r>
              <w:t xml:space="preserve">1.6</w:t>
            </w:r>
          </w:p>
        </w:tc>
      </w:tr>
      <w:tr>
        <w:tc>
          <w:tcPr>
            <w:tcW w:type="dxa" w:w="866"/>
          </w:tcPr>
          <w:p>
            <w:pPr>
              <w:pStyle w:val="Compact"/>
              <w:jc w:val="left"/>
            </w:pPr>
            <w:r>
              <w:t xml:space="preserve">Value</w:t>
            </w:r>
          </w:p>
        </w:tc>
        <w:tc>
          <w:tcPr>
            <w:tcW w:type="dxa" w:w="866"/>
          </w:tcPr>
          <w:p>
            <w:pPr>
              <w:pStyle w:val="Compact"/>
              <w:jc w:val="left"/>
            </w:pPr>
            <w:r>
              <w:t xml:space="preserve">1.375</w:t>
            </w:r>
          </w:p>
        </w:tc>
        <w:tc>
          <w:tcPr>
            <w:tcW w:type="dxa" w:w="866"/>
          </w:tcPr>
          <w:p>
            <w:pPr>
              <w:pStyle w:val="Compact"/>
              <w:jc w:val="left"/>
            </w:pPr>
            <w:r>
              <w:t xml:space="preserve">1.315</w:t>
            </w:r>
          </w:p>
        </w:tc>
        <w:tc>
          <w:tcPr>
            <w:tcW w:type="dxa" w:w="866"/>
          </w:tcPr>
          <w:p>
            <w:pPr>
              <w:pStyle w:val="Compact"/>
              <w:jc w:val="left"/>
            </w:pPr>
            <w:r>
              <w:t xml:space="preserve">1.240</w:t>
            </w:r>
          </w:p>
        </w:tc>
        <w:tc>
          <w:tcPr>
            <w:tcW w:type="dxa" w:w="866"/>
          </w:tcPr>
          <w:p>
            <w:pPr>
              <w:pStyle w:val="Compact"/>
              <w:jc w:val="left"/>
            </w:pPr>
            <w:r>
              <w:t xml:space="preserve">1.000</w:t>
            </w:r>
          </w:p>
        </w:tc>
        <w:tc>
          <w:tcPr>
            <w:tcW w:type="dxa" w:w="866"/>
          </w:tcPr>
          <w:p>
            <w:pPr>
              <w:pStyle w:val="Compact"/>
              <w:jc w:val="left"/>
            </w:pPr>
            <w:r>
              <w:t xml:space="preserve">0.640</w:t>
            </w:r>
          </w:p>
        </w:tc>
        <w:tc>
          <w:tcPr>
            <w:tcW w:type="dxa" w:w="866"/>
          </w:tcPr>
          <w:p>
            <w:pPr>
              <w:pStyle w:val="Compact"/>
              <w:jc w:val="left"/>
            </w:pPr>
            <w:r>
              <w:t xml:space="preserve">0.415</w:t>
            </w:r>
          </w:p>
        </w:tc>
        <w:tc>
          <w:tcPr>
            <w:tcW w:type="dxa" w:w="866"/>
          </w:tcPr>
          <w:p>
            <w:pPr>
              <w:pStyle w:val="Compact"/>
              <w:jc w:val="left"/>
            </w:pPr>
            <w:r>
              <w:t xml:space="preserve">0.160</w:t>
            </w:r>
          </w:p>
        </w:tc>
        <w:tc>
          <w:tcPr>
            <w:tcW w:type="dxa" w:w="1133"/>
          </w:tcPr>
          <w:p>
            <w:pPr>
              <w:pStyle w:val="Compact"/>
              <w:jc w:val="left"/>
            </w:pPr>
            <w:r>
              <w:t xml:space="preserve">0</w:t>
            </w:r>
          </w:p>
        </w:tc>
        <w:tc>
          <w:tcPr>
            <w:tcW w:type="dxa" w:w="1000"/>
          </w:tcPr>
          <w:p>
            <w:pPr>
              <w:pStyle w:val="Compact"/>
              <w:jc w:val="left"/>
            </w:pPr>
            <w:r>
              <w:t xml:space="preserve">−0.440</w:t>
            </w:r>
          </w:p>
        </w:tc>
      </w:tr>
    </w:tbl>
    <w:bookmarkEnd w:id="49"/>
    <w:bookmarkStart w:id="50" w:name="Xc16fb4cff4ff77d5d83398c6d5b65e02c7482ca"/>
    <w:p>
      <w:pPr>
        <w:pStyle w:val="Heading2"/>
      </w:pPr>
      <w:r>
        <w:t xml:space="preserve">Appendix B. Monte Carlo robustness analysis</w:t>
      </w:r>
    </w:p>
    <w:p>
      <w:pPr>
        <w:pStyle w:val="FirstParagraph"/>
      </w:pPr>
      <w:r>
        <w:t xml:space="preserve">The study used 200 000 realisations of Eq. (16) per case: gain error alone (</w:t>
      </w:r>
      <m:oMath>
        <m:sSub>
          <m:e>
            <m:r>
              <m:t>σ</m:t>
            </m:r>
          </m:e>
          <m:sub>
            <m:r>
              <m:t>γ</m:t>
            </m:r>
          </m:sub>
        </m:sSub>
      </m:oMath>
      <w:r>
        <w:t xml:space="preserve"> </w:t>
      </w:r>
      <w:r>
        <w:t xml:space="preserve">= 2 %), zero offset alone (</w:t>
      </w:r>
      <m:oMath>
        <m:sSub>
          <m:e>
            <m:r>
              <m:t>σ</m:t>
            </m:r>
          </m:e>
          <m:sub>
            <m:r>
              <m:t>ε</m:t>
            </m:r>
          </m:sub>
        </m:sSub>
      </m:oMath>
      <w:r>
        <w:t xml:space="preserve"> </w:t>
      </w:r>
      <w:r>
        <w:t xml:space="preserve">= 0.005 mm), random noise alone (</w:t>
      </w:r>
      <m:oMath>
        <m:sSub>
          <m:e>
            <m:r>
              <m:t>σ</m:t>
            </m:r>
          </m:e>
          <m:sub>
            <m:r>
              <m:t>a</m:t>
            </m:r>
          </m:sub>
        </m:sSub>
      </m:oMath>
      <w:r>
        <w:t xml:space="preserve"> </w:t>
      </w:r>
      <w:r>
        <w:t xml:space="preserve">= 0.0025 mm) and all three combined. Each realisation perturbed the measured record, recomputed the integral with the same rule and grid and re-identified the load. For SLM, an averaged (noise-free) reference and a single noisy reference were distinguished. Table B.1 gives the two-load results. For the three-load case the bias is 0.08–0.09 percentage points higher and the standard deviations agree within 0.07 percentage points, except under zero offset alone, where the smaller offset sensitivity</w:t>
      </w:r>
      <w:r>
        <w:t xml:space="preserve"> </w:t>
      </w:r>
      <m:oMath>
        <m:r>
          <m:t>L</m:t>
        </m:r>
        <m:r>
          <m:rPr>
            <m:sty m:val="p"/>
          </m:rPr>
          <m:t>/</m:t>
        </m:r>
        <m:sSub>
          <m:e>
            <m:r>
              <m:t>I</m:t>
            </m:r>
          </m:e>
          <m:sub>
            <m:r>
              <m:t>y</m:t>
            </m:r>
          </m:sub>
        </m:sSub>
      </m:oMath>
      <w:r>
        <w:t xml:space="preserve"> </w:t>
      </w:r>
      <w:r>
        <w:t xml:space="preserve">lowers the standard deviation from 0.64 % to 0.37 % (BPM). The bias column reflects the deviation of the measured record from weighing (Table 4) and is constant across error sources; the information is in the spread.</w:t>
      </w:r>
    </w:p>
    <w:p>
      <w:pPr>
        <w:pStyle w:val="BodyText"/>
      </w:pPr>
      <w:r>
        <w:rPr>
          <w:bCs/>
          <w:b/>
        </w:rPr>
        <w:t xml:space="preserve">Table B.1.</w:t>
      </w:r>
      <w:r>
        <w:t xml:space="preserve"> </w:t>
      </w:r>
      <w:r>
        <w:t xml:space="preserve">Monte Carlo results, two-load configuration (relative error with respect to weighing, %).</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2414"/>
        <w:gridCol w:w="1160"/>
        <w:gridCol w:w="1625"/>
        <w:gridCol w:w="1006"/>
        <w:gridCol w:w="851"/>
        <w:gridCol w:w="1006"/>
        <w:gridCol w:w="1006"/>
      </w:tblGrid>
      <w:tr>
        <w:trPr>
          <w:tblHeader w:val="true"/>
        </w:trPr>
        <w:tc>
          <w:tcPr>
            <w:tcW w:type="dxa" w:w="2414"/>
            <w:tcBorders>
              <w:top w:val="nil"/>
              <w:left w:val="nil"/>
              <w:bottom w:val="single" w:sz="6" w:space="0" w:color="000000"/>
              <w:right w:val="nil"/>
            </w:tcBorders>
          </w:tcPr>
          <w:p>
            <w:pPr>
              <w:pStyle w:val="Compact"/>
              <w:jc w:val="left"/>
            </w:pPr>
            <w:r>
              <w:t xml:space="preserve">Error source</w:t>
            </w:r>
          </w:p>
        </w:tc>
        <w:tc>
          <w:tcPr>
            <w:tcW w:type="dxa" w:w="1160"/>
            <w:tcBorders>
              <w:top w:val="nil"/>
              <w:left w:val="nil"/>
              <w:bottom w:val="single" w:sz="6" w:space="0" w:color="000000"/>
              <w:right w:val="nil"/>
            </w:tcBorders>
          </w:tcPr>
          <w:p>
            <w:pPr>
              <w:pStyle w:val="Compact"/>
              <w:jc w:val="left"/>
            </w:pPr>
            <w:r>
              <w:t xml:space="preserve">Method</w:t>
            </w:r>
          </w:p>
        </w:tc>
        <w:tc>
          <w:tcPr>
            <w:tcW w:type="dxa" w:w="1625"/>
            <w:tcBorders>
              <w:top w:val="nil"/>
              <w:left w:val="nil"/>
              <w:bottom w:val="single" w:sz="6" w:space="0" w:color="000000"/>
              <w:right w:val="nil"/>
            </w:tcBorders>
          </w:tcPr>
          <w:p>
            <w:pPr>
              <w:pStyle w:val="Compact"/>
              <w:jc w:val="left"/>
            </w:pPr>
            <w:r>
              <w:t xml:space="preserve">Reference</w:t>
            </w:r>
          </w:p>
        </w:tc>
        <w:tc>
          <w:tcPr>
            <w:tcW w:type="dxa" w:w="1006"/>
            <w:tcBorders>
              <w:top w:val="nil"/>
              <w:left w:val="nil"/>
              <w:bottom w:val="single" w:sz="6" w:space="0" w:color="000000"/>
              <w:right w:val="nil"/>
            </w:tcBorders>
          </w:tcPr>
          <w:p>
            <w:pPr>
              <w:pStyle w:val="Compact"/>
              <w:jc w:val="left"/>
            </w:pPr>
            <w:r>
              <w:t xml:space="preserve">Bias</w:t>
            </w:r>
          </w:p>
        </w:tc>
        <w:tc>
          <w:tcPr>
            <w:tcW w:type="dxa" w:w="851"/>
            <w:tcBorders>
              <w:top w:val="nil"/>
              <w:left w:val="nil"/>
              <w:bottom w:val="single" w:sz="6" w:space="0" w:color="000000"/>
              <w:right w:val="nil"/>
            </w:tcBorders>
          </w:tcPr>
          <w:p>
            <w:pPr>
              <w:pStyle w:val="Compact"/>
              <w:jc w:val="left"/>
            </w:pPr>
            <w:r>
              <w:t xml:space="preserve">Std. dev.</w:t>
            </w:r>
          </w:p>
        </w:tc>
        <w:tc>
          <w:tcPr>
            <w:tcW w:type="dxa" w:w="1006"/>
            <w:tcBorders>
              <w:top w:val="nil"/>
              <w:left w:val="nil"/>
              <w:bottom w:val="single" w:sz="6" w:space="0" w:color="000000"/>
              <w:right w:val="nil"/>
            </w:tcBorders>
          </w:tcPr>
          <w:p>
            <w:pPr>
              <w:pStyle w:val="Compact"/>
              <w:jc w:val="left"/>
            </w:pPr>
            <w:r>
              <w:t xml:space="preserve">p5</w:t>
            </w:r>
          </w:p>
        </w:tc>
        <w:tc>
          <w:tcPr>
            <w:tcW w:type="dxa" w:w="1006"/>
            <w:tcBorders>
              <w:top w:val="nil"/>
              <w:left w:val="nil"/>
              <w:bottom w:val="single" w:sz="6" w:space="0" w:color="000000"/>
              <w:right w:val="nil"/>
            </w:tcBorders>
          </w:tcPr>
          <w:p>
            <w:pPr>
              <w:pStyle w:val="Compact"/>
              <w:jc w:val="left"/>
            </w:pPr>
            <w:r>
              <w:t xml:space="preserve">p95</w:t>
            </w:r>
          </w:p>
        </w:tc>
      </w:tr>
      <w:tr>
        <w:tc>
          <w:tcPr>
            <w:tcW w:type="dxa" w:w="2414"/>
          </w:tcPr>
          <w:p>
            <w:pPr>
              <w:pStyle w:val="Compact"/>
              <w:jc w:val="left"/>
            </w:pPr>
            <w:r>
              <w:t xml:space="preserve">Gain,</w:t>
            </w:r>
            <w:r>
              <w:t xml:space="preserve"> </w:t>
            </w:r>
            <m:oMath>
              <m:sSub>
                <m:e>
                  <m:r>
                    <m:t>σ</m:t>
                  </m:r>
                </m:e>
                <m:sub>
                  <m:r>
                    <m:t>γ</m:t>
                  </m:r>
                </m:sub>
              </m:sSub>
            </m:oMath>
            <w:r>
              <w:t xml:space="preserve"> </w:t>
            </w:r>
            <w:r>
              <w:t xml:space="preserve">= 2 %</w:t>
            </w:r>
          </w:p>
        </w:tc>
        <w:tc>
          <w:tcPr>
            <w:tcW w:type="dxa" w:w="1160"/>
          </w:tcPr>
          <w:p>
            <w:pPr>
              <w:pStyle w:val="Compact"/>
              <w:jc w:val="left"/>
            </w:pPr>
            <w:r>
              <w:t xml:space="preserve">BPM</w:t>
            </w:r>
          </w:p>
        </w:tc>
        <w:tc>
          <w:tcPr>
            <w:tcW w:type="dxa" w:w="1625"/>
          </w:tcPr>
          <w:p>
            <w:pPr>
              <w:pStyle w:val="Compact"/>
              <w:jc w:val="left"/>
            </w:pPr>
            <w:r>
              <w:t xml:space="preserve">n/a</w:t>
            </w:r>
          </w:p>
        </w:tc>
        <w:tc>
          <w:tcPr>
            <w:tcW w:type="dxa" w:w="1006"/>
          </w:tcPr>
          <w:p>
            <w:pPr>
              <w:pStyle w:val="Compact"/>
              <w:jc w:val="left"/>
            </w:pPr>
            <w:r>
              <w:t xml:space="preserve">+1.10</w:t>
            </w:r>
          </w:p>
        </w:tc>
        <w:tc>
          <w:tcPr>
            <w:tcW w:type="dxa" w:w="851"/>
          </w:tcPr>
          <w:p>
            <w:pPr>
              <w:pStyle w:val="Compact"/>
              <w:jc w:val="left"/>
            </w:pPr>
            <w:r>
              <w:t xml:space="preserve">2.01</w:t>
            </w:r>
          </w:p>
        </w:tc>
        <w:tc>
          <w:tcPr>
            <w:tcW w:type="dxa" w:w="1006"/>
          </w:tcPr>
          <w:p>
            <w:pPr>
              <w:pStyle w:val="Compact"/>
              <w:jc w:val="left"/>
            </w:pPr>
            <w:r>
              <w:t xml:space="preserve">−2.21</w:t>
            </w:r>
          </w:p>
        </w:tc>
        <w:tc>
          <w:tcPr>
            <w:tcW w:type="dxa" w:w="1006"/>
          </w:tcPr>
          <w:p>
            <w:pPr>
              <w:pStyle w:val="Compact"/>
              <w:jc w:val="left"/>
            </w:pPr>
            <w:r>
              <w:t xml:space="preserve">+4.40</w:t>
            </w:r>
          </w:p>
        </w:tc>
      </w:tr>
      <w:tr>
        <w:tc>
          <w:tcPr>
            <w:tcW w:type="dxa" w:w="2414"/>
          </w:tcPr>
          <w:p>
            <w:pPr>
              <w:pStyle w:val="Compact"/>
            </w:pPr>
          </w:p>
        </w:tc>
        <w:tc>
          <w:tcPr>
            <w:tcW w:type="dxa" w:w="1160"/>
          </w:tcPr>
          <w:p>
            <w:pPr>
              <w:pStyle w:val="Compact"/>
              <w:jc w:val="left"/>
            </w:pPr>
            <w:r>
              <w:t xml:space="preserve">SLM</w:t>
            </w:r>
          </w:p>
        </w:tc>
        <w:tc>
          <w:tcPr>
            <w:tcW w:type="dxa" w:w="1625"/>
          </w:tcPr>
          <w:p>
            <w:pPr>
              <w:pStyle w:val="Compact"/>
              <w:jc w:val="left"/>
            </w:pPr>
            <w:r>
              <w:t xml:space="preserve">averaged</w:t>
            </w:r>
          </w:p>
        </w:tc>
        <w:tc>
          <w:tcPr>
            <w:tcW w:type="dxa" w:w="1006"/>
          </w:tcPr>
          <w:p>
            <w:pPr>
              <w:pStyle w:val="Compact"/>
              <w:jc w:val="left"/>
            </w:pPr>
            <w:r>
              <w:t xml:space="preserve">+0.61</w:t>
            </w:r>
          </w:p>
        </w:tc>
        <w:tc>
          <w:tcPr>
            <w:tcW w:type="dxa" w:w="851"/>
          </w:tcPr>
          <w:p>
            <w:pPr>
              <w:pStyle w:val="Compact"/>
              <w:jc w:val="left"/>
            </w:pPr>
            <w:r>
              <w:t xml:space="preserve">2.00</w:t>
            </w:r>
          </w:p>
        </w:tc>
        <w:tc>
          <w:tcPr>
            <w:tcW w:type="dxa" w:w="1006"/>
          </w:tcPr>
          <w:p>
            <w:pPr>
              <w:pStyle w:val="Compact"/>
              <w:jc w:val="left"/>
            </w:pPr>
            <w:r>
              <w:t xml:space="preserve">−2.69</w:t>
            </w:r>
          </w:p>
        </w:tc>
        <w:tc>
          <w:tcPr>
            <w:tcW w:type="dxa" w:w="1006"/>
          </w:tcPr>
          <w:p>
            <w:pPr>
              <w:pStyle w:val="Compact"/>
              <w:jc w:val="left"/>
            </w:pPr>
            <w:r>
              <w:t xml:space="preserve">+3.90</w:t>
            </w:r>
          </w:p>
        </w:tc>
      </w:tr>
      <w:tr>
        <w:tc>
          <w:tcPr>
            <w:tcW w:type="dxa" w:w="2414"/>
          </w:tcPr>
          <w:p>
            <w:pPr>
              <w:pStyle w:val="Compact"/>
            </w:pPr>
          </w:p>
        </w:tc>
        <w:tc>
          <w:tcPr>
            <w:tcW w:type="dxa" w:w="1160"/>
          </w:tcPr>
          <w:p>
            <w:pPr>
              <w:pStyle w:val="Compact"/>
              <w:jc w:val="left"/>
            </w:pPr>
            <w:r>
              <w:t xml:space="preserve">SLM</w:t>
            </w:r>
          </w:p>
        </w:tc>
        <w:tc>
          <w:tcPr>
            <w:tcW w:type="dxa" w:w="1625"/>
          </w:tcPr>
          <w:p>
            <w:pPr>
              <w:pStyle w:val="Compact"/>
              <w:jc w:val="left"/>
            </w:pPr>
            <w:r>
              <w:t xml:space="preserve">single</w:t>
            </w:r>
          </w:p>
        </w:tc>
        <w:tc>
          <w:tcPr>
            <w:tcW w:type="dxa" w:w="1006"/>
          </w:tcPr>
          <w:p>
            <w:pPr>
              <w:pStyle w:val="Compact"/>
              <w:jc w:val="left"/>
            </w:pPr>
            <w:r>
              <w:t xml:space="preserve">+0.66</w:t>
            </w:r>
          </w:p>
        </w:tc>
        <w:tc>
          <w:tcPr>
            <w:tcW w:type="dxa" w:w="851"/>
          </w:tcPr>
          <w:p>
            <w:pPr>
              <w:pStyle w:val="Compact"/>
              <w:jc w:val="left"/>
            </w:pPr>
            <w:r>
              <w:t xml:space="preserve">2.85</w:t>
            </w:r>
          </w:p>
        </w:tc>
        <w:tc>
          <w:tcPr>
            <w:tcW w:type="dxa" w:w="1006"/>
          </w:tcPr>
          <w:p>
            <w:pPr>
              <w:pStyle w:val="Compact"/>
              <w:jc w:val="left"/>
            </w:pPr>
            <w:r>
              <w:t xml:space="preserve">−3.94</w:t>
            </w:r>
          </w:p>
        </w:tc>
        <w:tc>
          <w:tcPr>
            <w:tcW w:type="dxa" w:w="1006"/>
          </w:tcPr>
          <w:p>
            <w:pPr>
              <w:pStyle w:val="Compact"/>
              <w:jc w:val="left"/>
            </w:pPr>
            <w:r>
              <w:t xml:space="preserve">+5.41</w:t>
            </w:r>
          </w:p>
        </w:tc>
      </w:tr>
      <w:tr>
        <w:tc>
          <w:tcPr>
            <w:tcW w:type="dxa" w:w="2414"/>
          </w:tcPr>
          <w:p>
            <w:pPr>
              <w:pStyle w:val="Compact"/>
              <w:jc w:val="left"/>
            </w:pPr>
            <w:r>
              <w:t xml:space="preserve">Zero offset,</w:t>
            </w:r>
            <w:r>
              <w:t xml:space="preserve"> </w:t>
            </w:r>
            <m:oMath>
              <m:sSub>
                <m:e>
                  <m:r>
                    <m:t>σ</m:t>
                  </m:r>
                </m:e>
                <m:sub>
                  <m:r>
                    <m:t>ε</m:t>
                  </m:r>
                </m:sub>
              </m:sSub>
            </m:oMath>
            <w:r>
              <w:t xml:space="preserve"> </w:t>
            </w:r>
            <w:r>
              <w:t xml:space="preserve">= 0.005 mm</w:t>
            </w:r>
          </w:p>
        </w:tc>
        <w:tc>
          <w:tcPr>
            <w:tcW w:type="dxa" w:w="1160"/>
          </w:tcPr>
          <w:p>
            <w:pPr>
              <w:pStyle w:val="Compact"/>
              <w:jc w:val="left"/>
            </w:pPr>
            <w:r>
              <w:t xml:space="preserve">BPM</w:t>
            </w:r>
          </w:p>
        </w:tc>
        <w:tc>
          <w:tcPr>
            <w:tcW w:type="dxa" w:w="1625"/>
          </w:tcPr>
          <w:p>
            <w:pPr>
              <w:pStyle w:val="Compact"/>
              <w:jc w:val="left"/>
            </w:pPr>
            <w:r>
              <w:t xml:space="preserve">n/a</w:t>
            </w:r>
          </w:p>
        </w:tc>
        <w:tc>
          <w:tcPr>
            <w:tcW w:type="dxa" w:w="1006"/>
          </w:tcPr>
          <w:p>
            <w:pPr>
              <w:pStyle w:val="Compact"/>
              <w:jc w:val="left"/>
            </w:pPr>
            <w:r>
              <w:t xml:space="preserve">+1.10</w:t>
            </w:r>
          </w:p>
        </w:tc>
        <w:tc>
          <w:tcPr>
            <w:tcW w:type="dxa" w:w="851"/>
          </w:tcPr>
          <w:p>
            <w:pPr>
              <w:pStyle w:val="Compact"/>
              <w:jc w:val="left"/>
            </w:pPr>
            <w:r>
              <w:t xml:space="preserve">0.64</w:t>
            </w:r>
          </w:p>
        </w:tc>
        <w:tc>
          <w:tcPr>
            <w:tcW w:type="dxa" w:w="1006"/>
          </w:tcPr>
          <w:p>
            <w:pPr>
              <w:pStyle w:val="Compact"/>
              <w:jc w:val="left"/>
            </w:pPr>
            <w:r>
              <w:t xml:space="preserve">+0.05</w:t>
            </w:r>
          </w:p>
        </w:tc>
        <w:tc>
          <w:tcPr>
            <w:tcW w:type="dxa" w:w="1006"/>
          </w:tcPr>
          <w:p>
            <w:pPr>
              <w:pStyle w:val="Compact"/>
              <w:jc w:val="left"/>
            </w:pPr>
            <w:r>
              <w:t xml:space="preserve">+2.15</w:t>
            </w:r>
          </w:p>
        </w:tc>
      </w:tr>
      <w:tr>
        <w:tc>
          <w:tcPr>
            <w:tcW w:type="dxa" w:w="2414"/>
          </w:tcPr>
          <w:p>
            <w:pPr>
              <w:pStyle w:val="Compact"/>
            </w:pPr>
          </w:p>
        </w:tc>
        <w:tc>
          <w:tcPr>
            <w:tcW w:type="dxa" w:w="1160"/>
          </w:tcPr>
          <w:p>
            <w:pPr>
              <w:pStyle w:val="Compact"/>
              <w:jc w:val="left"/>
            </w:pPr>
            <w:r>
              <w:t xml:space="preserve">SLM</w:t>
            </w:r>
          </w:p>
        </w:tc>
        <w:tc>
          <w:tcPr>
            <w:tcW w:type="dxa" w:w="1625"/>
          </w:tcPr>
          <w:p>
            <w:pPr>
              <w:pStyle w:val="Compact"/>
              <w:jc w:val="left"/>
            </w:pPr>
            <w:r>
              <w:t xml:space="preserve">averaged</w:t>
            </w:r>
          </w:p>
        </w:tc>
        <w:tc>
          <w:tcPr>
            <w:tcW w:type="dxa" w:w="1006"/>
          </w:tcPr>
          <w:p>
            <w:pPr>
              <w:pStyle w:val="Compact"/>
              <w:jc w:val="left"/>
            </w:pPr>
            <w:r>
              <w:t xml:space="preserve">+0.61</w:t>
            </w:r>
          </w:p>
        </w:tc>
        <w:tc>
          <w:tcPr>
            <w:tcW w:type="dxa" w:w="851"/>
          </w:tcPr>
          <w:p>
            <w:pPr>
              <w:pStyle w:val="Compact"/>
              <w:jc w:val="left"/>
            </w:pPr>
            <w:r>
              <w:t xml:space="preserve">0.63</w:t>
            </w:r>
          </w:p>
        </w:tc>
        <w:tc>
          <w:tcPr>
            <w:tcW w:type="dxa" w:w="1006"/>
          </w:tcPr>
          <w:p>
            <w:pPr>
              <w:pStyle w:val="Compact"/>
              <w:jc w:val="left"/>
            </w:pPr>
            <w:r>
              <w:t xml:space="preserve">−0.43</w:t>
            </w:r>
          </w:p>
        </w:tc>
        <w:tc>
          <w:tcPr>
            <w:tcW w:type="dxa" w:w="1006"/>
          </w:tcPr>
          <w:p>
            <w:pPr>
              <w:pStyle w:val="Compact"/>
              <w:jc w:val="left"/>
            </w:pPr>
            <w:r>
              <w:t xml:space="preserve">+1.65</w:t>
            </w:r>
          </w:p>
        </w:tc>
      </w:tr>
      <w:tr>
        <w:tc>
          <w:tcPr>
            <w:tcW w:type="dxa" w:w="2414"/>
          </w:tcPr>
          <w:p>
            <w:pPr>
              <w:pStyle w:val="Compact"/>
            </w:pPr>
          </w:p>
        </w:tc>
        <w:tc>
          <w:tcPr>
            <w:tcW w:type="dxa" w:w="1160"/>
          </w:tcPr>
          <w:p>
            <w:pPr>
              <w:pStyle w:val="Compact"/>
              <w:jc w:val="left"/>
            </w:pPr>
            <w:r>
              <w:t xml:space="preserve">SLM</w:t>
            </w:r>
          </w:p>
        </w:tc>
        <w:tc>
          <w:tcPr>
            <w:tcW w:type="dxa" w:w="1625"/>
          </w:tcPr>
          <w:p>
            <w:pPr>
              <w:pStyle w:val="Compact"/>
              <w:jc w:val="left"/>
            </w:pPr>
            <w:r>
              <w:t xml:space="preserve">single</w:t>
            </w:r>
          </w:p>
        </w:tc>
        <w:tc>
          <w:tcPr>
            <w:tcW w:type="dxa" w:w="1006"/>
          </w:tcPr>
          <w:p>
            <w:pPr>
              <w:pStyle w:val="Compact"/>
              <w:jc w:val="left"/>
            </w:pPr>
            <w:r>
              <w:t xml:space="preserve">+0.62</w:t>
            </w:r>
          </w:p>
        </w:tc>
        <w:tc>
          <w:tcPr>
            <w:tcW w:type="dxa" w:w="851"/>
          </w:tcPr>
          <w:p>
            <w:pPr>
              <w:pStyle w:val="Compact"/>
              <w:jc w:val="left"/>
            </w:pPr>
            <w:r>
              <w:t xml:space="preserve">1.19</w:t>
            </w:r>
          </w:p>
        </w:tc>
        <w:tc>
          <w:tcPr>
            <w:tcW w:type="dxa" w:w="1006"/>
          </w:tcPr>
          <w:p>
            <w:pPr>
              <w:pStyle w:val="Compact"/>
              <w:jc w:val="left"/>
            </w:pPr>
            <w:r>
              <w:t xml:space="preserve">−1.31</w:t>
            </w:r>
          </w:p>
        </w:tc>
        <w:tc>
          <w:tcPr>
            <w:tcW w:type="dxa" w:w="1006"/>
          </w:tcPr>
          <w:p>
            <w:pPr>
              <w:pStyle w:val="Compact"/>
              <w:jc w:val="left"/>
            </w:pPr>
            <w:r>
              <w:t xml:space="preserve">+2.60</w:t>
            </w:r>
          </w:p>
        </w:tc>
      </w:tr>
      <w:tr>
        <w:tc>
          <w:tcPr>
            <w:tcW w:type="dxa" w:w="2414"/>
          </w:tcPr>
          <w:p>
            <w:pPr>
              <w:pStyle w:val="Compact"/>
              <w:jc w:val="left"/>
            </w:pPr>
            <w:r>
              <w:t xml:space="preserve">Random,</w:t>
            </w:r>
            <w:r>
              <w:t xml:space="preserve"> </w:t>
            </w:r>
            <m:oMath>
              <m:sSub>
                <m:e>
                  <m:r>
                    <m:t>σ</m:t>
                  </m:r>
                </m:e>
                <m:sub>
                  <m:r>
                    <m:t>a</m:t>
                  </m:r>
                </m:sub>
              </m:sSub>
            </m:oMath>
            <w:r>
              <w:t xml:space="preserve"> </w:t>
            </w:r>
            <w:r>
              <w:t xml:space="preserve">= 0.0025 mm</w:t>
            </w:r>
          </w:p>
        </w:tc>
        <w:tc>
          <w:tcPr>
            <w:tcW w:type="dxa" w:w="1160"/>
          </w:tcPr>
          <w:p>
            <w:pPr>
              <w:pStyle w:val="Compact"/>
              <w:jc w:val="left"/>
            </w:pPr>
            <w:r>
              <w:t xml:space="preserve">BPM</w:t>
            </w:r>
          </w:p>
        </w:tc>
        <w:tc>
          <w:tcPr>
            <w:tcW w:type="dxa" w:w="1625"/>
          </w:tcPr>
          <w:p>
            <w:pPr>
              <w:pStyle w:val="Compact"/>
              <w:jc w:val="left"/>
            </w:pPr>
            <w:r>
              <w:t xml:space="preserve">n/a</w:t>
            </w:r>
          </w:p>
        </w:tc>
        <w:tc>
          <w:tcPr>
            <w:tcW w:type="dxa" w:w="1006"/>
          </w:tcPr>
          <w:p>
            <w:pPr>
              <w:pStyle w:val="Compact"/>
              <w:jc w:val="left"/>
            </w:pPr>
            <w:r>
              <w:t xml:space="preserve">+1.10</w:t>
            </w:r>
          </w:p>
        </w:tc>
        <w:tc>
          <w:tcPr>
            <w:tcW w:type="dxa" w:w="851"/>
          </w:tcPr>
          <w:p>
            <w:pPr>
              <w:pStyle w:val="Compact"/>
              <w:jc w:val="left"/>
            </w:pPr>
            <w:r>
              <w:t xml:space="preserve">0.07</w:t>
            </w:r>
          </w:p>
        </w:tc>
        <w:tc>
          <w:tcPr>
            <w:tcW w:type="dxa" w:w="1006"/>
          </w:tcPr>
          <w:p>
            <w:pPr>
              <w:pStyle w:val="Compact"/>
              <w:jc w:val="left"/>
            </w:pPr>
            <w:r>
              <w:t xml:space="preserve">+0.99</w:t>
            </w:r>
          </w:p>
        </w:tc>
        <w:tc>
          <w:tcPr>
            <w:tcW w:type="dxa" w:w="1006"/>
          </w:tcPr>
          <w:p>
            <w:pPr>
              <w:pStyle w:val="Compact"/>
              <w:jc w:val="left"/>
            </w:pPr>
            <w:r>
              <w:t xml:space="preserve">+1.21</w:t>
            </w:r>
          </w:p>
        </w:tc>
      </w:tr>
      <w:tr>
        <w:tc>
          <w:tcPr>
            <w:tcW w:type="dxa" w:w="2414"/>
          </w:tcPr>
          <w:p>
            <w:pPr>
              <w:pStyle w:val="Compact"/>
            </w:pPr>
          </w:p>
        </w:tc>
        <w:tc>
          <w:tcPr>
            <w:tcW w:type="dxa" w:w="1160"/>
          </w:tcPr>
          <w:p>
            <w:pPr>
              <w:pStyle w:val="Compact"/>
              <w:jc w:val="left"/>
            </w:pPr>
            <w:r>
              <w:t xml:space="preserve">SLM</w:t>
            </w:r>
          </w:p>
        </w:tc>
        <w:tc>
          <w:tcPr>
            <w:tcW w:type="dxa" w:w="1625"/>
          </w:tcPr>
          <w:p>
            <w:pPr>
              <w:pStyle w:val="Compact"/>
              <w:jc w:val="left"/>
            </w:pPr>
            <w:r>
              <w:t xml:space="preserve">averaged</w:t>
            </w:r>
          </w:p>
        </w:tc>
        <w:tc>
          <w:tcPr>
            <w:tcW w:type="dxa" w:w="1006"/>
          </w:tcPr>
          <w:p>
            <w:pPr>
              <w:pStyle w:val="Compact"/>
              <w:jc w:val="left"/>
            </w:pPr>
            <w:r>
              <w:t xml:space="preserve">+0.61</w:t>
            </w:r>
          </w:p>
        </w:tc>
        <w:tc>
          <w:tcPr>
            <w:tcW w:type="dxa" w:w="851"/>
          </w:tcPr>
          <w:p>
            <w:pPr>
              <w:pStyle w:val="Compact"/>
              <w:jc w:val="left"/>
            </w:pPr>
            <w:r>
              <w:t xml:space="preserve">0.07</w:t>
            </w:r>
          </w:p>
        </w:tc>
        <w:tc>
          <w:tcPr>
            <w:tcW w:type="dxa" w:w="1006"/>
          </w:tcPr>
          <w:p>
            <w:pPr>
              <w:pStyle w:val="Compact"/>
              <w:jc w:val="left"/>
            </w:pPr>
            <w:r>
              <w:t xml:space="preserve">+0.50</w:t>
            </w:r>
          </w:p>
        </w:tc>
        <w:tc>
          <w:tcPr>
            <w:tcW w:type="dxa" w:w="1006"/>
          </w:tcPr>
          <w:p>
            <w:pPr>
              <w:pStyle w:val="Compact"/>
              <w:jc w:val="left"/>
            </w:pPr>
            <w:r>
              <w:t xml:space="preserve">+0.72</w:t>
            </w:r>
          </w:p>
        </w:tc>
      </w:tr>
      <w:tr>
        <w:tc>
          <w:tcPr>
            <w:tcW w:type="dxa" w:w="2414"/>
          </w:tcPr>
          <w:p>
            <w:pPr>
              <w:pStyle w:val="Compact"/>
            </w:pPr>
          </w:p>
        </w:tc>
        <w:tc>
          <w:tcPr>
            <w:tcW w:type="dxa" w:w="1160"/>
          </w:tcPr>
          <w:p>
            <w:pPr>
              <w:pStyle w:val="Compact"/>
              <w:jc w:val="left"/>
            </w:pPr>
            <w:r>
              <w:t xml:space="preserve">SLM</w:t>
            </w:r>
          </w:p>
        </w:tc>
        <w:tc>
          <w:tcPr>
            <w:tcW w:type="dxa" w:w="1625"/>
          </w:tcPr>
          <w:p>
            <w:pPr>
              <w:pStyle w:val="Compact"/>
              <w:jc w:val="left"/>
            </w:pPr>
            <w:r>
              <w:t xml:space="preserve">single</w:t>
            </w:r>
          </w:p>
        </w:tc>
        <w:tc>
          <w:tcPr>
            <w:tcW w:type="dxa" w:w="1006"/>
          </w:tcPr>
          <w:p>
            <w:pPr>
              <w:pStyle w:val="Compact"/>
              <w:jc w:val="left"/>
            </w:pPr>
            <w:r>
              <w:t xml:space="preserve">+0.61</w:t>
            </w:r>
          </w:p>
        </w:tc>
        <w:tc>
          <w:tcPr>
            <w:tcW w:type="dxa" w:w="851"/>
          </w:tcPr>
          <w:p>
            <w:pPr>
              <w:pStyle w:val="Compact"/>
              <w:jc w:val="left"/>
            </w:pPr>
            <w:r>
              <w:t xml:space="preserve">0.13</w:t>
            </w:r>
          </w:p>
        </w:tc>
        <w:tc>
          <w:tcPr>
            <w:tcW w:type="dxa" w:w="1006"/>
          </w:tcPr>
          <w:p>
            <w:pPr>
              <w:pStyle w:val="Compact"/>
              <w:jc w:val="left"/>
            </w:pPr>
            <w:r>
              <w:t xml:space="preserve">+0.40</w:t>
            </w:r>
          </w:p>
        </w:tc>
        <w:tc>
          <w:tcPr>
            <w:tcW w:type="dxa" w:w="1006"/>
          </w:tcPr>
          <w:p>
            <w:pPr>
              <w:pStyle w:val="Compact"/>
              <w:jc w:val="left"/>
            </w:pPr>
            <w:r>
              <w:t xml:space="preserve">+0.82</w:t>
            </w:r>
          </w:p>
        </w:tc>
      </w:tr>
      <w:tr>
        <w:tc>
          <w:tcPr>
            <w:tcW w:type="dxa" w:w="2414"/>
          </w:tcPr>
          <w:p>
            <w:pPr>
              <w:pStyle w:val="Compact"/>
              <w:jc w:val="left"/>
            </w:pPr>
            <w:r>
              <w:t xml:space="preserve">Combined</w:t>
            </w:r>
          </w:p>
        </w:tc>
        <w:tc>
          <w:tcPr>
            <w:tcW w:type="dxa" w:w="1160"/>
          </w:tcPr>
          <w:p>
            <w:pPr>
              <w:pStyle w:val="Compact"/>
              <w:jc w:val="left"/>
            </w:pPr>
            <w:r>
              <w:t xml:space="preserve">BPM</w:t>
            </w:r>
          </w:p>
        </w:tc>
        <w:tc>
          <w:tcPr>
            <w:tcW w:type="dxa" w:w="1625"/>
          </w:tcPr>
          <w:p>
            <w:pPr>
              <w:pStyle w:val="Compact"/>
              <w:jc w:val="left"/>
            </w:pPr>
            <w:r>
              <w:t xml:space="preserve">n/a</w:t>
            </w:r>
          </w:p>
        </w:tc>
        <w:tc>
          <w:tcPr>
            <w:tcW w:type="dxa" w:w="1006"/>
          </w:tcPr>
          <w:p>
            <w:pPr>
              <w:pStyle w:val="Compact"/>
              <w:jc w:val="left"/>
            </w:pPr>
            <w:r>
              <w:t xml:space="preserve">+1.10</w:t>
            </w:r>
          </w:p>
        </w:tc>
        <w:tc>
          <w:tcPr>
            <w:tcW w:type="dxa" w:w="851"/>
          </w:tcPr>
          <w:p>
            <w:pPr>
              <w:pStyle w:val="Compact"/>
              <w:jc w:val="left"/>
            </w:pPr>
            <w:r>
              <w:t xml:space="preserve">2.12</w:t>
            </w:r>
          </w:p>
        </w:tc>
        <w:tc>
          <w:tcPr>
            <w:tcW w:type="dxa" w:w="1006"/>
          </w:tcPr>
          <w:p>
            <w:pPr>
              <w:pStyle w:val="Compact"/>
              <w:jc w:val="left"/>
            </w:pPr>
            <w:r>
              <w:t xml:space="preserve">−2.39</w:t>
            </w:r>
          </w:p>
        </w:tc>
        <w:tc>
          <w:tcPr>
            <w:tcW w:type="dxa" w:w="1006"/>
          </w:tcPr>
          <w:p>
            <w:pPr>
              <w:pStyle w:val="Compact"/>
              <w:jc w:val="left"/>
            </w:pPr>
            <w:r>
              <w:t xml:space="preserve">+4.59</w:t>
            </w:r>
          </w:p>
        </w:tc>
      </w:tr>
      <w:tr>
        <w:tc>
          <w:tcPr>
            <w:tcW w:type="dxa" w:w="2414"/>
          </w:tcPr>
          <w:p>
            <w:pPr>
              <w:pStyle w:val="Compact"/>
            </w:pPr>
          </w:p>
        </w:tc>
        <w:tc>
          <w:tcPr>
            <w:tcW w:type="dxa" w:w="1160"/>
          </w:tcPr>
          <w:p>
            <w:pPr>
              <w:pStyle w:val="Compact"/>
              <w:jc w:val="left"/>
            </w:pPr>
            <w:r>
              <w:t xml:space="preserve">SLM</w:t>
            </w:r>
          </w:p>
        </w:tc>
        <w:tc>
          <w:tcPr>
            <w:tcW w:type="dxa" w:w="1625"/>
          </w:tcPr>
          <w:p>
            <w:pPr>
              <w:pStyle w:val="Compact"/>
              <w:jc w:val="left"/>
            </w:pPr>
            <w:r>
              <w:t xml:space="preserve">averaged</w:t>
            </w:r>
          </w:p>
        </w:tc>
        <w:tc>
          <w:tcPr>
            <w:tcW w:type="dxa" w:w="1006"/>
          </w:tcPr>
          <w:p>
            <w:pPr>
              <w:pStyle w:val="Compact"/>
              <w:jc w:val="left"/>
            </w:pPr>
            <w:r>
              <w:t xml:space="preserve">+0.61</w:t>
            </w:r>
          </w:p>
        </w:tc>
        <w:tc>
          <w:tcPr>
            <w:tcW w:type="dxa" w:w="851"/>
          </w:tcPr>
          <w:p>
            <w:pPr>
              <w:pStyle w:val="Compact"/>
              <w:jc w:val="left"/>
            </w:pPr>
            <w:r>
              <w:t xml:space="preserve">2.11</w:t>
            </w:r>
          </w:p>
        </w:tc>
        <w:tc>
          <w:tcPr>
            <w:tcW w:type="dxa" w:w="1006"/>
          </w:tcPr>
          <w:p>
            <w:pPr>
              <w:pStyle w:val="Compact"/>
              <w:jc w:val="left"/>
            </w:pPr>
            <w:r>
              <w:t xml:space="preserve">−2.87</w:t>
            </w:r>
          </w:p>
        </w:tc>
        <w:tc>
          <w:tcPr>
            <w:tcW w:type="dxa" w:w="1006"/>
          </w:tcPr>
          <w:p>
            <w:pPr>
              <w:pStyle w:val="Compact"/>
              <w:jc w:val="left"/>
            </w:pPr>
            <w:r>
              <w:t xml:space="preserve">+4.08</w:t>
            </w:r>
          </w:p>
        </w:tc>
      </w:tr>
      <w:tr>
        <w:tc>
          <w:tcPr>
            <w:tcW w:type="dxa" w:w="2414"/>
          </w:tcPr>
          <w:p>
            <w:pPr>
              <w:pStyle w:val="Compact"/>
            </w:pPr>
          </w:p>
        </w:tc>
        <w:tc>
          <w:tcPr>
            <w:tcW w:type="dxa" w:w="1160"/>
          </w:tcPr>
          <w:p>
            <w:pPr>
              <w:pStyle w:val="Compact"/>
              <w:jc w:val="left"/>
            </w:pPr>
            <w:r>
              <w:t xml:space="preserve">SLM</w:t>
            </w:r>
          </w:p>
        </w:tc>
        <w:tc>
          <w:tcPr>
            <w:tcW w:type="dxa" w:w="1625"/>
          </w:tcPr>
          <w:p>
            <w:pPr>
              <w:pStyle w:val="Compact"/>
              <w:jc w:val="left"/>
            </w:pPr>
            <w:r>
              <w:t xml:space="preserve">single</w:t>
            </w:r>
          </w:p>
        </w:tc>
        <w:tc>
          <w:tcPr>
            <w:tcW w:type="dxa" w:w="1006"/>
          </w:tcPr>
          <w:p>
            <w:pPr>
              <w:pStyle w:val="Compact"/>
              <w:jc w:val="left"/>
            </w:pPr>
            <w:r>
              <w:t xml:space="preserve">+0.65</w:t>
            </w:r>
          </w:p>
        </w:tc>
        <w:tc>
          <w:tcPr>
            <w:tcW w:type="dxa" w:w="851"/>
          </w:tcPr>
          <w:p>
            <w:pPr>
              <w:pStyle w:val="Compact"/>
              <w:jc w:val="left"/>
            </w:pPr>
            <w:r>
              <w:t xml:space="preserve">3.09</w:t>
            </w:r>
          </w:p>
        </w:tc>
        <w:tc>
          <w:tcPr>
            <w:tcW w:type="dxa" w:w="1006"/>
          </w:tcPr>
          <w:p>
            <w:pPr>
              <w:pStyle w:val="Compact"/>
              <w:jc w:val="left"/>
            </w:pPr>
            <w:r>
              <w:t xml:space="preserve">−4.34</w:t>
            </w:r>
          </w:p>
        </w:tc>
        <w:tc>
          <w:tcPr>
            <w:tcW w:type="dxa" w:w="1006"/>
          </w:tcPr>
          <w:p>
            <w:pPr>
              <w:pStyle w:val="Compact"/>
              <w:jc w:val="left"/>
            </w:pPr>
            <w:r>
              <w:t xml:space="preserve">+5.83</w:t>
            </w:r>
          </w:p>
        </w:tc>
      </w:tr>
    </w:tbl>
    <w:bookmarkEnd w:id="50"/>
    <w:bookmarkStart w:id="51" w:name="appendix-c.-laboratory-data"/>
    <w:p>
      <w:pPr>
        <w:pStyle w:val="Heading2"/>
      </w:pPr>
      <w:r>
        <w:t xml:space="preserve">Appendix C. Laboratory data</w:t>
      </w:r>
    </w:p>
    <w:p>
      <w:pPr>
        <w:pStyle w:val="FirstParagraph"/>
      </w:pPr>
      <w:r>
        <w:rPr>
          <w:bCs/>
          <w:b/>
        </w:rPr>
        <w:t xml:space="preserve">Table C.1.</w:t>
      </w:r>
      <w:r>
        <w:t xml:space="preserve"> </w:t>
      </w:r>
      <w:r>
        <w:t xml:space="preserve">Mid-span deflection of span AB (mm), mean of three cycles. Single load 40.64 N; analytical values from Eq. (A.2).</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1096"/>
        <w:gridCol w:w="2491"/>
        <w:gridCol w:w="2093"/>
        <w:gridCol w:w="1694"/>
        <w:gridCol w:w="1694"/>
      </w:tblGrid>
      <w:tr>
        <w:trPr>
          <w:tblHeader w:val="true"/>
        </w:trPr>
        <w:tc>
          <w:tcPr>
            <w:tcW w:type="dxa" w:w="1096"/>
            <w:tcBorders>
              <w:top w:val="nil"/>
              <w:left w:val="nil"/>
              <w:bottom w:val="single" w:sz="6" w:space="0" w:color="000000"/>
              <w:right w:val="nil"/>
            </w:tcBorders>
          </w:tcPr>
          <w:p>
            <w:pPr>
              <w:pStyle w:val="Compact"/>
              <w:jc w:val="left"/>
            </w:pPr>
            <m:oMath>
              <m:r>
                <m:t>x</m:t>
              </m:r>
            </m:oMath>
            <w:r>
              <w:t xml:space="preserve"> </w:t>
            </w:r>
            <w:r>
              <w:t xml:space="preserve">(mm)</w:t>
            </w:r>
          </w:p>
        </w:tc>
        <w:tc>
          <w:tcPr>
            <w:tcW w:type="dxa" w:w="2491"/>
            <w:tcBorders>
              <w:top w:val="nil"/>
              <w:left w:val="nil"/>
              <w:bottom w:val="single" w:sz="6" w:space="0" w:color="000000"/>
              <w:right w:val="nil"/>
            </w:tcBorders>
          </w:tcPr>
          <w:p>
            <w:pPr>
              <w:pStyle w:val="Compact"/>
              <w:jc w:val="left"/>
            </w:pPr>
            <w:r>
              <w:t xml:space="preserve">Analytical, single</w:t>
            </w:r>
          </w:p>
        </w:tc>
        <w:tc>
          <w:tcPr>
            <w:tcW w:type="dxa" w:w="2093"/>
            <w:tcBorders>
              <w:top w:val="nil"/>
              <w:left w:val="nil"/>
              <w:bottom w:val="single" w:sz="6" w:space="0" w:color="000000"/>
              <w:right w:val="nil"/>
            </w:tcBorders>
          </w:tcPr>
          <w:p>
            <w:pPr>
              <w:pStyle w:val="Compact"/>
              <w:jc w:val="left"/>
            </w:pPr>
            <w:r>
              <w:t xml:space="preserve">Measured, single</w:t>
            </w:r>
          </w:p>
        </w:tc>
        <w:tc>
          <w:tcPr>
            <w:tcW w:type="dxa" w:w="1694"/>
            <w:tcBorders>
              <w:top w:val="nil"/>
              <w:left w:val="nil"/>
              <w:bottom w:val="single" w:sz="6" w:space="0" w:color="000000"/>
              <w:right w:val="nil"/>
            </w:tcBorders>
          </w:tcPr>
          <w:p>
            <w:pPr>
              <w:pStyle w:val="Compact"/>
              <w:jc w:val="left"/>
            </w:pPr>
            <w:r>
              <w:t xml:space="preserve">Two loads</w:t>
            </w:r>
          </w:p>
        </w:tc>
        <w:tc>
          <w:tcPr>
            <w:tcW w:type="dxa" w:w="1694"/>
            <w:tcBorders>
              <w:top w:val="nil"/>
              <w:left w:val="nil"/>
              <w:bottom w:val="single" w:sz="6" w:space="0" w:color="000000"/>
              <w:right w:val="nil"/>
            </w:tcBorders>
          </w:tcPr>
          <w:p>
            <w:pPr>
              <w:pStyle w:val="Compact"/>
              <w:jc w:val="left"/>
            </w:pPr>
            <w:r>
              <w:t xml:space="preserve">Three loads</w:t>
            </w:r>
          </w:p>
        </w:tc>
      </w:tr>
      <w:tr>
        <w:tc>
          <w:tcPr>
            <w:tcW w:type="dxa" w:w="1096"/>
          </w:tcPr>
          <w:p>
            <w:pPr>
              <w:pStyle w:val="Compact"/>
              <w:jc w:val="left"/>
            </w:pPr>
            <w:r>
              <w:t xml:space="preserve">0</w:t>
            </w:r>
          </w:p>
        </w:tc>
        <w:tc>
          <w:tcPr>
            <w:tcW w:type="dxa" w:w="2491"/>
          </w:tcPr>
          <w:p>
            <w:pPr>
              <w:pStyle w:val="Compact"/>
              <w:jc w:val="left"/>
            </w:pPr>
            <w:r>
              <w:t xml:space="preserve">0.0000</w:t>
            </w:r>
          </w:p>
        </w:tc>
        <w:tc>
          <w:tcPr>
            <w:tcW w:type="dxa" w:w="2093"/>
          </w:tcPr>
          <w:p>
            <w:pPr>
              <w:pStyle w:val="Compact"/>
              <w:jc w:val="left"/>
            </w:pPr>
            <w:r>
              <w:t xml:space="preserve">0.0000</w:t>
            </w:r>
          </w:p>
        </w:tc>
        <w:tc>
          <w:tcPr>
            <w:tcW w:type="dxa" w:w="1694"/>
          </w:tcPr>
          <w:p>
            <w:pPr>
              <w:pStyle w:val="Compact"/>
              <w:jc w:val="left"/>
            </w:pPr>
            <w:r>
              <w:t xml:space="preserve">0</w:t>
            </w:r>
          </w:p>
        </w:tc>
        <w:tc>
          <w:tcPr>
            <w:tcW w:type="dxa" w:w="1694"/>
          </w:tcPr>
          <w:p>
            <w:pPr>
              <w:pStyle w:val="Compact"/>
              <w:jc w:val="left"/>
            </w:pPr>
            <w:r>
              <w:t xml:space="preserve">0</w:t>
            </w:r>
          </w:p>
        </w:tc>
      </w:tr>
      <w:tr>
        <w:tc>
          <w:tcPr>
            <w:tcW w:type="dxa" w:w="1096"/>
          </w:tcPr>
          <w:p>
            <w:pPr>
              <w:pStyle w:val="Compact"/>
              <w:jc w:val="left"/>
            </w:pPr>
            <w:r>
              <w:t xml:space="preserve">250</w:t>
            </w:r>
          </w:p>
        </w:tc>
        <w:tc>
          <w:tcPr>
            <w:tcW w:type="dxa" w:w="2491"/>
          </w:tcPr>
          <w:p>
            <w:pPr>
              <w:pStyle w:val="Compact"/>
              <w:jc w:val="left"/>
            </w:pPr>
            <w:r>
              <w:t xml:space="preserve">0.8874</w:t>
            </w:r>
          </w:p>
        </w:tc>
        <w:tc>
          <w:tcPr>
            <w:tcW w:type="dxa" w:w="2093"/>
          </w:tcPr>
          <w:p>
            <w:pPr>
              <w:pStyle w:val="Compact"/>
              <w:jc w:val="left"/>
            </w:pPr>
            <w:r>
              <w:t xml:space="preserve">0.8844</w:t>
            </w:r>
          </w:p>
        </w:tc>
        <w:tc>
          <w:tcPr>
            <w:tcW w:type="dxa" w:w="1694"/>
          </w:tcPr>
          <w:p>
            <w:pPr>
              <w:pStyle w:val="Compact"/>
              <w:jc w:val="left"/>
            </w:pPr>
            <w:r>
              <w:t xml:space="preserve">0.4625</w:t>
            </w:r>
          </w:p>
        </w:tc>
        <w:tc>
          <w:tcPr>
            <w:tcW w:type="dxa" w:w="1694"/>
          </w:tcPr>
          <w:p>
            <w:pPr>
              <w:pStyle w:val="Compact"/>
              <w:jc w:val="left"/>
            </w:pPr>
            <w:r>
              <w:t xml:space="preserve">0.5525</w:t>
            </w:r>
          </w:p>
        </w:tc>
      </w:tr>
      <w:tr>
        <w:tc>
          <w:tcPr>
            <w:tcW w:type="dxa" w:w="1096"/>
          </w:tcPr>
          <w:p>
            <w:pPr>
              <w:pStyle w:val="Compact"/>
              <w:jc w:val="left"/>
            </w:pPr>
            <w:r>
              <w:t xml:space="preserve">500</w:t>
            </w:r>
          </w:p>
        </w:tc>
        <w:tc>
          <w:tcPr>
            <w:tcW w:type="dxa" w:w="2491"/>
          </w:tcPr>
          <w:p>
            <w:pPr>
              <w:pStyle w:val="Compact"/>
              <w:jc w:val="left"/>
            </w:pPr>
            <w:r>
              <w:t xml:space="preserve">1.6968</w:t>
            </w:r>
          </w:p>
        </w:tc>
        <w:tc>
          <w:tcPr>
            <w:tcW w:type="dxa" w:w="2093"/>
          </w:tcPr>
          <w:p>
            <w:pPr>
              <w:pStyle w:val="Compact"/>
              <w:jc w:val="left"/>
            </w:pPr>
            <w:r>
              <w:t xml:space="preserve">1.6975</w:t>
            </w:r>
          </w:p>
        </w:tc>
        <w:tc>
          <w:tcPr>
            <w:tcW w:type="dxa" w:w="1694"/>
          </w:tcPr>
          <w:p>
            <w:pPr>
              <w:pStyle w:val="Compact"/>
              <w:jc w:val="left"/>
            </w:pPr>
            <w:r>
              <w:t xml:space="preserve">1.8813</w:t>
            </w:r>
          </w:p>
        </w:tc>
        <w:tc>
          <w:tcPr>
            <w:tcW w:type="dxa" w:w="1694"/>
          </w:tcPr>
          <w:p>
            <w:pPr>
              <w:pStyle w:val="Compact"/>
              <w:jc w:val="left"/>
            </w:pPr>
            <w:r>
              <w:t xml:space="preserve">1.0450</w:t>
            </w:r>
          </w:p>
        </w:tc>
      </w:tr>
      <w:tr>
        <w:tc>
          <w:tcPr>
            <w:tcW w:type="dxa" w:w="1096"/>
          </w:tcPr>
          <w:p>
            <w:pPr>
              <w:pStyle w:val="Compact"/>
              <w:jc w:val="left"/>
            </w:pPr>
            <w:r>
              <w:t xml:space="preserve">750</w:t>
            </w:r>
          </w:p>
        </w:tc>
        <w:tc>
          <w:tcPr>
            <w:tcW w:type="dxa" w:w="2491"/>
          </w:tcPr>
          <w:p>
            <w:pPr>
              <w:pStyle w:val="Compact"/>
              <w:jc w:val="left"/>
            </w:pPr>
            <w:r>
              <w:t xml:space="preserve">2.3501</w:t>
            </w:r>
          </w:p>
        </w:tc>
        <w:tc>
          <w:tcPr>
            <w:tcW w:type="dxa" w:w="2093"/>
          </w:tcPr>
          <w:p>
            <w:pPr>
              <w:pStyle w:val="Compact"/>
              <w:jc w:val="left"/>
            </w:pPr>
            <w:r>
              <w:t xml:space="preserve">2.3525</w:t>
            </w:r>
          </w:p>
        </w:tc>
        <w:tc>
          <w:tcPr>
            <w:tcW w:type="dxa" w:w="1694"/>
          </w:tcPr>
          <w:p>
            <w:pPr>
              <w:pStyle w:val="Compact"/>
              <w:jc w:val="left"/>
            </w:pPr>
            <w:r>
              <w:t xml:space="preserve">3.1413</w:t>
            </w:r>
          </w:p>
        </w:tc>
        <w:tc>
          <w:tcPr>
            <w:tcW w:type="dxa" w:w="1694"/>
          </w:tcPr>
          <w:p>
            <w:pPr>
              <w:pStyle w:val="Compact"/>
              <w:jc w:val="left"/>
            </w:pPr>
            <w:r>
              <w:t xml:space="preserve">2.5413</w:t>
            </w:r>
          </w:p>
        </w:tc>
      </w:tr>
      <w:tr>
        <w:tc>
          <w:tcPr>
            <w:tcW w:type="dxa" w:w="1096"/>
          </w:tcPr>
          <w:p>
            <w:pPr>
              <w:pStyle w:val="Compact"/>
              <w:jc w:val="left"/>
            </w:pPr>
            <w:r>
              <w:t xml:space="preserve">1000</w:t>
            </w:r>
          </w:p>
        </w:tc>
        <w:tc>
          <w:tcPr>
            <w:tcW w:type="dxa" w:w="2491"/>
          </w:tcPr>
          <w:p>
            <w:pPr>
              <w:pStyle w:val="Compact"/>
              <w:jc w:val="left"/>
            </w:pPr>
            <w:r>
              <w:t xml:space="preserve">2.7693</w:t>
            </w:r>
          </w:p>
        </w:tc>
        <w:tc>
          <w:tcPr>
            <w:tcW w:type="dxa" w:w="2093"/>
          </w:tcPr>
          <w:p>
            <w:pPr>
              <w:pStyle w:val="Compact"/>
              <w:jc w:val="left"/>
            </w:pPr>
            <w:r>
              <w:t xml:space="preserve">2.7738</w:t>
            </w:r>
          </w:p>
        </w:tc>
        <w:tc>
          <w:tcPr>
            <w:tcW w:type="dxa" w:w="1694"/>
          </w:tcPr>
          <w:p>
            <w:pPr>
              <w:pStyle w:val="Compact"/>
              <w:jc w:val="left"/>
            </w:pPr>
            <w:r>
              <w:t xml:space="preserve">4.0988</w:t>
            </w:r>
          </w:p>
        </w:tc>
        <w:tc>
          <w:tcPr>
            <w:tcW w:type="dxa" w:w="1694"/>
          </w:tcPr>
          <w:p>
            <w:pPr>
              <w:pStyle w:val="Compact"/>
              <w:jc w:val="left"/>
            </w:pPr>
            <w:r>
              <w:t xml:space="preserve">4.8700</w:t>
            </w:r>
          </w:p>
        </w:tc>
      </w:tr>
      <w:tr>
        <w:tc>
          <w:tcPr>
            <w:tcW w:type="dxa" w:w="1096"/>
          </w:tcPr>
          <w:p>
            <w:pPr>
              <w:pStyle w:val="Compact"/>
              <w:jc w:val="left"/>
            </w:pPr>
            <w:r>
              <w:t xml:space="preserve">1250</w:t>
            </w:r>
          </w:p>
        </w:tc>
        <w:tc>
          <w:tcPr>
            <w:tcW w:type="dxa" w:w="2491"/>
          </w:tcPr>
          <w:p>
            <w:pPr>
              <w:pStyle w:val="Compact"/>
              <w:jc w:val="left"/>
            </w:pPr>
            <w:r>
              <w:t xml:space="preserve">2.8764</w:t>
            </w:r>
          </w:p>
        </w:tc>
        <w:tc>
          <w:tcPr>
            <w:tcW w:type="dxa" w:w="2093"/>
          </w:tcPr>
          <w:p>
            <w:pPr>
              <w:pStyle w:val="Compact"/>
              <w:jc w:val="left"/>
            </w:pPr>
            <w:r>
              <w:t xml:space="preserve">2.8827</w:t>
            </w:r>
          </w:p>
        </w:tc>
        <w:tc>
          <w:tcPr>
            <w:tcW w:type="dxa" w:w="1694"/>
          </w:tcPr>
          <w:p>
            <w:pPr>
              <w:pStyle w:val="Compact"/>
              <w:jc w:val="left"/>
            </w:pPr>
            <w:r>
              <w:t xml:space="preserve">4.6350</w:t>
            </w:r>
          </w:p>
        </w:tc>
        <w:tc>
          <w:tcPr>
            <w:tcW w:type="dxa" w:w="1694"/>
          </w:tcPr>
          <w:p>
            <w:pPr>
              <w:pStyle w:val="Compact"/>
              <w:jc w:val="left"/>
            </w:pPr>
            <w:r>
              <w:t xml:space="preserve">6.7588</w:t>
            </w:r>
          </w:p>
        </w:tc>
      </w:tr>
      <w:tr>
        <w:tc>
          <w:tcPr>
            <w:tcW w:type="dxa" w:w="1096"/>
          </w:tcPr>
          <w:p>
            <w:pPr>
              <w:pStyle w:val="Compact"/>
              <w:jc w:val="left"/>
            </w:pPr>
            <w:r>
              <w:t xml:space="preserve">1500</w:t>
            </w:r>
          </w:p>
        </w:tc>
        <w:tc>
          <w:tcPr>
            <w:tcW w:type="dxa" w:w="2491"/>
          </w:tcPr>
          <w:p>
            <w:pPr>
              <w:pStyle w:val="Compact"/>
              <w:jc w:val="left"/>
            </w:pPr>
            <w:r>
              <w:t xml:space="preserve">2.6253</w:t>
            </w:r>
          </w:p>
        </w:tc>
        <w:tc>
          <w:tcPr>
            <w:tcW w:type="dxa" w:w="2093"/>
          </w:tcPr>
          <w:p>
            <w:pPr>
              <w:pStyle w:val="Compact"/>
              <w:jc w:val="left"/>
            </w:pPr>
            <w:r>
              <w:t xml:space="preserve">2.6363</w:t>
            </w:r>
          </w:p>
        </w:tc>
        <w:tc>
          <w:tcPr>
            <w:tcW w:type="dxa" w:w="1694"/>
          </w:tcPr>
          <w:p>
            <w:pPr>
              <w:pStyle w:val="Compact"/>
              <w:jc w:val="left"/>
            </w:pPr>
            <w:r>
              <w:t xml:space="preserve">4.6238</w:t>
            </w:r>
          </w:p>
        </w:tc>
        <w:tc>
          <w:tcPr>
            <w:tcW w:type="dxa" w:w="1694"/>
          </w:tcPr>
          <w:p>
            <w:pPr>
              <w:pStyle w:val="Compact"/>
              <w:jc w:val="left"/>
            </w:pPr>
            <w:r>
              <w:t xml:space="preserve">7.9350</w:t>
            </w:r>
          </w:p>
        </w:tc>
      </w:tr>
      <w:tr>
        <w:tc>
          <w:tcPr>
            <w:tcW w:type="dxa" w:w="1096"/>
          </w:tcPr>
          <w:p>
            <w:pPr>
              <w:pStyle w:val="Compact"/>
              <w:jc w:val="left"/>
            </w:pPr>
            <w:r>
              <w:t xml:space="preserve">1750</w:t>
            </w:r>
          </w:p>
        </w:tc>
        <w:tc>
          <w:tcPr>
            <w:tcW w:type="dxa" w:w="2491"/>
          </w:tcPr>
          <w:p>
            <w:pPr>
              <w:pStyle w:val="Compact"/>
              <w:jc w:val="left"/>
            </w:pPr>
            <w:r>
              <w:t xml:space="preserve">2.0980</w:t>
            </w:r>
          </w:p>
        </w:tc>
        <w:tc>
          <w:tcPr>
            <w:tcW w:type="dxa" w:w="2093"/>
          </w:tcPr>
          <w:p>
            <w:pPr>
              <w:pStyle w:val="Compact"/>
              <w:jc w:val="left"/>
            </w:pPr>
            <w:r>
              <w:t xml:space="preserve">2.1100</w:t>
            </w:r>
          </w:p>
        </w:tc>
        <w:tc>
          <w:tcPr>
            <w:tcW w:type="dxa" w:w="1694"/>
          </w:tcPr>
          <w:p>
            <w:pPr>
              <w:pStyle w:val="Compact"/>
              <w:jc w:val="left"/>
            </w:pPr>
            <w:r>
              <w:t xml:space="preserve">4.0688</w:t>
            </w:r>
          </w:p>
        </w:tc>
        <w:tc>
          <w:tcPr>
            <w:tcW w:type="dxa" w:w="1694"/>
          </w:tcPr>
          <w:p>
            <w:pPr>
              <w:pStyle w:val="Compact"/>
              <w:jc w:val="left"/>
            </w:pPr>
            <w:r>
              <w:t xml:space="preserve">8.2775</w:t>
            </w:r>
          </w:p>
        </w:tc>
      </w:tr>
      <w:tr>
        <w:tc>
          <w:tcPr>
            <w:tcW w:type="dxa" w:w="1096"/>
          </w:tcPr>
          <w:p>
            <w:pPr>
              <w:pStyle w:val="Compact"/>
              <w:jc w:val="left"/>
            </w:pPr>
            <w:r>
              <w:t xml:space="preserve">2000</w:t>
            </w:r>
          </w:p>
        </w:tc>
        <w:tc>
          <w:tcPr>
            <w:tcW w:type="dxa" w:w="2491"/>
          </w:tcPr>
          <w:p>
            <w:pPr>
              <w:pStyle w:val="Compact"/>
              <w:jc w:val="left"/>
            </w:pPr>
            <w:r>
              <w:t xml:space="preserve">1.4087</w:t>
            </w:r>
          </w:p>
        </w:tc>
        <w:tc>
          <w:tcPr>
            <w:tcW w:type="dxa" w:w="2093"/>
          </w:tcPr>
          <w:p>
            <w:pPr>
              <w:pStyle w:val="Compact"/>
              <w:jc w:val="left"/>
            </w:pPr>
            <w:r>
              <w:t xml:space="preserve">1.4213</w:t>
            </w:r>
          </w:p>
        </w:tc>
        <w:tc>
          <w:tcPr>
            <w:tcW w:type="dxa" w:w="1694"/>
          </w:tcPr>
          <w:p>
            <w:pPr>
              <w:pStyle w:val="Compact"/>
              <w:jc w:val="left"/>
            </w:pPr>
            <w:r>
              <w:t xml:space="preserve">3.1375</w:t>
            </w:r>
          </w:p>
        </w:tc>
        <w:tc>
          <w:tcPr>
            <w:tcW w:type="dxa" w:w="1694"/>
          </w:tcPr>
          <w:p>
            <w:pPr>
              <w:pStyle w:val="Compact"/>
              <w:jc w:val="left"/>
            </w:pPr>
            <w:r>
              <w:t xml:space="preserve">7.6825</w:t>
            </w:r>
          </w:p>
        </w:tc>
      </w:tr>
      <w:tr>
        <w:tc>
          <w:tcPr>
            <w:tcW w:type="dxa" w:w="1096"/>
          </w:tcPr>
          <w:p>
            <w:pPr>
              <w:pStyle w:val="Compact"/>
              <w:jc w:val="left"/>
            </w:pPr>
            <w:r>
              <w:t xml:space="preserve">2250</w:t>
            </w:r>
          </w:p>
        </w:tc>
        <w:tc>
          <w:tcPr>
            <w:tcW w:type="dxa" w:w="2491"/>
          </w:tcPr>
          <w:p>
            <w:pPr>
              <w:pStyle w:val="Compact"/>
              <w:jc w:val="left"/>
            </w:pPr>
            <w:r>
              <w:t xml:space="preserve">0.6713</w:t>
            </w:r>
          </w:p>
        </w:tc>
        <w:tc>
          <w:tcPr>
            <w:tcW w:type="dxa" w:w="2093"/>
          </w:tcPr>
          <w:p>
            <w:pPr>
              <w:pStyle w:val="Compact"/>
              <w:jc w:val="left"/>
            </w:pPr>
            <w:r>
              <w:t xml:space="preserve">0.6838</w:t>
            </w:r>
          </w:p>
        </w:tc>
        <w:tc>
          <w:tcPr>
            <w:tcW w:type="dxa" w:w="1694"/>
          </w:tcPr>
          <w:p>
            <w:pPr>
              <w:pStyle w:val="Compact"/>
              <w:jc w:val="left"/>
            </w:pPr>
            <w:r>
              <w:t xml:space="preserve">1.9600</w:t>
            </w:r>
          </w:p>
        </w:tc>
        <w:tc>
          <w:tcPr>
            <w:tcW w:type="dxa" w:w="1694"/>
          </w:tcPr>
          <w:p>
            <w:pPr>
              <w:pStyle w:val="Compact"/>
              <w:jc w:val="left"/>
            </w:pPr>
            <w:r>
              <w:t xml:space="preserve">6.2800</w:t>
            </w:r>
          </w:p>
        </w:tc>
      </w:tr>
      <w:tr>
        <w:tc>
          <w:tcPr>
            <w:tcW w:type="dxa" w:w="1096"/>
          </w:tcPr>
          <w:p>
            <w:pPr>
              <w:pStyle w:val="Compact"/>
              <w:jc w:val="left"/>
            </w:pPr>
            <w:r>
              <w:t xml:space="preserve">2500</w:t>
            </w:r>
          </w:p>
        </w:tc>
        <w:tc>
          <w:tcPr>
            <w:tcW w:type="dxa" w:w="2491"/>
          </w:tcPr>
          <w:p>
            <w:pPr>
              <w:pStyle w:val="Compact"/>
              <w:jc w:val="left"/>
            </w:pPr>
            <w:r>
              <w:t xml:space="preserve">0.0000</w:t>
            </w:r>
          </w:p>
        </w:tc>
        <w:tc>
          <w:tcPr>
            <w:tcW w:type="dxa" w:w="2093"/>
          </w:tcPr>
          <w:p>
            <w:pPr>
              <w:pStyle w:val="Compact"/>
              <w:jc w:val="left"/>
            </w:pPr>
            <w:r>
              <w:t xml:space="preserve">0.0000</w:t>
            </w:r>
          </w:p>
        </w:tc>
        <w:tc>
          <w:tcPr>
            <w:tcW w:type="dxa" w:w="1694"/>
          </w:tcPr>
          <w:p>
            <w:pPr>
              <w:pStyle w:val="Compact"/>
              <w:jc w:val="left"/>
            </w:pPr>
            <w:r>
              <w:t xml:space="preserve">0.7715</w:t>
            </w:r>
          </w:p>
        </w:tc>
        <w:tc>
          <w:tcPr>
            <w:tcW w:type="dxa" w:w="1694"/>
          </w:tcPr>
          <w:p>
            <w:pPr>
              <w:pStyle w:val="Compact"/>
              <w:jc w:val="left"/>
            </w:pPr>
            <w:r>
              <w:t xml:space="preserve">4.3725</w:t>
            </w:r>
          </w:p>
        </w:tc>
      </w:tr>
      <w:tr>
        <w:tc>
          <w:tcPr>
            <w:tcW w:type="dxa" w:w="1096"/>
          </w:tcPr>
          <w:p>
            <w:pPr>
              <w:pStyle w:val="Compact"/>
              <w:jc w:val="left"/>
            </w:pPr>
            <w:r>
              <w:t xml:space="preserve">2750</w:t>
            </w:r>
          </w:p>
        </w:tc>
        <w:tc>
          <w:tcPr>
            <w:tcW w:type="dxa" w:w="2491"/>
          </w:tcPr>
          <w:p>
            <w:pPr>
              <w:pStyle w:val="Compact"/>
              <w:jc w:val="left"/>
            </w:pPr>
            <w:r>
              <w:t xml:space="preserve">−0.5132</w:t>
            </w:r>
          </w:p>
        </w:tc>
        <w:tc>
          <w:tcPr>
            <w:tcW w:type="dxa" w:w="2093"/>
          </w:tcPr>
          <w:p>
            <w:pPr>
              <w:pStyle w:val="Compact"/>
              <w:jc w:val="left"/>
            </w:pPr>
            <w:r>
              <w:t xml:space="preserve">−0.5069</w:t>
            </w:r>
          </w:p>
        </w:tc>
        <w:tc>
          <w:tcPr>
            <w:tcW w:type="dxa" w:w="1694"/>
          </w:tcPr>
          <w:p>
            <w:pPr>
              <w:pStyle w:val="Compact"/>
              <w:jc w:val="left"/>
            </w:pPr>
            <w:r>
              <w:t xml:space="preserve">−0.2689</w:t>
            </w:r>
          </w:p>
        </w:tc>
        <w:tc>
          <w:tcPr>
            <w:tcW w:type="dxa" w:w="1694"/>
          </w:tcPr>
          <w:p>
            <w:pPr>
              <w:pStyle w:val="Compact"/>
              <w:jc w:val="left"/>
            </w:pPr>
            <w:r>
              <w:t xml:space="preserve">2.2975</w:t>
            </w:r>
          </w:p>
        </w:tc>
      </w:tr>
      <w:tr>
        <w:tc>
          <w:tcPr>
            <w:tcW w:type="dxa" w:w="1096"/>
          </w:tcPr>
          <w:p>
            <w:pPr>
              <w:pStyle w:val="Compact"/>
              <w:jc w:val="left"/>
            </w:pPr>
            <w:r>
              <w:t xml:space="preserve">3000</w:t>
            </w:r>
          </w:p>
        </w:tc>
        <w:tc>
          <w:tcPr>
            <w:tcW w:type="dxa" w:w="2491"/>
          </w:tcPr>
          <w:p>
            <w:pPr>
              <w:pStyle w:val="Compact"/>
              <w:jc w:val="left"/>
            </w:pPr>
            <w:r>
              <w:t xml:space="preserve">−0.8644</w:t>
            </w:r>
          </w:p>
        </w:tc>
        <w:tc>
          <w:tcPr>
            <w:tcW w:type="dxa" w:w="2093"/>
          </w:tcPr>
          <w:p>
            <w:pPr>
              <w:pStyle w:val="Compact"/>
              <w:jc w:val="left"/>
            </w:pPr>
            <w:r>
              <w:t xml:space="preserve">−0.8556</w:t>
            </w:r>
          </w:p>
        </w:tc>
        <w:tc>
          <w:tcPr>
            <w:tcW w:type="dxa" w:w="1694"/>
          </w:tcPr>
          <w:p>
            <w:pPr>
              <w:pStyle w:val="Compact"/>
              <w:jc w:val="left"/>
            </w:pPr>
            <w:r>
              <w:t xml:space="preserve">−1.0063</w:t>
            </w:r>
          </w:p>
        </w:tc>
        <w:tc>
          <w:tcPr>
            <w:tcW w:type="dxa" w:w="1694"/>
          </w:tcPr>
          <w:p>
            <w:pPr>
              <w:pStyle w:val="Compact"/>
              <w:jc w:val="left"/>
            </w:pPr>
            <w:r>
              <w:t xml:space="preserve">0.3021</w:t>
            </w:r>
          </w:p>
        </w:tc>
      </w:tr>
      <w:tr>
        <w:tc>
          <w:tcPr>
            <w:tcW w:type="dxa" w:w="1096"/>
          </w:tcPr>
          <w:p>
            <w:pPr>
              <w:pStyle w:val="Compact"/>
              <w:jc w:val="left"/>
            </w:pPr>
            <w:r>
              <w:t xml:space="preserve">3250</w:t>
            </w:r>
          </w:p>
        </w:tc>
        <w:tc>
          <w:tcPr>
            <w:tcW w:type="dxa" w:w="2491"/>
          </w:tcPr>
          <w:p>
            <w:pPr>
              <w:pStyle w:val="Compact"/>
              <w:jc w:val="left"/>
            </w:pPr>
            <w:r>
              <w:t xml:space="preserve">−1.0715</w:t>
            </w:r>
          </w:p>
        </w:tc>
        <w:tc>
          <w:tcPr>
            <w:tcW w:type="dxa" w:w="2093"/>
          </w:tcPr>
          <w:p>
            <w:pPr>
              <w:pStyle w:val="Compact"/>
              <w:jc w:val="left"/>
            </w:pPr>
            <w:r>
              <w:t xml:space="preserve">−1.0600</w:t>
            </w:r>
          </w:p>
        </w:tc>
        <w:tc>
          <w:tcPr>
            <w:tcW w:type="dxa" w:w="1694"/>
          </w:tcPr>
          <w:p>
            <w:pPr>
              <w:pStyle w:val="Compact"/>
              <w:jc w:val="left"/>
            </w:pPr>
            <w:r>
              <w:t xml:space="preserve">−1.4988</w:t>
            </w:r>
          </w:p>
        </w:tc>
        <w:tc>
          <w:tcPr>
            <w:tcW w:type="dxa" w:w="1694"/>
          </w:tcPr>
          <w:p>
            <w:pPr>
              <w:pStyle w:val="Compact"/>
              <w:jc w:val="left"/>
            </w:pPr>
            <w:r>
              <w:t xml:space="preserve">−1.2588</w:t>
            </w:r>
          </w:p>
        </w:tc>
      </w:tr>
      <w:tr>
        <w:tc>
          <w:tcPr>
            <w:tcW w:type="dxa" w:w="1096"/>
          </w:tcPr>
          <w:p>
            <w:pPr>
              <w:pStyle w:val="Compact"/>
              <w:jc w:val="left"/>
            </w:pPr>
            <w:r>
              <w:t xml:space="preserve">3500</w:t>
            </w:r>
          </w:p>
        </w:tc>
        <w:tc>
          <w:tcPr>
            <w:tcW w:type="dxa" w:w="2491"/>
          </w:tcPr>
          <w:p>
            <w:pPr>
              <w:pStyle w:val="Compact"/>
              <w:jc w:val="left"/>
            </w:pPr>
            <w:r>
              <w:t xml:space="preserve">−1.1526</w:t>
            </w:r>
          </w:p>
        </w:tc>
        <w:tc>
          <w:tcPr>
            <w:tcW w:type="dxa" w:w="2093"/>
          </w:tcPr>
          <w:p>
            <w:pPr>
              <w:pStyle w:val="Compact"/>
              <w:jc w:val="left"/>
            </w:pPr>
            <w:r>
              <w:t xml:space="preserve">−1.1438</w:t>
            </w:r>
          </w:p>
        </w:tc>
        <w:tc>
          <w:tcPr>
            <w:tcW w:type="dxa" w:w="1694"/>
          </w:tcPr>
          <w:p>
            <w:pPr>
              <w:pStyle w:val="Compact"/>
              <w:jc w:val="left"/>
            </w:pPr>
            <w:r>
              <w:t xml:space="preserve">−1.7813</w:t>
            </w:r>
          </w:p>
        </w:tc>
        <w:tc>
          <w:tcPr>
            <w:tcW w:type="dxa" w:w="1694"/>
          </w:tcPr>
          <w:p>
            <w:pPr>
              <w:pStyle w:val="Compact"/>
              <w:jc w:val="left"/>
            </w:pPr>
            <w:r>
              <w:t xml:space="preserve">−2.3650</w:t>
            </w:r>
          </w:p>
        </w:tc>
      </w:tr>
      <w:tr>
        <w:tc>
          <w:tcPr>
            <w:tcW w:type="dxa" w:w="1096"/>
          </w:tcPr>
          <w:p>
            <w:pPr>
              <w:pStyle w:val="Compact"/>
              <w:jc w:val="left"/>
            </w:pPr>
            <w:r>
              <w:t xml:space="preserve">3750</w:t>
            </w:r>
          </w:p>
        </w:tc>
        <w:tc>
          <w:tcPr>
            <w:tcW w:type="dxa" w:w="2491"/>
          </w:tcPr>
          <w:p>
            <w:pPr>
              <w:pStyle w:val="Compact"/>
              <w:jc w:val="left"/>
            </w:pPr>
            <w:r>
              <w:t xml:space="preserve">−1.1255</w:t>
            </w:r>
          </w:p>
        </w:tc>
        <w:tc>
          <w:tcPr>
            <w:tcW w:type="dxa" w:w="2093"/>
          </w:tcPr>
          <w:p>
            <w:pPr>
              <w:pStyle w:val="Compact"/>
              <w:jc w:val="left"/>
            </w:pPr>
            <w:r>
              <w:t xml:space="preserve">−1.1200</w:t>
            </w:r>
          </w:p>
        </w:tc>
        <w:tc>
          <w:tcPr>
            <w:tcW w:type="dxa" w:w="1694"/>
          </w:tcPr>
          <w:p>
            <w:pPr>
              <w:pStyle w:val="Compact"/>
              <w:jc w:val="left"/>
            </w:pPr>
            <w:r>
              <w:t xml:space="preserve">−1.8600</w:t>
            </w:r>
          </w:p>
        </w:tc>
        <w:tc>
          <w:tcPr>
            <w:tcW w:type="dxa" w:w="1694"/>
          </w:tcPr>
          <w:p>
            <w:pPr>
              <w:pStyle w:val="Compact"/>
              <w:jc w:val="left"/>
            </w:pPr>
            <w:r>
              <w:t xml:space="preserve">−3.0363</w:t>
            </w:r>
          </w:p>
        </w:tc>
      </w:tr>
      <w:tr>
        <w:tc>
          <w:tcPr>
            <w:tcW w:type="dxa" w:w="1096"/>
          </w:tcPr>
          <w:p>
            <w:pPr>
              <w:pStyle w:val="Compact"/>
              <w:jc w:val="left"/>
            </w:pPr>
            <w:r>
              <w:t xml:space="preserve">4000</w:t>
            </w:r>
          </w:p>
        </w:tc>
        <w:tc>
          <w:tcPr>
            <w:tcW w:type="dxa" w:w="2491"/>
          </w:tcPr>
          <w:p>
            <w:pPr>
              <w:pStyle w:val="Compact"/>
              <w:jc w:val="left"/>
            </w:pPr>
            <w:r>
              <w:t xml:space="preserve">−1.0085</w:t>
            </w:r>
          </w:p>
        </w:tc>
        <w:tc>
          <w:tcPr>
            <w:tcW w:type="dxa" w:w="2093"/>
          </w:tcPr>
          <w:p>
            <w:pPr>
              <w:pStyle w:val="Compact"/>
              <w:jc w:val="left"/>
            </w:pPr>
            <w:r>
              <w:t xml:space="preserve">−1.0013</w:t>
            </w:r>
          </w:p>
        </w:tc>
        <w:tc>
          <w:tcPr>
            <w:tcW w:type="dxa" w:w="1694"/>
          </w:tcPr>
          <w:p>
            <w:pPr>
              <w:pStyle w:val="Compact"/>
              <w:jc w:val="left"/>
            </w:pPr>
            <w:r>
              <w:t xml:space="preserve">−1.7738</w:t>
            </w:r>
          </w:p>
        </w:tc>
        <w:tc>
          <w:tcPr>
            <w:tcW w:type="dxa" w:w="1694"/>
          </w:tcPr>
          <w:p>
            <w:pPr>
              <w:pStyle w:val="Compact"/>
              <w:jc w:val="left"/>
            </w:pPr>
            <w:r>
              <w:t xml:space="preserve">−3.3300</w:t>
            </w:r>
          </w:p>
        </w:tc>
      </w:tr>
      <w:tr>
        <w:tc>
          <w:tcPr>
            <w:tcW w:type="dxa" w:w="1096"/>
          </w:tcPr>
          <w:p>
            <w:pPr>
              <w:pStyle w:val="Compact"/>
              <w:jc w:val="left"/>
            </w:pPr>
            <w:r>
              <w:t xml:space="preserve">4250</w:t>
            </w:r>
          </w:p>
        </w:tc>
        <w:tc>
          <w:tcPr>
            <w:tcW w:type="dxa" w:w="2491"/>
          </w:tcPr>
          <w:p>
            <w:pPr>
              <w:pStyle w:val="Compact"/>
              <w:jc w:val="left"/>
            </w:pPr>
            <w:r>
              <w:t xml:space="preserve">−0.8194</w:t>
            </w:r>
          </w:p>
        </w:tc>
        <w:tc>
          <w:tcPr>
            <w:tcW w:type="dxa" w:w="2093"/>
          </w:tcPr>
          <w:p>
            <w:pPr>
              <w:pStyle w:val="Compact"/>
              <w:jc w:val="left"/>
            </w:pPr>
            <w:r>
              <w:t xml:space="preserve">−0.8175</w:t>
            </w:r>
          </w:p>
        </w:tc>
        <w:tc>
          <w:tcPr>
            <w:tcW w:type="dxa" w:w="1694"/>
          </w:tcPr>
          <w:p>
            <w:pPr>
              <w:pStyle w:val="Compact"/>
              <w:jc w:val="left"/>
            </w:pPr>
            <w:r>
              <w:t xml:space="preserve">−1.5525</w:t>
            </w:r>
          </w:p>
        </w:tc>
        <w:tc>
          <w:tcPr>
            <w:tcW w:type="dxa" w:w="1694"/>
          </w:tcPr>
          <w:p>
            <w:pPr>
              <w:pStyle w:val="Compact"/>
              <w:jc w:val="left"/>
            </w:pPr>
            <w:r>
              <w:t xml:space="preserve">−3.2663</w:t>
            </w:r>
          </w:p>
        </w:tc>
      </w:tr>
      <w:tr>
        <w:tc>
          <w:tcPr>
            <w:tcW w:type="dxa" w:w="1096"/>
          </w:tcPr>
          <w:p>
            <w:pPr>
              <w:pStyle w:val="Compact"/>
              <w:jc w:val="left"/>
            </w:pPr>
            <w:r>
              <w:t xml:space="preserve">4500</w:t>
            </w:r>
          </w:p>
        </w:tc>
        <w:tc>
          <w:tcPr>
            <w:tcW w:type="dxa" w:w="2491"/>
          </w:tcPr>
          <w:p>
            <w:pPr>
              <w:pStyle w:val="Compact"/>
              <w:jc w:val="left"/>
            </w:pPr>
            <w:r>
              <w:t xml:space="preserve">−0.5763</w:t>
            </w:r>
          </w:p>
        </w:tc>
        <w:tc>
          <w:tcPr>
            <w:tcW w:type="dxa" w:w="2093"/>
          </w:tcPr>
          <w:p>
            <w:pPr>
              <w:pStyle w:val="Compact"/>
              <w:jc w:val="left"/>
            </w:pPr>
            <w:r>
              <w:t xml:space="preserve">−0.5816</w:t>
            </w:r>
          </w:p>
        </w:tc>
        <w:tc>
          <w:tcPr>
            <w:tcW w:type="dxa" w:w="1694"/>
          </w:tcPr>
          <w:p>
            <w:pPr>
              <w:pStyle w:val="Compact"/>
              <w:jc w:val="left"/>
            </w:pPr>
            <w:r>
              <w:t xml:space="preserve">−1.2213</w:t>
            </w:r>
          </w:p>
        </w:tc>
        <w:tc>
          <w:tcPr>
            <w:tcW w:type="dxa" w:w="1694"/>
          </w:tcPr>
          <w:p>
            <w:pPr>
              <w:pStyle w:val="Compact"/>
              <w:jc w:val="left"/>
            </w:pPr>
            <w:r>
              <w:t xml:space="preserve">−2.9450</w:t>
            </w:r>
          </w:p>
        </w:tc>
      </w:tr>
      <w:tr>
        <w:tc>
          <w:tcPr>
            <w:tcW w:type="dxa" w:w="1096"/>
          </w:tcPr>
          <w:p>
            <w:pPr>
              <w:pStyle w:val="Compact"/>
              <w:jc w:val="left"/>
            </w:pPr>
            <w:r>
              <w:t xml:space="preserve">4750</w:t>
            </w:r>
          </w:p>
        </w:tc>
        <w:tc>
          <w:tcPr>
            <w:tcW w:type="dxa" w:w="2491"/>
          </w:tcPr>
          <w:p>
            <w:pPr>
              <w:pStyle w:val="Compact"/>
              <w:jc w:val="left"/>
            </w:pPr>
            <w:r>
              <w:t xml:space="preserve">−0.2971</w:t>
            </w:r>
          </w:p>
        </w:tc>
        <w:tc>
          <w:tcPr>
            <w:tcW w:type="dxa" w:w="2093"/>
          </w:tcPr>
          <w:p>
            <w:pPr>
              <w:pStyle w:val="Compact"/>
              <w:jc w:val="left"/>
            </w:pPr>
            <w:r>
              <w:t xml:space="preserve">−0.3019</w:t>
            </w:r>
          </w:p>
        </w:tc>
        <w:tc>
          <w:tcPr>
            <w:tcW w:type="dxa" w:w="1694"/>
          </w:tcPr>
          <w:p>
            <w:pPr>
              <w:pStyle w:val="Compact"/>
              <w:jc w:val="left"/>
            </w:pPr>
            <w:r>
              <w:t xml:space="preserve">−0.8125</w:t>
            </w:r>
          </w:p>
        </w:tc>
        <w:tc>
          <w:tcPr>
            <w:tcW w:type="dxa" w:w="1694"/>
          </w:tcPr>
          <w:p>
            <w:pPr>
              <w:pStyle w:val="Compact"/>
              <w:jc w:val="left"/>
            </w:pPr>
            <w:r>
              <w:t xml:space="preserve">−2.4125</w:t>
            </w:r>
          </w:p>
        </w:tc>
      </w:tr>
      <w:tr>
        <w:tc>
          <w:tcPr>
            <w:tcW w:type="dxa" w:w="1096"/>
          </w:tcPr>
          <w:p>
            <w:pPr>
              <w:pStyle w:val="Compact"/>
              <w:jc w:val="left"/>
            </w:pPr>
            <w:r>
              <w:t xml:space="preserve">5000</w:t>
            </w:r>
          </w:p>
        </w:tc>
        <w:tc>
          <w:tcPr>
            <w:tcW w:type="dxa" w:w="2491"/>
          </w:tcPr>
          <w:p>
            <w:pPr>
              <w:pStyle w:val="Compact"/>
              <w:jc w:val="left"/>
            </w:pPr>
            <w:r>
              <w:t xml:space="preserve">0.0000</w:t>
            </w:r>
          </w:p>
        </w:tc>
        <w:tc>
          <w:tcPr>
            <w:tcW w:type="dxa" w:w="2093"/>
          </w:tcPr>
          <w:p>
            <w:pPr>
              <w:pStyle w:val="Compact"/>
              <w:jc w:val="left"/>
            </w:pPr>
            <w:r>
              <w:t xml:space="preserve">0.0000</w:t>
            </w:r>
          </w:p>
        </w:tc>
        <w:tc>
          <w:tcPr>
            <w:tcW w:type="dxa" w:w="1694"/>
          </w:tcPr>
          <w:p>
            <w:pPr>
              <w:pStyle w:val="Compact"/>
              <w:jc w:val="left"/>
            </w:pPr>
            <w:r>
              <w:t xml:space="preserve">−0.3325</w:t>
            </w:r>
          </w:p>
        </w:tc>
        <w:tc>
          <w:tcPr>
            <w:tcW w:type="dxa" w:w="1694"/>
          </w:tcPr>
          <w:p>
            <w:pPr>
              <w:pStyle w:val="Compact"/>
              <w:jc w:val="left"/>
            </w:pPr>
            <w:r>
              <w:t xml:space="preserve">−1.7088</w:t>
            </w:r>
          </w:p>
        </w:tc>
      </w:tr>
      <w:tr>
        <w:tc>
          <w:tcPr>
            <w:tcW w:type="dxa" w:w="1096"/>
          </w:tcPr>
          <w:p>
            <w:pPr>
              <w:pStyle w:val="Compact"/>
              <w:jc w:val="left"/>
            </w:pPr>
            <w:r>
              <w:t xml:space="preserve">5250</w:t>
            </w:r>
          </w:p>
        </w:tc>
        <w:tc>
          <w:tcPr>
            <w:tcW w:type="dxa" w:w="2491"/>
          </w:tcPr>
          <w:p>
            <w:pPr>
              <w:pStyle w:val="Compact"/>
            </w:pPr>
          </w:p>
        </w:tc>
        <w:tc>
          <w:tcPr>
            <w:tcW w:type="dxa" w:w="2093"/>
          </w:tcPr>
          <w:p>
            <w:pPr>
              <w:pStyle w:val="Compact"/>
            </w:pPr>
          </w:p>
        </w:tc>
        <w:tc>
          <w:tcPr>
            <w:tcW w:type="dxa" w:w="1694"/>
          </w:tcPr>
          <w:p>
            <w:pPr>
              <w:pStyle w:val="Compact"/>
              <w:jc w:val="left"/>
            </w:pPr>
            <w:r>
              <w:t xml:space="preserve">0</w:t>
            </w:r>
          </w:p>
        </w:tc>
        <w:tc>
          <w:tcPr>
            <w:tcW w:type="dxa" w:w="1694"/>
          </w:tcPr>
          <w:p>
            <w:pPr>
              <w:pStyle w:val="Compact"/>
              <w:jc w:val="left"/>
            </w:pPr>
            <w:r>
              <w:t xml:space="preserve">−1.0713</w:t>
            </w:r>
          </w:p>
        </w:tc>
      </w:tr>
      <w:tr>
        <w:tc>
          <w:tcPr>
            <w:tcW w:type="dxa" w:w="1096"/>
          </w:tcPr>
          <w:p>
            <w:pPr>
              <w:pStyle w:val="Compact"/>
              <w:jc w:val="left"/>
            </w:pPr>
            <w:r>
              <w:t xml:space="preserve">5500</w:t>
            </w:r>
          </w:p>
        </w:tc>
        <w:tc>
          <w:tcPr>
            <w:tcW w:type="dxa" w:w="2491"/>
          </w:tcPr>
          <w:p>
            <w:pPr>
              <w:pStyle w:val="Compact"/>
            </w:pPr>
          </w:p>
        </w:tc>
        <w:tc>
          <w:tcPr>
            <w:tcW w:type="dxa" w:w="2093"/>
          </w:tcPr>
          <w:p>
            <w:pPr>
              <w:pStyle w:val="Compact"/>
            </w:pPr>
          </w:p>
        </w:tc>
        <w:tc>
          <w:tcPr>
            <w:tcW w:type="dxa" w:w="1694"/>
          </w:tcPr>
          <w:p>
            <w:pPr>
              <w:pStyle w:val="Compact"/>
            </w:pPr>
          </w:p>
        </w:tc>
        <w:tc>
          <w:tcPr>
            <w:tcW w:type="dxa" w:w="1694"/>
          </w:tcPr>
          <w:p>
            <w:pPr>
              <w:pStyle w:val="Compact"/>
              <w:jc w:val="left"/>
            </w:pPr>
            <w:r>
              <w:t xml:space="preserve">−0.3650</w:t>
            </w:r>
          </w:p>
        </w:tc>
      </w:tr>
      <w:tr>
        <w:tc>
          <w:tcPr>
            <w:tcW w:type="dxa" w:w="1096"/>
          </w:tcPr>
          <w:p>
            <w:pPr>
              <w:pStyle w:val="Compact"/>
              <w:jc w:val="left"/>
            </w:pPr>
            <w:r>
              <w:t xml:space="preserve">5750</w:t>
            </w:r>
          </w:p>
        </w:tc>
        <w:tc>
          <w:tcPr>
            <w:tcW w:type="dxa" w:w="2491"/>
          </w:tcPr>
          <w:p>
            <w:pPr>
              <w:pStyle w:val="Compact"/>
            </w:pPr>
          </w:p>
        </w:tc>
        <w:tc>
          <w:tcPr>
            <w:tcW w:type="dxa" w:w="2093"/>
          </w:tcPr>
          <w:p>
            <w:pPr>
              <w:pStyle w:val="Compact"/>
            </w:pPr>
          </w:p>
        </w:tc>
        <w:tc>
          <w:tcPr>
            <w:tcW w:type="dxa" w:w="1694"/>
          </w:tcPr>
          <w:p>
            <w:pPr>
              <w:pStyle w:val="Compact"/>
            </w:pPr>
          </w:p>
        </w:tc>
        <w:tc>
          <w:tcPr>
            <w:tcW w:type="dxa" w:w="1694"/>
          </w:tcPr>
          <w:p>
            <w:pPr>
              <w:pStyle w:val="Compact"/>
              <w:jc w:val="left"/>
            </w:pPr>
            <w:r>
              <w:t xml:space="preserve">0</w:t>
            </w:r>
          </w:p>
        </w:tc>
      </w:tr>
    </w:tbl>
    <w:bookmarkEnd w:id="51"/>
    <w:bookmarkStart w:id="52" w:name="X43f11662ab0e16245015664686c941fa10c909b"/>
    <w:p>
      <w:pPr>
        <w:pStyle w:val="Heading2"/>
      </w:pPr>
      <w:r>
        <w:t xml:space="preserve">Appendix D. Three-span beams: main-span sensor, verification and asymmetric layouts</w:t>
      </w:r>
    </w:p>
    <w:p>
      <w:pPr>
        <w:pStyle w:val="FirstParagraph"/>
      </w:pPr>
      <w:r>
        <w:t xml:space="preserve">For a sensor at</w:t>
      </w:r>
      <w:r>
        <w:t xml:space="preserve"> </w:t>
      </w:r>
      <m:oMath>
        <m:r>
          <m:t>η</m:t>
        </m:r>
        <m:r>
          <m:rPr>
            <m:sty m:val="p"/>
          </m:rPr>
          <m:t>=</m:t>
        </m:r>
        <m:r>
          <m:t>x</m:t>
        </m:r>
        <m:r>
          <m:rPr>
            <m:sty m:val="p"/>
          </m:rPr>
          <m:t>/</m:t>
        </m:r>
        <m:sSub>
          <m:e>
            <m:r>
              <m:t>L</m:t>
            </m:r>
          </m:e>
          <m:sub>
            <m:r>
              <m:t>m</m:t>
            </m:r>
          </m:sub>
        </m:sSub>
      </m:oMath>
      <w:r>
        <w:t xml:space="preserve"> </w:t>
      </w:r>
      <w:r>
        <w:t xml:space="preserve">in the main span of the symmetric beam of Section 2.3 the constant is</w:t>
      </w:r>
      <w:r>
        <w:t xml:space="preserve"> </w:t>
      </w:r>
      <m:oMath>
        <m:r>
          <m:t>192</m:t>
        </m:r>
        <m:r>
          <m:t>E</m:t>
        </m:r>
        <m:sSub>
          <m:e>
            <m:r>
              <m:t>I</m:t>
            </m:r>
          </m:e>
          <m:sub>
            <m:r>
              <m:t>m</m:t>
            </m:r>
          </m:sub>
        </m:sSub>
        <m:sSub>
          <m:e>
            <m:r>
              <m:t>C</m:t>
            </m:r>
          </m:e>
          <m:sub>
            <m:r>
              <m:t>m</m:t>
            </m:r>
          </m:sub>
        </m:sSub>
        <m:r>
          <m:rPr>
            <m:sty m:val="p"/>
          </m:rPr>
          <m:t>/</m:t>
        </m:r>
        <m:sSubSup>
          <m:e>
            <m:r>
              <m:t>L</m:t>
            </m:r>
          </m:e>
          <m:sub>
            <m:r>
              <m:t>m</m:t>
            </m:r>
          </m:sub>
          <m:sup>
            <m:r>
              <m:t>4</m:t>
            </m:r>
          </m:sup>
        </m:sSubSup>
        <m:r>
          <m:rPr>
            <m:sty m:val="p"/>
          </m:rPr>
          <m:t>=</m:t>
        </m:r>
        <m:r>
          <m:t>8</m:t>
        </m:r>
        <m:d>
          <m:dPr>
            <m:begChr m:val="["/>
            <m:endChr m:val="]"/>
            <m:sepChr m:val=""/>
            <m:grow/>
          </m:dPr>
          <m:e>
            <m:r>
              <m:t>η</m:t>
            </m:r>
            <m:d>
              <m:dPr>
                <m:begChr m:val="("/>
                <m:endChr m:val=")"/>
                <m:sepChr m:val=""/>
                <m:grow/>
              </m:dPr>
              <m:e>
                <m:r>
                  <m:t>1</m:t>
                </m:r>
                <m:r>
                  <m:rPr>
                    <m:sty m:val="p"/>
                  </m:rPr>
                  <m:t>−</m:t>
                </m:r>
                <m:r>
                  <m:t>2</m:t>
                </m:r>
                <m:sSup>
                  <m:e>
                    <m:r>
                      <m:t>η</m:t>
                    </m:r>
                  </m:e>
                  <m:sup>
                    <m:r>
                      <m:t>2</m:t>
                    </m:r>
                  </m:sup>
                </m:sSup>
                <m:r>
                  <m:rPr>
                    <m:sty m:val="p"/>
                  </m:rPr>
                  <m:t>+</m:t>
                </m:r>
                <m:sSup>
                  <m:e>
                    <m:r>
                      <m:t>η</m:t>
                    </m:r>
                  </m:e>
                  <m:sup>
                    <m:r>
                      <m:t>3</m:t>
                    </m:r>
                  </m:sup>
                </m:sSup>
              </m:e>
            </m:d>
            <m:r>
              <m:rPr>
                <m:sty m:val="p"/>
              </m:rPr>
              <m:t>−</m:t>
            </m:r>
            <m:r>
              <m:t>ν</m:t>
            </m:r>
            <m:r>
              <m:t> </m:t>
            </m:r>
            <m:r>
              <m:t>η</m:t>
            </m:r>
            <m:d>
              <m:dPr>
                <m:begChr m:val="("/>
                <m:endChr m:val=")"/>
                <m:sepChr m:val=""/>
                <m:grow/>
              </m:dPr>
              <m:e>
                <m:r>
                  <m:t>1</m:t>
                </m:r>
                <m:r>
                  <m:rPr>
                    <m:sty m:val="p"/>
                  </m:rPr>
                  <m:t>−</m:t>
                </m:r>
                <m:r>
                  <m:t>η</m:t>
                </m:r>
              </m:e>
            </m:d>
          </m:e>
        </m:d>
      </m:oMath>
      <w:r>
        <w:t xml:space="preserve">, with</w:t>
      </w:r>
      <w:r>
        <w:t xml:space="preserve"> </w:t>
      </w:r>
      <m:oMath>
        <m:r>
          <m:t>ν</m:t>
        </m:r>
        <m:r>
          <m:rPr>
            <m:sty m:val="p"/>
          </m:rPr>
          <m:t>=</m:t>
        </m:r>
        <m:r>
          <m:t>3</m:t>
        </m:r>
        <m:d>
          <m:dPr>
            <m:begChr m:val="("/>
            <m:endChr m:val=")"/>
            <m:sepChr m:val=""/>
            <m:grow/>
          </m:dPr>
          <m:e>
            <m:sSub>
              <m:e>
                <m:r>
                  <m:t>ρ</m:t>
                </m:r>
              </m:e>
              <m:sub>
                <m:r>
                  <m:t>E</m:t>
                </m:r>
                <m:r>
                  <m:t>I</m:t>
                </m:r>
              </m:sub>
            </m:sSub>
            <m:r>
              <m:rPr>
                <m:sty m:val="p"/>
              </m:rPr>
              <m:t>+</m:t>
            </m:r>
            <m:sSup>
              <m:e>
                <m:r>
                  <m:t>β</m:t>
                </m:r>
              </m:e>
              <m:sup>
                <m:r>
                  <m:t>3</m:t>
                </m:r>
              </m:sup>
            </m:sSup>
          </m:e>
        </m:d>
        <m:r>
          <m:rPr>
            <m:sty m:val="p"/>
          </m:rPr>
          <m:t>/</m:t>
        </m:r>
        <m:d>
          <m:dPr>
            <m:begChr m:val="["/>
            <m:endChr m:val="]"/>
            <m:sepChr m:val=""/>
            <m:grow/>
          </m:dPr>
          <m:e>
            <m:sSup>
              <m:e>
                <m:r>
                  <m:t>β</m:t>
                </m:r>
              </m:e>
              <m:sup>
                <m:r>
                  <m:t>2</m:t>
                </m:r>
              </m:sup>
            </m:sSup>
            <m:d>
              <m:dPr>
                <m:begChr m:val="("/>
                <m:endChr m:val=")"/>
                <m:sepChr m:val=""/>
                <m:grow/>
              </m:dPr>
              <m:e>
                <m:r>
                  <m:t>2</m:t>
                </m:r>
                <m:sSub>
                  <m:e>
                    <m:r>
                      <m:t>ρ</m:t>
                    </m:r>
                  </m:e>
                  <m:sub>
                    <m:r>
                      <m:t>E</m:t>
                    </m:r>
                    <m:r>
                      <m:t>I</m:t>
                    </m:r>
                  </m:sub>
                </m:sSub>
                <m:r>
                  <m:rPr>
                    <m:sty m:val="p"/>
                  </m:rPr>
                  <m:t>+</m:t>
                </m:r>
                <m:r>
                  <m:t>3</m:t>
                </m:r>
                <m:r>
                  <m:t>β</m:t>
                </m:r>
              </m:e>
            </m:d>
          </m:e>
        </m:d>
      </m:oMath>
      <w:r>
        <w:t xml:space="preserve">. The symmetric-beam expressions of Section 2.3 agree with FE evaluations of Eq. (3), by the uniform-load route and by integration of the influence line, to a maximum relative error of 7.5 × 10⁻¹² over 60 comparisons (six</w:t>
      </w:r>
      <w:r>
        <w:t xml:space="preserve"> </w:t>
      </w:r>
      <m:oMath>
        <m:d>
          <m:dPr>
            <m:begChr m:val="("/>
            <m:endChr m:val=")"/>
            <m:sepChr m:val=""/>
            <m:grow/>
          </m:dPr>
          <m:e>
            <m:r>
              <m:t>β</m:t>
            </m:r>
            <m:r>
              <m:rPr>
                <m:sty m:val="p"/>
              </m:rPr>
              <m:t>,</m:t>
            </m:r>
            <m:sSub>
              <m:e>
                <m:r>
                  <m:t>ρ</m:t>
                </m:r>
              </m:e>
              <m:sub>
                <m:r>
                  <m:t>E</m:t>
                </m:r>
                <m:r>
                  <m:t>I</m:t>
                </m:r>
              </m:sub>
            </m:sSub>
          </m:e>
        </m:d>
      </m:oMath>
      <w:r>
        <w:t xml:space="preserve"> </w:t>
      </w:r>
      <w:r>
        <w:t xml:space="preserve">pairs, five sensor positions, both routes). The cubic for the optimal side-span position in Section 2.3 reduces for two spans to the quadratic of Eq. (7), because</w:t>
      </w:r>
      <w:r>
        <w:t xml:space="preserve"> </w:t>
      </w:r>
      <m:oMath>
        <m:r>
          <m:t>μ</m:t>
        </m:r>
        <m:r>
          <m:rPr>
            <m:sty m:val="p"/>
          </m:rPr>
          <m:t>=</m:t>
        </m:r>
        <m:r>
          <m:t>1</m:t>
        </m:r>
      </m:oMath>
      <w:r>
        <w:t xml:space="preserve"> </w:t>
      </w:r>
      <w:r>
        <w:t xml:space="preserve">makes</w:t>
      </w:r>
      <w:r>
        <w:t xml:space="preserve"> </w:t>
      </w:r>
      <m:oMath>
        <m:r>
          <m:t>ξ</m:t>
        </m:r>
        <m:r>
          <m:rPr>
            <m:sty m:val="p"/>
          </m:rPr>
          <m:t>=</m:t>
        </m:r>
        <m:r>
          <m:t>1</m:t>
        </m:r>
      </m:oMath>
      <w:r>
        <w:t xml:space="preserve"> </w:t>
      </w:r>
      <w:r>
        <w:t xml:space="preserve">a root; for three spans it does not.</w:t>
      </w:r>
    </w:p>
    <w:p>
      <w:pPr>
        <w:pStyle w:val="BodyText"/>
      </w:pPr>
      <w:r>
        <w:t xml:space="preserve">For arbitrary</w:t>
      </w:r>
      <w:r>
        <w:t xml:space="preserve"> </w:t>
      </w:r>
      <m:oMath>
        <m:sSub>
          <m:e>
            <m:r>
              <m:t>L</m:t>
            </m:r>
          </m:e>
          <m:sub>
            <m:r>
              <m:t>1</m:t>
            </m:r>
          </m:sub>
        </m:sSub>
        <m:r>
          <m:rPr>
            <m:sty m:val="p"/>
          </m:rPr>
          <m:t>,</m:t>
        </m:r>
        <m:sSub>
          <m:e>
            <m:r>
              <m:t>L</m:t>
            </m:r>
          </m:e>
          <m:sub>
            <m:r>
              <m:t>2</m:t>
            </m:r>
          </m:sub>
        </m:sSub>
        <m:r>
          <m:rPr>
            <m:sty m:val="p"/>
          </m:rPr>
          <m:t>,</m:t>
        </m:r>
        <m:sSub>
          <m:e>
            <m:r>
              <m:t>L</m:t>
            </m:r>
          </m:e>
          <m:sub>
            <m:r>
              <m:t>3</m:t>
            </m:r>
          </m:sub>
        </m:sSub>
      </m:oMath>
      <w:r>
        <w:t xml:space="preserve"> </w:t>
      </w:r>
      <w:r>
        <w:t xml:space="preserve">and</w:t>
      </w:r>
      <w:r>
        <w:t xml:space="preserve"> </w:t>
      </w:r>
      <m:oMath>
        <m:r>
          <m:t>E</m:t>
        </m:r>
        <m:sSub>
          <m:e>
            <m:r>
              <m:t>I</m:t>
            </m:r>
          </m:e>
          <m:sub>
            <m:r>
              <m:t>1</m:t>
            </m:r>
          </m:sub>
        </m:sSub>
        <m:r>
          <m:rPr>
            <m:sty m:val="p"/>
          </m:rPr>
          <m:t>,</m:t>
        </m:r>
        <m:r>
          <m:t>E</m:t>
        </m:r>
        <m:sSub>
          <m:e>
            <m:r>
              <m:t>I</m:t>
            </m:r>
          </m:e>
          <m:sub>
            <m:r>
              <m:t>2</m:t>
            </m:r>
          </m:sub>
        </m:sSub>
        <m:r>
          <m:rPr>
            <m:sty m:val="p"/>
          </m:rPr>
          <m:t>,</m:t>
        </m:r>
        <m:r>
          <m:t>E</m:t>
        </m:r>
        <m:sSub>
          <m:e>
            <m:r>
              <m:t>I</m:t>
            </m:r>
          </m:e>
          <m:sub>
            <m:r>
              <m:t>3</m:t>
            </m:r>
          </m:sub>
        </m:sSub>
      </m:oMath>
      <w:r>
        <w:t xml:space="preserve">, the two support moments follow from the three-moment equations at B and C, solved symbolically; the sensor deflection under a uniform load then follows by superposition, as in Appendix A. The general expressions are long and are provided in the supplementary scripts. Four asymmetric cases agree with FE to a relative error of at most 9.2 × 10⁻¹². With the sensor at mid span 1 and uniform stiffness, the blind ratio</w:t>
      </w:r>
      <w:r>
        <w:t xml:space="preserve"> </w:t>
      </w:r>
      <m:oMath>
        <m:sSub>
          <m:e>
            <m:r>
              <m:t>L</m:t>
            </m:r>
          </m:e>
          <m:sub>
            <m:r>
              <m:t>1</m:t>
            </m:r>
          </m:sub>
        </m:sSub>
        <m:r>
          <m:rPr>
            <m:sty m:val="p"/>
          </m:rPr>
          <m:t>/</m:t>
        </m:r>
        <m:sSub>
          <m:e>
            <m:r>
              <m:t>L</m:t>
            </m:r>
          </m:e>
          <m:sub>
            <m:r>
              <m:t>2</m:t>
            </m:r>
          </m:sub>
        </m:sSub>
      </m:oMath>
      <w:r>
        <w:t xml:space="preserve"> </w:t>
      </w:r>
      <w:r>
        <w:t xml:space="preserve">is 0.589774, 0.591969, 0.587260, 0.565712, 0.525757 and 0.461410 for</w:t>
      </w:r>
      <w:r>
        <w:t xml:space="preserve"> </w:t>
      </w:r>
      <m:oMath>
        <m:sSub>
          <m:e>
            <m:r>
              <m:t>L</m:t>
            </m:r>
          </m:e>
          <m:sub>
            <m:r>
              <m:t>3</m:t>
            </m:r>
          </m:sub>
        </m:sSub>
        <m:r>
          <m:rPr>
            <m:sty m:val="p"/>
          </m:rPr>
          <m:t>/</m:t>
        </m:r>
        <m:sSub>
          <m:e>
            <m:r>
              <m:t>L</m:t>
            </m:r>
          </m:e>
          <m:sub>
            <m:r>
              <m:t>2</m:t>
            </m:r>
          </m:sub>
        </m:sSub>
      </m:oMath>
      <w:r>
        <w:t xml:space="preserve"> </w:t>
      </w:r>
      <w:r>
        <w:t xml:space="preserve">= 0.3, 0.5, 0.6, 0.8, 1.0 and 1.2.</w:t>
      </w:r>
    </w:p>
    <w:bookmarkEnd w:id="52"/>
    <w:bookmarkStart w:id="53" w:name="computational-implementation"/>
    <w:p>
      <w:pPr>
        <w:pStyle w:val="Heading2"/>
      </w:pPr>
      <w:r>
        <w:t xml:space="preserve">Computational Implementation</w:t>
      </w:r>
    </w:p>
    <w:p>
      <w:pPr>
        <w:pStyle w:val="FirstParagraph"/>
      </w:pPr>
      <w:r>
        <w:t xml:space="preserve">All analyses were implemented by the authors in reproducible scripts: the symbolic verification of the two-span solution, the closed forms of Sections 2.2 and 2.3, the quadrature and Monte Carlo studies, the bridge model of Section 4, the record processing of Section 5 and the moving-load analysis of Section 6.5. Generative artificial intelligence was used as an assistance tool during code development and debugging. Every equation and numerical output was checked independently against an analytical, finite element or convergence-based route, and the scripts and the console output of each run are provided as supplementary material.</w:t>
      </w:r>
    </w:p>
    <w:bookmarkEnd w:id="53"/>
    <w:bookmarkStart w:id="54" w:name="data-availability"/>
    <w:p>
      <w:pPr>
        <w:pStyle w:val="Heading2"/>
      </w:pPr>
      <w:r>
        <w:t xml:space="preserve">Data Availability</w:t>
      </w:r>
    </w:p>
    <w:p>
      <w:pPr>
        <w:pStyle w:val="FirstParagraph"/>
      </w:pPr>
      <w:r>
        <w:t xml:space="preserve">The laboratory deflection data supporting the findings are given in full in Appendix C. The derived data behind every figure and table, the analysis scripts and the console output of each run are provided as supplementary material. The load tests that produced the Cầu Mây acceptance-test data of Section 4 and the field crossing records of Section 5 were performed by an author of this paper, and the authors are permitted to publish the processed data. The processed data (static deflection readings, truck positions and weighed truck masses for Cầu Mây, and the processed crossing records of Section 5) are available at [NEED VALUE: repository name and DOI].</w:t>
      </w:r>
    </w:p>
    <w:bookmarkEnd w:id="54"/>
    <w:bookmarkStart w:id="55" w:name="conflicts-of-interest"/>
    <w:p>
      <w:pPr>
        <w:pStyle w:val="Heading2"/>
      </w:pPr>
      <w:r>
        <w:t xml:space="preserve">Conflicts of Interest</w:t>
      </w:r>
    </w:p>
    <w:p>
      <w:pPr>
        <w:pStyle w:val="FirstParagraph"/>
      </w:pPr>
      <w:r>
        <w:t xml:space="preserve">The Cầu Mây load test analysed in Section 4 was performed by the authors’ team as part of inspection work carried out by Công ty TNHH Tư vấn Đại học Xây dựng (HUCE consultancy) [NEED VALUE: name(s) of authors involved and nature of relationship]. The authors declare that there is no other conflict of interest regarding the publication of this article.</w:t>
      </w:r>
    </w:p>
    <w:bookmarkEnd w:id="55"/>
    <w:bookmarkStart w:id="56" w:name="funding-statement"/>
    <w:p>
      <w:pPr>
        <w:pStyle w:val="Heading2"/>
      </w:pPr>
      <w:r>
        <w:t xml:space="preserve">Funding Statement</w:t>
      </w:r>
    </w:p>
    <w:p>
      <w:pPr>
        <w:pStyle w:val="FirstParagraph"/>
      </w:pPr>
      <w:r>
        <w:t xml:space="preserve">This research did not receive any specific grant from funding agencies in the public, commercial or not-for-profit sectors. [NEED VALUE: name the employer under whose employment the work was performed, and the source of the article processing charge, if any.]</w:t>
      </w:r>
    </w:p>
    <w:bookmarkEnd w:id="56"/>
    <w:bookmarkStart w:id="57" w:name="author-contributions"/>
    <w:p>
      <w:pPr>
        <w:pStyle w:val="Heading2"/>
      </w:pPr>
      <w:r>
        <w:t xml:space="preserve">Author Contributions</w:t>
      </w:r>
    </w:p>
    <w:p>
      <w:pPr>
        <w:pStyle w:val="FirstParagraph"/>
      </w:pPr>
      <w:r>
        <w:rPr>
          <w:bCs/>
          <w:b/>
        </w:rPr>
        <w:t xml:space="preserve">Quoc-Bao Nguyen:</w:t>
      </w:r>
      <w:r>
        <w:t xml:space="preserve"> </w:t>
      </w:r>
      <w:r>
        <w:t xml:space="preserve">Conceptualization, Methodology, Formal analysis, Software, Writing – original draft.</w:t>
      </w:r>
      <w:r>
        <w:t xml:space="preserve"> </w:t>
      </w:r>
      <w:r>
        <w:rPr>
          <w:bCs/>
          <w:b/>
        </w:rPr>
        <w:t xml:space="preserve">Thai-Son Vu:</w:t>
      </w:r>
      <w:r>
        <w:t xml:space="preserve"> </w:t>
      </w:r>
      <w:r>
        <w:t xml:space="preserve">Conceptualization, Investigation, Validation, Supervision, Project administration, Writing – review &amp; editing.</w:t>
      </w:r>
      <w:r>
        <w:t xml:space="preserve"> </w:t>
      </w:r>
      <w:r>
        <w:rPr>
          <w:bCs/>
          <w:b/>
        </w:rPr>
        <w:t xml:space="preserve">Hung-Son Nguyen:</w:t>
      </w:r>
      <w:r>
        <w:t xml:space="preserve"> </w:t>
      </w:r>
      <w:r>
        <w:t xml:space="preserve">Investigation, Data curation, Visualization, Writing – review &amp; editing.</w:t>
      </w:r>
    </w:p>
    <w:bookmarkEnd w:id="57"/>
    <w:bookmarkStart w:id="58" w:name="disclosure-of-generative-ai-use"/>
    <w:p>
      <w:pPr>
        <w:pStyle w:val="Heading2"/>
      </w:pPr>
      <w:r>
        <w:t xml:space="preserve">Disclosure of Generative AI Use</w:t>
      </w:r>
    </w:p>
    <w:p>
      <w:pPr>
        <w:pStyle w:val="FirstParagraph"/>
      </w:pPr>
      <w:r>
        <w:t xml:space="preserve">During the preparation of this work the authors used Claude (Anthropic) to assist with code development and debugging and with language editing. All scientific formulations, procedures, numerical results and interpretations were independently reviewed and verified by the authors, who take full responsibility for the content of the manuscript.</w:t>
      </w:r>
    </w:p>
    <w:bookmarkEnd w:id="58"/>
    <w:bookmarkStart w:id="59" w:name="acknowledgments"/>
    <w:p>
      <w:pPr>
        <w:pStyle w:val="Heading2"/>
      </w:pPr>
      <w:r>
        <w:t xml:space="preserve">Acknowledgments</w:t>
      </w:r>
    </w:p>
    <w:p>
      <w:pPr>
        <w:pStyle w:val="FirstParagraph"/>
      </w:pPr>
      <w:r>
        <w:t xml:space="preserve">The authors gratefully acknowledge the Laboratory of Transportation Technology and Systems, Faculty of Bridge and Road Engineering, Hanoi University of Civil Engineering, for providing the test facilities used in this study. [NEED VALUE: whether to acknowledge Hai Duong PMU and the testing consultant for access to the acceptance-test report.]</w:t>
      </w:r>
    </w:p>
    <w:bookmarkEnd w:id="59"/>
    <w:bookmarkStart w:id="60" w:name="supplementary-materials"/>
    <w:p>
      <w:pPr>
        <w:pStyle w:val="Heading2"/>
      </w:pPr>
      <w:r>
        <w:t xml:space="preserve">Supplementary Materials</w:t>
      </w:r>
    </w:p>
    <w:p>
      <w:pPr>
        <w:pStyle w:val="FirstParagraph"/>
      </w:pPr>
      <w:r>
        <w:t xml:space="preserve">The supplementary material contains: (i) the analysis scripts and the console output of each run, covering the symbolic verification of the closed forms, the general asymmetric three-span expressions of Appendix D, the quadrature and Monte Carlo studies, the Cầu Mây model and calibrations of Section 4, the record processing of Section 5 and the moving-load analysis of Section 6.5; (ii) the derived data behind every figure and table; (iii) the fitted speeds and speed-normalised integrals of the field crossing records of Section 5; (iv) Figure S1, the indicators</w:t>
      </w:r>
      <w:r>
        <w:t xml:space="preserve"> </w:t>
      </w:r>
      <m:oMath>
        <m:sSub>
          <m:e>
            <m:r>
              <m:t>N</m:t>
            </m:r>
          </m:e>
          <m:sub>
            <m:r>
              <m:t>m</m:t>
            </m:r>
          </m:sub>
        </m:sSub>
      </m:oMath>
      <w:r>
        <w:t xml:space="preserve"> </w:t>
      </w:r>
      <w:r>
        <w:t xml:space="preserve">and</w:t>
      </w:r>
      <w:r>
        <w:t xml:space="preserve"> </w:t>
      </w:r>
      <m:oMath>
        <m:sSub>
          <m:e>
            <m:r>
              <m:t>R</m:t>
            </m:r>
          </m:e>
          <m:sub>
            <m:r>
              <m:t>m</m:t>
            </m:r>
          </m:sub>
        </m:sSub>
      </m:oMath>
      <w:r>
        <w:t xml:space="preserve"> </w:t>
      </w:r>
      <w:r>
        <w:t xml:space="preserve">of the Cầu Mây gauges for calibrations A and B with the pinned … fixed bounds (the values of Table 5 in graphical form).</w:t>
      </w:r>
    </w:p>
    <w:bookmarkEnd w:id="60"/>
    <w:bookmarkStart w:id="61" w:name="references"/>
    <w:p>
      <w:pPr>
        <w:pStyle w:val="Heading2"/>
      </w:pPr>
      <w:r>
        <w:t xml:space="preserve">References</w:t>
      </w:r>
    </w:p>
    <w:p>
      <w:pPr>
        <w:pStyle w:val="FirstParagraph"/>
      </w:pPr>
      <w:r>
        <w:t xml:space="preserve">[1] Y. Fan, J. Zhu, J. Pei, Z. Li, Analysis for Yangmingtan Bridge collapse, Eng. Fail. Anal. 56 (2015) 20–27. https://doi.org/10.1016/j.engfailanal.2015.05.003</w:t>
      </w:r>
    </w:p>
    <w:p>
      <w:pPr>
        <w:pStyle w:val="BodyText"/>
      </w:pPr>
      <w:r>
        <w:t xml:space="preserve">[2] H.M. Salem, H.M. Helmy, Numerical investigation of collapse of the Minnesota I-35W bridge, Eng. Struct. 59 (2014) 635–645. https://doi.org/10.1016/j.engstruct.2013.11.022</w:t>
      </w:r>
    </w:p>
    <w:p>
      <w:pPr>
        <w:pStyle w:val="BodyText"/>
      </w:pPr>
      <w:r>
        <w:t xml:space="preserve">[3] S. Invernizzi, F. Montagnoli, A. Carpinteri, Very high cycle corrosion fatigue study of the collapsed Polcevera bridge, Italy, J. Bridge Eng. 27 (1) (2022) 04021102. https://doi.org/10.1061/(ASCE)BE.1943-5592.0001807</w:t>
      </w:r>
    </w:p>
    <w:p>
      <w:pPr>
        <w:pStyle w:val="BodyText"/>
      </w:pPr>
      <w:r>
        <w:t xml:space="preserve">[4] M. Morgese, F. Ansari, M. Domaneschi, G.P. Cimellaro, Post-collapse analysis of Morandi’s Polcevera viaduct in Genoa, Italy, J. Civ. Struct. Health Monit. 10 (2020) 69–85. https://doi.org/10.1007/s13349-019-00370-7</w:t>
      </w:r>
    </w:p>
    <w:p>
      <w:pPr>
        <w:pStyle w:val="BodyText"/>
      </w:pPr>
      <w:r>
        <w:t xml:space="preserve">[5] R. Ventura, B. Barabino, G. Maternini, Estimating the frequency of traffic overloading on road bridges, J. Traffic Transp. Eng. (Engl. Ed.) 11 (4) (2024) 776–796. https://doi.org/10.1016/j.jtte.2023.11.005</w:t>
      </w:r>
    </w:p>
    <w:p>
      <w:pPr>
        <w:pStyle w:val="BodyText"/>
      </w:pPr>
      <w:r>
        <w:t xml:space="preserve">[6] F. Fattorini, W. Salvatore, E. Renzi, G. Tamasi, Application to the territorial authorities of the</w:t>
      </w:r>
      <w:r>
        <w:t xml:space="preserve"> </w:t>
      </w:r>
      <w:r>
        <w:t xml:space="preserve">“</w:t>
      </w:r>
      <w:r>
        <w:t xml:space="preserve">Guidelines for the classification and management of risk, for the evaluation of safety and for the monitoring of existing bridges</w:t>
      </w:r>
      <w:r>
        <w:t xml:space="preserve">”</w:t>
      </w:r>
      <w:r>
        <w:t xml:space="preserve">. The case study of the Municipality of Rome, Procedia Struct. Integr. 44 (2023) 689–696. https://doi.org/10.1016/j.prostr.2023.01.090</w:t>
      </w:r>
    </w:p>
    <w:p>
      <w:pPr>
        <w:pStyle w:val="BodyText"/>
      </w:pPr>
      <w:r>
        <w:t xml:space="preserve">[7] J. Gajda, R. Sroka, P. Burnos, M. Daniol, Long-term assessment of the properties of load sensors applied in weigh-in-motion systems, Sensors 25 (8) (2025) 2421. https://doi.org/10.3390/s25082421</w:t>
      </w:r>
    </w:p>
    <w:p>
      <w:pPr>
        <w:pStyle w:val="BodyText"/>
      </w:pPr>
      <w:r>
        <w:t xml:space="preserve">[8] I. Al-Qadi, H. Wang, Y. Ouyang, K. Grimmelsman, J.E. Purdy, LTBP Program’s Literature Review on Weigh-in-Motion Systems, Report FHWA-HRT-16-024, Federal Highway Administration, Washington, DC, 2016. https://rosap.ntl.bts.gov/view/dot/35735</w:t>
      </w:r>
    </w:p>
    <w:p>
      <w:pPr>
        <w:pStyle w:val="BodyText"/>
      </w:pPr>
      <w:r>
        <w:t xml:space="preserve">[9] B. Jacob, E.J. OBrien, S. Jehaes (Eds.), Weigh-in-Motion of Road Vehicles: Final Report of the COST 323 Action, LCPC, Paris, 2002.</w:t>
      </w:r>
    </w:p>
    <w:p>
      <w:pPr>
        <w:pStyle w:val="BodyText"/>
      </w:pPr>
      <w:r>
        <w:t xml:space="preserve">[10] U.S. Department of Transportation, Federal Highway Administration, Comprehensive Truck Size and Weight Study, Vol. II: Issues and Background, Report FHWA-PL-00-029, Washington, DC, 2000. https://rosap.ntl.bts.gov/view/dot/4747</w:t>
      </w:r>
    </w:p>
    <w:p>
      <w:pPr>
        <w:pStyle w:val="BodyText"/>
      </w:pPr>
      <w:r>
        <w:t xml:space="preserve">[11] F. Moses, Weigh-in-motion system using instrumented bridges, Transp. Eng. J. ASCE 105 (3) (1979) 233–249. https://doi.org/10.1061/TPEJAN.0000783</w:t>
      </w:r>
    </w:p>
    <w:p>
      <w:pPr>
        <w:pStyle w:val="BodyText"/>
      </w:pPr>
      <w:r>
        <w:t xml:space="preserve">[12] E.J. OBrien, M.J. Quilligan, R. Karoumi, Calculating an influence line from direct measurements, Proc. Inst. Civ. Eng. Bridge Eng. 159 (1) (2006) 31–34. https://doi.org/10.1680/bren.2006.159.1.31</w:t>
      </w:r>
    </w:p>
    <w:p>
      <w:pPr>
        <w:pStyle w:val="BodyText"/>
      </w:pPr>
      <w:r>
        <w:t xml:space="preserve">[13] E.J. OBrien, C.W. Rowley, A. González, M.F. Green, A regularised solution to the bridge weigh-in-motion equations, Int. J. Heavy Veh. Syst. 16 (3) (2009) 310–327. https://doi.org/10.1504/IJHVS.2009.027135</w:t>
      </w:r>
    </w:p>
    <w:p>
      <w:pPr>
        <w:pStyle w:val="BodyText"/>
      </w:pPr>
      <w:r>
        <w:t xml:space="preserve">[14] A. Žnidarič, J. Kalin, M. Kreslin, Improved accuracy and robustness of bridge weigh-in-motion systems, Struct. Infrastruct. Eng. 14 (4) (2018) 412–424. https://doi.org/10.1080/15732479.2017.1406958</w:t>
      </w:r>
    </w:p>
    <w:p>
      <w:pPr>
        <w:pStyle w:val="BodyText"/>
      </w:pPr>
      <w:r>
        <w:t xml:space="preserve">[15] Y. Yu, C.S. Cai, L. Deng, State-of-the-art review on bridge weigh-in-motion technology, Adv. Struct. Eng. 19 (9) (2016) 1514–1530. https://doi.org/10.1177/1369433216655922</w:t>
      </w:r>
    </w:p>
    <w:p>
      <w:pPr>
        <w:pStyle w:val="BodyText"/>
      </w:pPr>
      <w:r>
        <w:t xml:space="preserve">[16] T. Ojio, C. Carey, E.J. OBrien, C. Doherty, S.E. Taylor, Contactless bridge weigh-in-motion, J. Bridge Eng. 21 (7) (2016) 04016032. https://doi.org/10.1061/(ASCE)BE.1943-5592.0000776</w:t>
      </w:r>
    </w:p>
    <w:p>
      <w:pPr>
        <w:pStyle w:val="BodyText"/>
      </w:pPr>
      <w:r>
        <w:t xml:space="preserve">[17] W. He, T. Ling, E.J. OBrien, et al., Virtual axle method for bridge weigh-in-motion systems requiring no axle detector, J. Bridge Eng. 24 (9) (2019) 04019086. https://doi.org/10.1061/(asce)be.1943-5592.0001474</w:t>
      </w:r>
    </w:p>
    <w:p>
      <w:pPr>
        <w:pStyle w:val="BodyText"/>
      </w:pPr>
      <w:r>
        <w:t xml:space="preserve">[18] S.S. Law, T.H.T. Chan, Q.H. Zeng, Moving force identification: a time domain method, J. Sound Vib. 201 (1) (1997) 1–22. https://doi.org/10.1006/jsvi.1996.0774</w:t>
      </w:r>
    </w:p>
    <w:p>
      <w:pPr>
        <w:pStyle w:val="BodyText"/>
      </w:pPr>
      <w:r>
        <w:t xml:space="preserve">[19] T.H.T. Chan, S.S. Law, T.H. Yung, X.R. Yuan, An interpretive method for moving force identification, J. Sound Vib. 219 (3) (1999) 503–524. https://doi.org/10.1006/jsvi.1998.1904</w:t>
      </w:r>
    </w:p>
    <w:p>
      <w:pPr>
        <w:pStyle w:val="BodyText"/>
      </w:pPr>
      <w:r>
        <w:t xml:space="preserve">[20] S.S. Law, X.Q. Zhu, Study on different beam models in moving force identification, J. Sound Vib. 234 (4) (2000) 661–679. https://doi.org/10.1006/jsvi.2000.2867</w:t>
      </w:r>
    </w:p>
    <w:p>
      <w:pPr>
        <w:pStyle w:val="BodyText"/>
      </w:pPr>
      <w:r>
        <w:t xml:space="preserve">[21] X.Q. Zhu, S.S. Law, Moving load identification on multi-span continuous bridges with elastic bearings, Mech. Syst. Signal Process. 20 (7) (2006) 1759–1782. https://doi.org/10.1016/j.ymssp.2005.06.004</w:t>
      </w:r>
    </w:p>
    <w:p>
      <w:pPr>
        <w:pStyle w:val="BodyText"/>
      </w:pPr>
      <w:r>
        <w:t xml:space="preserve">[22] L. Deng, C.S. Cai, Identification of dynamic vehicular axle loads: theory and simulations, J. Vib. Control 16 (14) (2010) 2167–2194. https://doi.org/10.1177/1077546309351221</w:t>
      </w:r>
    </w:p>
    <w:p>
      <w:pPr>
        <w:pStyle w:val="BodyText"/>
      </w:pPr>
      <w:r>
        <w:t xml:space="preserve">[23] Z. Chen, Y. Fang, X. Kong, L. Deng, Identification of multi-axle vehicle loads on beam type bridge based on minimal residual norm steepest descent method, J. Sound Vib. 563 (2023) 117866. https://doi.org/10.1016/j.jsv.2023.117866</w:t>
      </w:r>
    </w:p>
    <w:p>
      <w:pPr>
        <w:pStyle w:val="BodyText"/>
      </w:pPr>
      <w:r>
        <w:t xml:space="preserve">[24] S. Luo, J. Jiang, F. Zhang, M.S. Mohamed, Distributed dynamic load identification of beam structures using a Bayesian method, Appl. Sci. 13 (4) (2023) 2537. https://doi.org/10.3390/app13042537</w:t>
      </w:r>
    </w:p>
    <w:p>
      <w:pPr>
        <w:pStyle w:val="BodyText"/>
      </w:pPr>
      <w:r>
        <w:t xml:space="preserve">[25] J. Jiang, S. Luo, M.S. Mohamed, Z. Liang, Real-time identification of dynamic loads using inverse solution and Kalman filter, Appl. Sci. 10 (19) (2020) 6767. https://doi.org/10.3390/app10196767</w:t>
      </w:r>
    </w:p>
    <w:p>
      <w:pPr>
        <w:pStyle w:val="BodyText"/>
      </w:pPr>
      <w:r>
        <w:t xml:space="preserve">[26] T. Kapoor, H. Wang, A. Núñez, R. Dollevoet, Physics-informed machine learning for moving load problems, J. Phys. Conf. Ser. 2647 (2024) 152003. https://doi.org/10.1088/1742-6596/2647/15/152003</w:t>
      </w:r>
    </w:p>
    <w:p>
      <w:pPr>
        <w:pStyle w:val="BodyText"/>
      </w:pPr>
      <w:r>
        <w:t xml:space="preserve">[27] A.J. Cardini, J.T. DeWolf, Implementation of a long-term bridge weigh-in-motion system for a steel girder bridge in the interstate highway system, J. Bridge Eng. 14 (6) (2009) 418–423. https://doi.org/10.1061/(ASCE)1084-0702(2009)14:6(418)</w:t>
      </w:r>
    </w:p>
    <w:p>
      <w:pPr>
        <w:pStyle w:val="BodyText"/>
      </w:pPr>
      <w:r>
        <w:t xml:space="preserve">[28] K. Helmi, B. Bakht, A. Mufti, Accurate measurements of gross vehicle weight through bridge weigh-in-motion: a case study, J. Civ. Struct. Health Monit. 4 (3) (2014) 195–208. https://doi.org/10.1007/s13349-014-0076-5</w:t>
      </w:r>
    </w:p>
    <w:p>
      <w:pPr>
        <w:pStyle w:val="BodyText"/>
      </w:pPr>
      <w:r>
        <w:t xml:space="preserve">[29] M. Lydon, S.E. Taylor, D. Robinson, A. Mufti, E.J. OBrien, Recent developments in bridge weigh in motion (B-WIM), J. Civ. Struct. Health Monit. 6 (1) (2016) 69–81. https://doi.org/10.1007/s13349-015-0119-6</w:t>
      </w:r>
    </w:p>
    <w:p>
      <w:pPr>
        <w:pStyle w:val="BodyText"/>
      </w:pPr>
      <w:r>
        <w:t xml:space="preserve">[30] J. Yang, P. Hou, C. Yang, Study on the method of moving load identification based on strain influence line, Appl. Sci. 11 (2) (2021) 853. https://doi.org/10.3390/app11020853</w:t>
      </w:r>
    </w:p>
    <w:p>
      <w:pPr>
        <w:pStyle w:val="BodyText"/>
      </w:pPr>
      <w:r>
        <w:t xml:space="preserve">[31] J. Yang, P. Hou, C. Yang, Investigation on the moving load identification for bridges based on long-gauge strain sensing and skew-Laplace fitting, Smart Mater. Struct. 32 (8) (2023) 085026. https://doi.org/10.1088/1361-665x/ace4ac</w:t>
      </w:r>
    </w:p>
    <w:p>
      <w:pPr>
        <w:pStyle w:val="BodyText"/>
      </w:pPr>
      <w:r>
        <w:t xml:space="preserve">[32] J. Zhu, C. Wang, T. Qi, Y. Zhou, Vehicle load identification on orthotropic steel box beam bridge based on the strain response area, Appl. Sci. 12 (23) (2022) 12394. https://doi.org/10.3390/app122312394</w:t>
      </w:r>
    </w:p>
    <w:p>
      <w:pPr>
        <w:pStyle w:val="BodyText"/>
      </w:pPr>
      <w:r>
        <w:t xml:space="preserve">[33] P. Agüero-Barrantes, R.E. Christenson, S. Lobo-Aguilar, Utilizing Kriging metamodeling to provide practical and effective bridge weigh-in-motion, J. Bridge Eng. 28 (2) (2023) 04022138. https://doi.org/10.1061/jbenf2.beeng-5760</w:t>
      </w:r>
    </w:p>
    <w:p>
      <w:pPr>
        <w:pStyle w:val="BodyText"/>
      </w:pPr>
      <w:r>
        <w:t xml:space="preserve">[34] N. Zolghadri, M.W. Halling, N.R. Johnson, P.J. Barr, Field verification of simplified bridge weigh-in-motion techniques, J. Bridge Eng. 21 (6) (2016) 04016063. https://doi.org/10.1061/(asce)be.1943-5592.0000930</w:t>
      </w:r>
    </w:p>
    <w:p>
      <w:pPr>
        <w:pStyle w:val="BodyText"/>
      </w:pPr>
      <w:r>
        <w:t xml:space="preserve">[35] S. Shi, M. Yarnold, S. Hurlebaus, J. Mander, Evaluation of a load cell-based bridge weigh-in-motion system, Transp. Res. Rec. 2679 (2) (2025) 535–549. https://doi.org/10.1177/03611981241263336</w:t>
      </w:r>
    </w:p>
    <w:p>
      <w:pPr>
        <w:pStyle w:val="BodyText"/>
      </w:pPr>
      <w:r>
        <w:t xml:space="preserve">[36] A. Döring, M. Vogelbacher, O. Schneider, Investigations of ratio-based integrated influence lines as features for bridge-damage detection, Infrastructures 8 (4) (2023) 72. https://doi.org/10.3390/infrastructures8040072</w:t>
      </w:r>
    </w:p>
    <w:p>
      <w:pPr>
        <w:pStyle w:val="BodyText"/>
      </w:pPr>
      <w:r>
        <w:t xml:space="preserve">[37] D. Huang, Y. Lu, Influence line theory supported single sensor-based strain feature for bridge defect diagnosis, Struct. Health Monit. (2025), online first. https://doi.org/10.1177/14759217251376931</w:t>
      </w:r>
    </w:p>
    <w:p>
      <w:pPr>
        <w:pStyle w:val="BodyText"/>
      </w:pPr>
      <w:r>
        <w:t xml:space="preserve">[38] Q.B. Nguyen, T. Hoang, H.S. Nguyen, [Determination of the load applied on a simply supported beam based on measured deflection data], J. Sci. Technol. Civ. Eng. (HUCE) 18 (2V) (2024) 61–71 (in Vietnamese). https://doi.org/10.31814/stce.huce2024-18(2V)-05</w:t>
      </w:r>
    </w:p>
    <w:p>
      <w:pPr>
        <w:pStyle w:val="BodyText"/>
      </w:pPr>
      <w:r>
        <w:t xml:space="preserve">[39] M.T.A. Chaudhary, M. Morgese, T.W. Taylor, F. Ansari, Method and application for influence-line-free distributed detection of gross vehicle weights in bridges, Structures 73 (2025) 108298. https://doi.org/10.1016/j.istruc.2025.108298</w:t>
      </w:r>
    </w:p>
    <w:p>
      <w:pPr>
        <w:pStyle w:val="BodyText"/>
      </w:pPr>
      <w:r>
        <w:t xml:space="preserve">[40] C. Zhou, C. Demartino, Y. Narazaki, Y. Xu, E. Chatzi, B.F. Spencer, Optimal sensor placement for bridge weigh-in-motion using an augmented Kalman filter, Mech. Syst. Signal Process. 241 (2025) 113522. https://doi.org/10.1016/j.ymssp.2025.113522</w:t>
      </w:r>
    </w:p>
    <w:p>
      <w:pPr>
        <w:pStyle w:val="BodyText"/>
      </w:pPr>
      <w:r>
        <w:t xml:space="preserve">[41] J. Zhang, Y. Liu, X. Fan, An AR(1)-Tikhonov-SVD-GCV framework for stochastic moving load identification driven by bridge multi-point deflection data, Structures 88 (2026) 111844. https://doi.org/10.1016/j.istruc.2026.111844</w:t>
      </w:r>
    </w:p>
    <w:p>
      <w:pPr>
        <w:pStyle w:val="BodyText"/>
      </w:pPr>
      <w:r>
        <w:t xml:space="preserve">[42] Z. Shen, W. Peng, X. Zhang, et al., A lightweight weigh-in-motion system based on vehicle-induced bridge deflection and impact dynamic responses, Int. J. Struct. Stab. Dyn. (2026), online. https://doi.org/10.1142/s0219455427503664</w:t>
      </w:r>
    </w:p>
    <w:p>
      <w:pPr>
        <w:pStyle w:val="BodyText"/>
      </w:pPr>
      <w:r>
        <w:t xml:space="preserve">[43] Y. Zhou, Z. Feng, S.-K. Di, Z.-J. Jia, A novel approach for bending stiffness inversion and rapid evaluation of continuous beam bridges based on a deflection influence line, Struct. Control Health Monit. 2026 (2026) 1361157. https://doi.org/10.1155/stc/1361157</w:t>
      </w:r>
    </w:p>
    <w:p>
      <w:pPr>
        <w:pStyle w:val="BodyText"/>
      </w:pPr>
      <w:r>
        <w:t xml:space="preserve">[44] A. Ghali, A.M. Neville, T.G. Brown, Structural Analysis: A Unified Classical and Matrix Approach, CRC Press, Boca Raton, 2017. https://doi.org/10.1201/9781315273006</w:t>
      </w:r>
    </w:p>
    <w:p>
      <w:pPr>
        <w:pStyle w:val="BodyText"/>
      </w:pPr>
      <w:r>
        <w:t xml:space="preserve">[45] Dassault Systèmes Simulia, ABAQUS/Standard User’s Manual, Version 6.9, 2009.</w:t>
      </w:r>
    </w:p>
    <w:p>
      <w:pPr>
        <w:pStyle w:val="BodyText"/>
      </w:pPr>
      <w:r>
        <w:t xml:space="preserve">[46] L. Frýba, Vibration of Solids and Structures under Moving Loads, 3rd ed., Thomas Telford, London, 1999.</w:t>
      </w:r>
    </w:p>
    <w:p>
      <w:pPr>
        <w:pStyle w:val="BodyText"/>
      </w:pPr>
      <w:r>
        <w:t xml:space="preserve">[47] JCGM 100:2008, Evaluation of Measurement Data – Guide to the Expression of Uncertainty in Measurement, BIPM, Sèvres, 2008.</w:t>
      </w:r>
    </w:p>
    <w:p>
      <w:pPr>
        <w:pStyle w:val="BodyText"/>
      </w:pPr>
      <w:r>
        <w:t xml:space="preserve">[48] H. Sohn, Effects of environmental and operational variability on structural health monitoring, Philos. Trans. R. Soc. A 365 (1851) (2007) 539–560. https://doi.org/10.1098/rsta.2006.1935</w:t>
      </w:r>
    </w:p>
    <w:p>
      <w:pPr>
        <w:pStyle w:val="BodyText"/>
      </w:pPr>
      <w:r>
        <w:t xml:space="preserve">[49] E.J. Cross, K.Y. Koo, J.M.W. Brownjohn, K. Worden, Long-term monitoring and data analysis of the Tamar Bridge, Mech. Syst. Signal Process. 35 (1–2) (2013) 16–34. https://doi.org/10.1016/j.ymssp.2012.08.026</w:t>
      </w:r>
    </w:p>
    <w:p>
      <w:pPr>
        <w:pStyle w:val="BodyText"/>
      </w:pPr>
      <w:r>
        <w:t xml:space="preserve">[50] EN 1991-2:2003, Eurocode 1: Actions on Structures – Part 2: Traffic Loads on Bridges, CEN, Brussels, 2003.</w:t>
      </w:r>
    </w:p>
    <w:p>
      <w:pPr>
        <w:pStyle w:val="BodyText"/>
      </w:pPr>
      <w:r>
        <w:t xml:space="preserve">[51] AASHTO, LRFD Bridge Design Specifications, 10th ed., American Association of State Highway and Transportation Officials, Washington, DC, 2024.</w:t>
      </w:r>
    </w:p>
    <w:bookmarkEnd w:id="61"/>
    <w:bookmarkStart w:id="74" w:name="figures"/>
    <w:p>
      <w:pPr>
        <w:pStyle w:val="Heading2"/>
      </w:pPr>
      <w:r>
        <w:t xml:space="preserve">Figures</w:t>
      </w:r>
    </w:p>
    <w:p>
      <w:pPr>
        <w:pStyle w:val="Figureplaceholder"/>
      </w:pPr>
      <w:r>
        <w:t xml:space="preserve">[Figure 1 to be inserted: source file supplied by the authors]</w:t>
      </w:r>
    </w:p>
    <w:p>
      <w:pPr>
        <w:pStyle w:val="BodyText"/>
      </w:pPr>
      <w:r>
        <w:rPr>
          <w:bCs/>
          <w:b/>
        </w:rPr>
        <w:t xml:space="preserve">Fig. 1.</w:t>
      </w:r>
      <w:r>
        <w:t xml:space="preserve"> </w:t>
      </w:r>
      <w:r>
        <w:t xml:space="preserve">Continuous beams considered: (a) two-span beam with instrumented span</w:t>
      </w:r>
      <w:r>
        <w:t xml:space="preserve"> </w:t>
      </w:r>
      <m:oMath>
        <m:sSub>
          <m:e>
            <m:r>
              <m:t>L</m:t>
            </m:r>
          </m:e>
          <m:sub>
            <m:r>
              <m:t>1</m:t>
            </m:r>
          </m:sub>
        </m:sSub>
      </m:oMath>
      <w:r>
        <w:t xml:space="preserve">, adjacent span</w:t>
      </w:r>
      <w:r>
        <w:t xml:space="preserve"> </w:t>
      </w:r>
      <m:oMath>
        <m:sSub>
          <m:e>
            <m:r>
              <m:t>L</m:t>
            </m:r>
          </m:e>
          <m:sub>
            <m:r>
              <m:t>2</m:t>
            </m:r>
          </m:sub>
        </m:sSub>
      </m:oMath>
      <w:r>
        <w:t xml:space="preserve"> </w:t>
      </w:r>
      <w:r>
        <w:t xml:space="preserve">and sensor at</w:t>
      </w:r>
      <w:r>
        <w:t xml:space="preserve"> </w:t>
      </w:r>
      <m:oMath>
        <m:r>
          <m:t>ξ</m:t>
        </m:r>
        <m:sSub>
          <m:e>
            <m:r>
              <m:t>L</m:t>
            </m:r>
          </m:e>
          <m:sub>
            <m:r>
              <m:t>1</m:t>
            </m:r>
          </m:sub>
        </m:sSub>
      </m:oMath>
      <w:r>
        <w:t xml:space="preserve">; (b) symmetric three-span beam with side spans</w:t>
      </w:r>
      <w:r>
        <w:t xml:space="preserve"> </w:t>
      </w:r>
      <m:oMath>
        <m:sSub>
          <m:e>
            <m:r>
              <m:t>L</m:t>
            </m:r>
          </m:e>
          <m:sub>
            <m:r>
              <m:t>s</m:t>
            </m:r>
          </m:sub>
        </m:sSub>
      </m:oMath>
      <w:r>
        <w:t xml:space="preserve">, main span</w:t>
      </w:r>
      <w:r>
        <w:t xml:space="preserve"> </w:t>
      </w:r>
      <m:oMath>
        <m:sSub>
          <m:e>
            <m:r>
              <m:t>L</m:t>
            </m:r>
          </m:e>
          <m:sub>
            <m:r>
              <m:t>m</m:t>
            </m:r>
          </m:sub>
        </m:sSub>
        <m:r>
          <m:rPr>
            <m:sty m:val="p"/>
          </m:rPr>
          <m:t>=</m:t>
        </m:r>
        <m:r>
          <m:t>β</m:t>
        </m:r>
        <m:sSub>
          <m:e>
            <m:r>
              <m:t>L</m:t>
            </m:r>
          </m:e>
          <m:sub>
            <m:r>
              <m:t>s</m:t>
            </m:r>
          </m:sub>
        </m:sSub>
      </m:oMath>
      <w:r>
        <w:t xml:space="preserve"> </w:t>
      </w:r>
      <w:r>
        <w:t xml:space="preserve">and side-span sensor at</w:t>
      </w:r>
      <w:r>
        <w:t xml:space="preserve"> </w:t>
      </w:r>
      <m:oMath>
        <m:r>
          <m:t>ξ</m:t>
        </m:r>
        <m:sSub>
          <m:e>
            <m:r>
              <m:t>L</m:t>
            </m:r>
          </m:e>
          <m:sub>
            <m:r>
              <m:t>s</m:t>
            </m:r>
          </m:sub>
        </m:sSub>
      </m:oMath>
      <w:r>
        <w:t xml:space="preserve">.</w:t>
      </w:r>
    </w:p>
    <w:p>
      <w:pPr>
        <w:pStyle w:val="Figureplaceholder"/>
      </w:pPr>
      <w:r>
        <w:t xml:space="preserve">[Figure 2 to be inserted: source file supplied by the authors]</w:t>
      </w:r>
    </w:p>
    <w:p>
      <w:pPr>
        <w:pStyle w:val="BodyText"/>
      </w:pPr>
      <w:r>
        <w:rPr>
          <w:bCs/>
          <w:b/>
        </w:rPr>
        <w:t xml:space="preserve">Fig. 2.</w:t>
      </w:r>
      <w:r>
        <w:t xml:space="preserve"> </w:t>
      </w:r>
      <w:r>
        <w:t xml:space="preserve">Load observability of a two-span beam: (a) normalised constant</w:t>
      </w:r>
      <w:r>
        <w:t xml:space="preserve"> </w:t>
      </w:r>
      <m:oMath>
        <m:r>
          <m:t>192</m:t>
        </m:r>
        <m:r>
          <m:t>E</m:t>
        </m:r>
        <m:sSub>
          <m:e>
            <m:r>
              <m:t>I</m:t>
            </m:r>
          </m:e>
          <m:sub>
            <m:r>
              <m:t>1</m:t>
            </m:r>
          </m:sub>
        </m:sSub>
        <m:sSub>
          <m:e>
            <m:r>
              <m:t>C</m:t>
            </m:r>
          </m:e>
          <m:sub>
            <m:r>
              <m:t>m</m:t>
            </m:r>
          </m:sub>
        </m:sSub>
        <m:r>
          <m:rPr>
            <m:sty m:val="p"/>
          </m:rPr>
          <m:t>/</m:t>
        </m:r>
        <m:sSubSup>
          <m:e>
            <m:r>
              <m:t>L</m:t>
            </m:r>
          </m:e>
          <m:sub>
            <m:r>
              <m:t>1</m:t>
            </m:r>
          </m:sub>
          <m:sup>
            <m:r>
              <m:t>4</m:t>
            </m:r>
          </m:sup>
        </m:sSubSup>
      </m:oMath>
      <w:r>
        <w:t xml:space="preserve"> </w:t>
      </w:r>
      <w:r>
        <w:t xml:space="preserve">over the span and stiffness ratios for a mid-span sensor, with the closed-form blind locus of Eq. (6) (thick line) and the near-blind band</w:t>
      </w:r>
      <w:r>
        <w:t xml:space="preserve"> </w:t>
      </w:r>
      <m:oMath>
        <m:d>
          <m:dPr>
            <m:begChr m:val="|"/>
            <m:endChr m:val="|"/>
            <m:sepChr m:val=""/>
            <m:grow/>
          </m:dPr>
          <m:e>
            <m:r>
              <m:t>192</m:t>
            </m:r>
            <m:r>
              <m:t>E</m:t>
            </m:r>
            <m:sSub>
              <m:e>
                <m:r>
                  <m:t>I</m:t>
                </m:r>
              </m:e>
              <m:sub>
                <m:r>
                  <m:t>1</m:t>
                </m:r>
              </m:sub>
            </m:sSub>
            <m:sSub>
              <m:e>
                <m:r>
                  <m:t>C</m:t>
                </m:r>
              </m:e>
              <m:sub>
                <m:r>
                  <m:t>m</m:t>
                </m:r>
              </m:sub>
            </m:sSub>
            <m:r>
              <m:rPr>
                <m:sty m:val="p"/>
              </m:rPr>
              <m:t>/</m:t>
            </m:r>
            <m:sSubSup>
              <m:e>
                <m:r>
                  <m:t>L</m:t>
                </m:r>
              </m:e>
              <m:sub>
                <m:r>
                  <m:t>1</m:t>
                </m:r>
              </m:sub>
              <m:sup>
                <m:r>
                  <m:t>4</m:t>
                </m:r>
              </m:sup>
            </m:sSubSup>
          </m:e>
        </m:d>
        <m:r>
          <m:rPr>
            <m:sty m:val="p"/>
          </m:rPr>
          <m:t>&lt;</m:t>
        </m:r>
        <m:r>
          <m:t>0.2</m:t>
        </m:r>
      </m:oMath>
      <w:r>
        <w:t xml:space="preserve"> </w:t>
      </w:r>
      <w:r>
        <w:t xml:space="preserve">(hatched); (b) dependence on sensor position for several span ratios, with the optimum</w:t>
      </w:r>
      <w:r>
        <w:t xml:space="preserve"> </w:t>
      </w:r>
      <m:oMath>
        <m:sSup>
          <m:e>
            <m:r>
              <m:t>ξ</m:t>
            </m:r>
          </m:e>
          <m:sup>
            <m:r>
              <m:rPr>
                <m:sty m:val="p"/>
              </m:rPr>
              <m:t>*</m:t>
            </m:r>
          </m:sup>
        </m:sSup>
        <m:r>
          <m:rPr>
            <m:sty m:val="p"/>
          </m:rPr>
          <m:t>=</m:t>
        </m:r>
        <m:d>
          <m:dPr>
            <m:begChr m:val="("/>
            <m:endChr m:val=")"/>
            <m:sepChr m:val=""/>
            <m:grow/>
          </m:dPr>
          <m:e>
            <m:r>
              <m:t>1</m:t>
            </m:r>
            <m:r>
              <m:rPr>
                <m:sty m:val="p"/>
              </m:rPr>
              <m:t>+</m:t>
            </m:r>
            <m:rad>
              <m:radPr>
                <m:degHide m:val="on"/>
              </m:radPr>
              <m:deg/>
              <m:e>
                <m:r>
                  <m:t>33</m:t>
                </m:r>
              </m:e>
            </m:rad>
          </m:e>
        </m:d>
        <m:r>
          <m:rPr>
            <m:sty m:val="p"/>
          </m:rPr>
          <m:t>/</m:t>
        </m:r>
        <m:r>
          <m:t>16</m:t>
        </m:r>
      </m:oMath>
      <w:r>
        <w:t xml:space="preserve"> </w:t>
      </w:r>
      <w:r>
        <w:t xml:space="preserve">for the symmetric case.</w:t>
      </w:r>
    </w:p>
    <w:p>
      <w:pPr>
        <w:pStyle w:val="BodyText"/>
      </w:pPr>
      <w:r>
        <w:drawing>
          <wp:inline>
            <wp:extent cx="5753100" cy="2363323"/>
            <wp:effectExtent b="0" l="0" r="0" t="0"/>
            <wp:docPr descr="" title="" id="63" name="Picture"/>
            <a:graphic>
              <a:graphicData uri="http://schemas.openxmlformats.org/drawingml/2006/picture">
                <pic:pic>
                  <pic:nvPicPr>
                    <pic:cNvPr descr="/home/user/SHM-Paper1-1D/manuscript/schm/figures/Fig3_obs_map_3span.png" id="64" name="Picture"/>
                    <pic:cNvPicPr>
                      <a:picLocks noChangeArrowheads="1" noChangeAspect="1"/>
                    </pic:cNvPicPr>
                  </pic:nvPicPr>
                  <pic:blipFill>
                    <a:blip r:embed="rId62"/>
                    <a:stretch>
                      <a:fillRect/>
                    </a:stretch>
                  </pic:blipFill>
                  <pic:spPr bwMode="auto">
                    <a:xfrm>
                      <a:off x="0" y="0"/>
                      <a:ext cx="5753100" cy="2363323"/>
                    </a:xfrm>
                    <a:prstGeom prst="rect">
                      <a:avLst/>
                    </a:prstGeom>
                    <a:noFill/>
                    <a:ln w="9525">
                      <a:noFill/>
                      <a:headEnd/>
                      <a:tailEnd/>
                    </a:ln>
                  </pic:spPr>
                </pic:pic>
              </a:graphicData>
            </a:graphic>
          </wp:inline>
        </w:drawing>
      </w:r>
    </w:p>
    <w:p>
      <w:pPr>
        <w:pStyle w:val="BodyText"/>
      </w:pPr>
      <w:r>
        <w:rPr>
          <w:bCs/>
          <w:b/>
        </w:rPr>
        <w:t xml:space="preserve">Fig. 3.</w:t>
      </w:r>
      <w:r>
        <w:t xml:space="preserve"> </w:t>
      </w:r>
      <w:r>
        <w:t xml:space="preserve">Load observability of a three-span beam with uniform rigidity: (a) symmetric beam,</w:t>
      </w:r>
      <w:r>
        <w:t xml:space="preserve"> </w:t>
      </w:r>
      <m:oMath>
        <m:r>
          <m:t>192</m:t>
        </m:r>
        <m:r>
          <m:t>E</m:t>
        </m:r>
        <m:sSub>
          <m:e>
            <m:r>
              <m:t>I</m:t>
            </m:r>
          </m:e>
          <m:sub>
            <m:r>
              <m:t>s</m:t>
            </m:r>
          </m:sub>
        </m:sSub>
        <m:sSub>
          <m:e>
            <m:r>
              <m:t>C</m:t>
            </m:r>
          </m:e>
          <m:sub>
            <m:r>
              <m:t>m</m:t>
            </m:r>
          </m:sub>
        </m:sSub>
        <m:r>
          <m:rPr>
            <m:sty m:val="p"/>
          </m:rPr>
          <m:t>/</m:t>
        </m:r>
        <m:sSubSup>
          <m:e>
            <m:r>
              <m:t>L</m:t>
            </m:r>
          </m:e>
          <m:sub>
            <m:r>
              <m:t>s</m:t>
            </m:r>
          </m:sub>
          <m:sup>
            <m:r>
              <m:t>4</m:t>
            </m:r>
          </m:sup>
        </m:sSubSup>
      </m:oMath>
      <w:r>
        <w:t xml:space="preserve"> </w:t>
      </w:r>
      <w:r>
        <w:t xml:space="preserve">over</w:t>
      </w:r>
      <w:r>
        <w:t xml:space="preserve"> </w:t>
      </w:r>
      <m:oMath>
        <m:r>
          <m:t>β</m:t>
        </m:r>
      </m:oMath>
      <w:r>
        <w:t xml:space="preserve"> </w:t>
      </w:r>
      <w:r>
        <w:t xml:space="preserve">and the side-span sensor position</w:t>
      </w:r>
      <w:r>
        <w:t xml:space="preserve"> </w:t>
      </w:r>
      <m:oMath>
        <m:r>
          <m:t>ξ</m:t>
        </m:r>
      </m:oMath>
      <w:r>
        <w:t xml:space="preserve">, with the blind locus (thick line), the near-blind band (hatched), the optimum</w:t>
      </w:r>
      <w:r>
        <w:t xml:space="preserve"> </w:t>
      </w:r>
      <m:oMath>
        <m:sSup>
          <m:e>
            <m:r>
              <m:t>ξ</m:t>
            </m:r>
          </m:e>
          <m:sup>
            <m:r>
              <m:rPr>
                <m:sty m:val="p"/>
              </m:rPr>
              <m:t>*</m:t>
            </m:r>
          </m:sup>
        </m:sSup>
        <m:d>
          <m:dPr>
            <m:begChr m:val="("/>
            <m:endChr m:val=")"/>
            <m:sepChr m:val=""/>
            <m:grow/>
          </m:dPr>
          <m:e>
            <m:r>
              <m:t>β</m:t>
            </m:r>
          </m:e>
        </m:d>
      </m:oMath>
      <w:r>
        <w:t xml:space="preserve"> </w:t>
      </w:r>
      <w:r>
        <w:t xml:space="preserve">(dashed) and the Cầu Mây layout with a mid side-span sensor (open circle); (b) asymmetric beam, sensor at mid span 1, over</w:t>
      </w:r>
      <w:r>
        <w:t xml:space="preserve"> </w:t>
      </w:r>
      <m:oMath>
        <m:sSub>
          <m:e>
            <m:r>
              <m:t>L</m:t>
            </m:r>
          </m:e>
          <m:sub>
            <m:r>
              <m:t>1</m:t>
            </m:r>
          </m:sub>
        </m:sSub>
        <m:r>
          <m:rPr>
            <m:sty m:val="p"/>
          </m:rPr>
          <m:t>/</m:t>
        </m:r>
        <m:sSub>
          <m:e>
            <m:r>
              <m:t>L</m:t>
            </m:r>
          </m:e>
          <m:sub>
            <m:r>
              <m:t>2</m:t>
            </m:r>
          </m:sub>
        </m:sSub>
      </m:oMath>
      <w:r>
        <w:t xml:space="preserve"> </w:t>
      </w:r>
      <w:r>
        <w:t xml:space="preserve">and</w:t>
      </w:r>
      <w:r>
        <w:t xml:space="preserve"> </w:t>
      </w:r>
      <m:oMath>
        <m:sSub>
          <m:e>
            <m:r>
              <m:t>L</m:t>
            </m:r>
          </m:e>
          <m:sub>
            <m:r>
              <m:t>3</m:t>
            </m:r>
          </m:sub>
        </m:sSub>
        <m:r>
          <m:rPr>
            <m:sty m:val="p"/>
          </m:rPr>
          <m:t>/</m:t>
        </m:r>
        <m:sSub>
          <m:e>
            <m:r>
              <m:t>L</m:t>
            </m:r>
          </m:e>
          <m:sub>
            <m:r>
              <m:t>2</m:t>
            </m:r>
          </m:sub>
        </m:sSub>
      </m:oMath>
      <w:r>
        <w:t xml:space="preserve">, with the symmetric layouts dotted. Colours are clipped at ±1.5.</w:t>
      </w:r>
    </w:p>
    <w:p>
      <w:pPr>
        <w:pStyle w:val="Figureplaceholder"/>
      </w:pPr>
      <w:r>
        <w:t xml:space="preserve">[Figure 4 to be inserted: source file supplied by the authors]</w:t>
      </w:r>
    </w:p>
    <w:p>
      <w:pPr>
        <w:pStyle w:val="BodyText"/>
      </w:pPr>
      <w:r>
        <w:rPr>
          <w:bCs/>
          <w:b/>
        </w:rPr>
        <w:t xml:space="preserve">Fig. 4.</w:t>
      </w:r>
      <w:r>
        <w:t xml:space="preserve"> </w:t>
      </w:r>
      <w:r>
        <w:t xml:space="preserve">Laboratory specimen: (a) elevation and instrumentation; (b) general view of the test rig.</w:t>
      </w:r>
    </w:p>
    <w:p>
      <w:pPr>
        <w:pStyle w:val="Figureplaceholder"/>
      </w:pPr>
      <w:r>
        <w:t xml:space="preserve">[Figure 5 to be inserted: source file supplied by the authors]</w:t>
      </w:r>
    </w:p>
    <w:p>
      <w:pPr>
        <w:pStyle w:val="BodyText"/>
      </w:pPr>
      <w:r>
        <w:rPr>
          <w:bCs/>
          <w:b/>
        </w:rPr>
        <w:t xml:space="preserve">Fig. 5.</w:t>
      </w:r>
      <w:r>
        <w:t xml:space="preserve"> </w:t>
      </w:r>
      <w:r>
        <w:t xml:space="preserve">Mid-span deflection of span AB against the position of a single 40.64 N load: analytical, FE and measured. The lower panel gives the absolute difference between measurement and theory. Shaded areas are the positive and negative contributions to the deflection integral.</w:t>
      </w:r>
    </w:p>
    <w:p>
      <w:pPr>
        <w:pStyle w:val="Figureplaceholder"/>
      </w:pPr>
      <w:r>
        <w:t xml:space="preserve">[Figure 6 to be inserted: source file supplied by the authors]</w:t>
      </w:r>
    </w:p>
    <w:p>
      <w:pPr>
        <w:pStyle w:val="BodyText"/>
      </w:pPr>
      <w:r>
        <w:rPr>
          <w:bCs/>
          <w:b/>
        </w:rPr>
        <w:t xml:space="preserve">Fig. 6.</w:t>
      </w:r>
      <w:r>
        <w:t xml:space="preserve"> </w:t>
      </w:r>
      <w:r>
        <w:t xml:space="preserve">Measured deflection integral against total applied load for the three configurations, with the theoretical slope</w:t>
      </w:r>
      <w:r>
        <w:t xml:space="preserve"> </w:t>
      </w:r>
      <m:oMath>
        <m:sSup>
          <m:e>
            <m:r>
              <m:t>l</m:t>
            </m:r>
          </m:e>
          <m:sup>
            <m:r>
              <m:t>4</m:t>
            </m:r>
          </m:sup>
        </m:sSup>
        <m:r>
          <m:rPr>
            <m:sty m:val="p"/>
          </m:rPr>
          <m:t>/</m:t>
        </m:r>
        <m:d>
          <m:dPr>
            <m:begChr m:val="("/>
            <m:endChr m:val=")"/>
            <m:sepChr m:val=""/>
            <m:grow/>
          </m:dPr>
          <m:e>
            <m:r>
              <m:t>192</m:t>
            </m:r>
            <m:r>
              <m:t>E</m:t>
            </m:r>
            <m:r>
              <m:t>I</m:t>
            </m:r>
          </m:e>
        </m:d>
      </m:oMath>
      <w:r>
        <w:t xml:space="preserve">.</w:t>
      </w:r>
    </w:p>
    <w:p>
      <w:pPr>
        <w:pStyle w:val="BodyText"/>
      </w:pPr>
      <w:r>
        <w:drawing>
          <wp:inline>
            <wp:extent cx="5753100" cy="5256786"/>
            <wp:effectExtent b="0" l="0" r="0" t="0"/>
            <wp:docPr descr="" title="" id="66" name="Picture"/>
            <a:graphic>
              <a:graphicData uri="http://schemas.openxmlformats.org/drawingml/2006/picture">
                <pic:pic>
                  <pic:nvPicPr>
                    <pic:cNvPr descr="/home/user/SHM-Paper1-1D/manuscript/schm/figures/Fig7_caumay_EI_influence_lines.png" id="67" name="Picture"/>
                    <pic:cNvPicPr>
                      <a:picLocks noChangeArrowheads="1" noChangeAspect="1"/>
                    </pic:cNvPicPr>
                  </pic:nvPicPr>
                  <pic:blipFill>
                    <a:blip r:embed="rId65"/>
                    <a:stretch>
                      <a:fillRect/>
                    </a:stretch>
                  </pic:blipFill>
                  <pic:spPr bwMode="auto">
                    <a:xfrm>
                      <a:off x="0" y="0"/>
                      <a:ext cx="5753100" cy="5256786"/>
                    </a:xfrm>
                    <a:prstGeom prst="rect">
                      <a:avLst/>
                    </a:prstGeom>
                    <a:noFill/>
                    <a:ln w="9525">
                      <a:noFill/>
                      <a:headEnd/>
                      <a:tailEnd/>
                    </a:ln>
                  </pic:spPr>
                </pic:pic>
              </a:graphicData>
            </a:graphic>
          </wp:inline>
        </w:drawing>
      </w:r>
    </w:p>
    <w:p>
      <w:pPr>
        <w:pStyle w:val="BodyText"/>
      </w:pPr>
      <w:r>
        <w:rPr>
          <w:bCs/>
          <w:b/>
        </w:rPr>
        <w:t xml:space="preserve">Fig. 7.</w:t>
      </w:r>
      <w:r>
        <w:t xml:space="preserve"> </w:t>
      </w:r>
      <w:r>
        <w:t xml:space="preserve">Cầu Mây main bridge (55 + 90 + 55 m): (a) assumed stiffness profile</w:t>
      </w:r>
      <w:r>
        <w:t xml:space="preserve"> </w:t>
      </w:r>
      <m:oMath>
        <m:r>
          <m:t>E</m:t>
        </m:r>
        <m:r>
          <m:t>I</m:t>
        </m:r>
        <m:d>
          <m:dPr>
            <m:begChr m:val="("/>
            <m:endChr m:val=")"/>
            <m:sepChr m:val=""/>
            <m:grow/>
          </m:dPr>
          <m:e>
            <m:r>
              <m:t>x</m:t>
            </m:r>
          </m:e>
        </m:d>
        <m:r>
          <m:rPr>
            <m:sty m:val="p"/>
          </m:rPr>
          <m:t>/</m:t>
        </m:r>
        <m:r>
          <m:t>E</m:t>
        </m:r>
        <m:sSub>
          <m:e>
            <m:r>
              <m:t>I</m:t>
            </m:r>
          </m:e>
          <m:sub>
            <m:r>
              <m:rPr>
                <m:sty m:val="p"/>
              </m:rPr>
              <m:t>m</m:t>
            </m:r>
            <m:r>
              <m:rPr>
                <m:sty m:val="p"/>
              </m:rPr>
              <m:t>i</m:t>
            </m:r>
            <m:r>
              <m:rPr>
                <m:sty m:val="p"/>
              </m:rPr>
              <m:t>d</m:t>
            </m:r>
          </m:sub>
        </m:sSub>
      </m:oMath>
      <w:r>
        <w:t xml:space="preserve"> </w:t>
      </w:r>
      <w:r>
        <w:t xml:space="preserve">(</w:t>
      </w:r>
      <m:oMath>
        <m:r>
          <m:t>n</m:t>
        </m:r>
        <m:r>
          <m:rPr>
            <m:sty m:val="p"/>
          </m:rPr>
          <m:t>=</m:t>
        </m:r>
        <m:r>
          <m:t>2.943</m:t>
        </m:r>
      </m:oMath>
      <w:r>
        <w:t xml:space="preserve">,</w:t>
      </w:r>
      <w:r>
        <w:t xml:space="preserve"> </w:t>
      </w:r>
      <m:oMath>
        <m:sSub>
          <m:e>
            <m:r>
              <m:t>L</m:t>
            </m:r>
          </m:e>
          <m:sub>
            <m:r>
              <m:t>v</m:t>
            </m:r>
          </m:sub>
        </m:sSub>
        <m:r>
          <m:rPr>
            <m:sty m:val="p"/>
          </m:rPr>
          <m:t>=</m:t>
        </m:r>
        <m:r>
          <m:t>44</m:t>
        </m:r>
      </m:oMath>
      <w:r>
        <w:t xml:space="preserve"> </w:t>
      </w:r>
      <w:r>
        <w:t xml:space="preserve">m); (b), (c) deflection influence lines, normalised by</w:t>
      </w:r>
      <w:r>
        <w:t xml:space="preserve"> </w:t>
      </w:r>
      <m:oMath>
        <m:r>
          <m:t>E</m:t>
        </m:r>
        <m:sSub>
          <m:e>
            <m:r>
              <m:t>I</m:t>
            </m:r>
          </m:e>
          <m:sub>
            <m:r>
              <m:rPr>
                <m:sty m:val="p"/>
              </m:rPr>
              <m:t>m</m:t>
            </m:r>
            <m:r>
              <m:rPr>
                <m:sty m:val="p"/>
              </m:rPr>
              <m:t>i</m:t>
            </m:r>
            <m:r>
              <m:rPr>
                <m:sty m:val="p"/>
              </m:rPr>
              <m:t>d</m:t>
            </m:r>
          </m:sub>
        </m:sSub>
        <m:r>
          <m:rPr>
            <m:sty m:val="p"/>
          </m:rPr>
          <m:t>/</m:t>
        </m:r>
        <m:sSup>
          <m:e>
            <m:r>
              <m:t>L</m:t>
            </m:r>
          </m:e>
          <m:sup>
            <m:r>
              <m:t>3</m:t>
            </m:r>
          </m:sup>
        </m:sSup>
      </m:oMath>
      <w:r>
        <w:t xml:space="preserve">, at the installed gauges N8 (0.4L of the side span) and N7 (mid centre span) for calibration A (design</w:t>
      </w:r>
      <w:r>
        <w:t xml:space="preserve"> </w:t>
      </w:r>
      <m:oMath>
        <m:r>
          <m:t>E</m:t>
        </m:r>
        <m:r>
          <m:t>I</m:t>
        </m:r>
      </m:oMath>
      <w:r>
        <w:t xml:space="preserve">,</w:t>
      </w:r>
      <w:r>
        <w:t xml:space="preserve"> </w:t>
      </w:r>
      <m:oMath>
        <m:sSub>
          <m:e>
            <m:r>
              <m:t>k</m:t>
            </m:r>
          </m:e>
          <m:sub>
            <m:r>
              <m:rPr>
                <m:sty m:val="p"/>
              </m:rPr>
              <m:t>F</m:t>
            </m:r>
            <m:r>
              <m:rPr>
                <m:sty m:val="p"/>
              </m:rPr>
              <m:t>E</m:t>
            </m:r>
          </m:sub>
        </m:sSub>
      </m:oMath>
      <w:r>
        <w:t xml:space="preserve">), calibration B (</w:t>
      </w:r>
      <m:oMath>
        <m:r>
          <m:t>α</m:t>
        </m:r>
        <m:r>
          <m:rPr>
            <m:sty m:val="p"/>
          </m:rPr>
          <m:t>=</m:t>
        </m:r>
        <m:r>
          <m:t>0.716</m:t>
        </m:r>
      </m:oMath>
      <w:r>
        <w:t xml:space="preserve">,</w:t>
      </w:r>
      <w:r>
        <w:t xml:space="preserve"> </w:t>
      </w:r>
      <m:oMath>
        <m:r>
          <m:t>k</m:t>
        </m:r>
        <m:r>
          <m:rPr>
            <m:sty m:val="p"/>
          </m:rPr>
          <m:t>=</m:t>
        </m:r>
        <m:r>
          <m:t>1.2</m:t>
        </m:r>
        <m:r>
          <m:rPr>
            <m:sty m:val="p"/>
          </m:rPr>
          <m:t>×</m:t>
        </m:r>
        <m:sSup>
          <m:e>
            <m:r>
              <m:t>10</m:t>
            </m:r>
          </m:e>
          <m:sup>
            <m:r>
              <m:t>8</m:t>
            </m:r>
          </m:sup>
        </m:sSup>
      </m:oMath>
      <w:r>
        <w:t xml:space="preserve"> </w:t>
      </w:r>
      <w:r>
        <w:t xml:space="preserve">kN m/rad), pinned piers and fixed piers (design</w:t>
      </w:r>
      <w:r>
        <w:t xml:space="preserve"> </w:t>
      </w:r>
      <m:oMath>
        <m:r>
          <m:t>E</m:t>
        </m:r>
        <m:r>
          <m:t>I</m:t>
        </m:r>
      </m:oMath>
      <w:r>
        <w:t xml:space="preserve">). Positive and negative areas are shaded for calibrations A and B; the boxes give</w:t>
      </w:r>
      <w:r>
        <w:t xml:space="preserve"> </w:t>
      </w:r>
      <m:oMath>
        <m:sSub>
          <m:e>
            <m:r>
              <m:t>N</m:t>
            </m:r>
          </m:e>
          <m:sub>
            <m:r>
              <m:t>m</m:t>
            </m:r>
          </m:sub>
        </m:sSub>
      </m:oMath>
      <w:r>
        <w:t xml:space="preserve"> </w:t>
      </w:r>
      <w:r>
        <w:t xml:space="preserve">and</w:t>
      </w:r>
      <w:r>
        <w:t xml:space="preserve"> </w:t>
      </w:r>
      <m:oMath>
        <m:sSub>
          <m:e>
            <m:r>
              <m:t>R</m:t>
            </m:r>
          </m:e>
          <m:sub>
            <m:r>
              <m:t>m</m:t>
            </m:r>
          </m:sub>
        </m:sSub>
      </m:oMath>
      <w:r>
        <w:t xml:space="preserve"> </w:t>
      </w:r>
      <w:r>
        <w:t xml:space="preserve">of Table 5; the dash-dot line marks the gauge.</w:t>
      </w:r>
    </w:p>
    <w:p>
      <w:pPr>
        <w:pStyle w:val="BodyText"/>
      </w:pPr>
      <w:r>
        <w:drawing>
          <wp:inline>
            <wp:extent cx="5753100" cy="2113468"/>
            <wp:effectExtent b="0" l="0" r="0" t="0"/>
            <wp:docPr descr="" title="" id="69" name="Picture"/>
            <a:graphic>
              <a:graphicData uri="http://schemas.openxmlformats.org/drawingml/2006/picture">
                <pic:pic>
                  <pic:nvPicPr>
                    <pic:cNvPr descr="/home/user/SHM-Paper1-1D/manuscript/schm/figures/Fig8_baseline_sensitivity.png" id="70" name="Picture"/>
                    <pic:cNvPicPr>
                      <a:picLocks noChangeArrowheads="1" noChangeAspect="1"/>
                    </pic:cNvPicPr>
                  </pic:nvPicPr>
                  <pic:blipFill>
                    <a:blip r:embed="rId68"/>
                    <a:stretch>
                      <a:fillRect/>
                    </a:stretch>
                  </pic:blipFill>
                  <pic:spPr bwMode="auto">
                    <a:xfrm>
                      <a:off x="0" y="0"/>
                      <a:ext cx="5753100" cy="2113468"/>
                    </a:xfrm>
                    <a:prstGeom prst="rect">
                      <a:avLst/>
                    </a:prstGeom>
                    <a:noFill/>
                    <a:ln w="9525">
                      <a:noFill/>
                      <a:headEnd/>
                      <a:tailEnd/>
                    </a:ln>
                  </pic:spPr>
                </pic:pic>
              </a:graphicData>
            </a:graphic>
          </wp:inline>
        </w:drawing>
      </w:r>
    </w:p>
    <w:p>
      <w:pPr>
        <w:pStyle w:val="BodyText"/>
      </w:pPr>
      <w:r>
        <w:rPr>
          <w:bCs/>
          <w:b/>
        </w:rPr>
        <w:t xml:space="preserve">Fig. 8.</w:t>
      </w:r>
      <w:r>
        <w:t xml:space="preserve"> </w:t>
      </w:r>
      <w:r>
        <w:t xml:space="preserve">Deviation of the event deflection integral from the linear pre/post baseline for the seven complete crossings (raw channel; both channels for Phuong Do N1), for tare-only, cubic and high-pass (0.1 Hz and 0.5 Hz) baselines.</w:t>
      </w:r>
    </w:p>
    <w:p>
      <w:pPr>
        <w:pStyle w:val="BodyText"/>
      </w:pPr>
      <w:r>
        <w:drawing>
          <wp:inline>
            <wp:extent cx="5753100" cy="5463583"/>
            <wp:effectExtent b="0" l="0" r="0" t="0"/>
            <wp:docPr descr="" title="" id="72" name="Picture"/>
            <a:graphic>
              <a:graphicData uri="http://schemas.openxmlformats.org/drawingml/2006/picture">
                <pic:pic>
                  <pic:nvPicPr>
                    <pic:cNvPr descr="/home/user/SHM-Paper1-1D/manuscript/schm/figures/Fig9_lowpass_residual.png" id="73" name="Picture"/>
                    <pic:cNvPicPr>
                      <a:picLocks noChangeArrowheads="1" noChangeAspect="1"/>
                    </pic:cNvPicPr>
                  </pic:nvPicPr>
                  <pic:blipFill>
                    <a:blip r:embed="rId71"/>
                    <a:stretch>
                      <a:fillRect/>
                    </a:stretch>
                  </pic:blipFill>
                  <pic:spPr bwMode="auto">
                    <a:xfrm>
                      <a:off x="0" y="0"/>
                      <a:ext cx="5753100" cy="5463583"/>
                    </a:xfrm>
                    <a:prstGeom prst="rect">
                      <a:avLst/>
                    </a:prstGeom>
                    <a:noFill/>
                    <a:ln w="9525">
                      <a:noFill/>
                      <a:headEnd/>
                      <a:tailEnd/>
                    </a:ln>
                  </pic:spPr>
                </pic:pic>
              </a:graphicData>
            </a:graphic>
          </wp:inline>
        </w:drawing>
      </w:r>
    </w:p>
    <w:p>
      <w:pPr>
        <w:pStyle w:val="BodyText"/>
      </w:pPr>
      <w:r>
        <w:rPr>
          <w:bCs/>
          <w:b/>
        </w:rPr>
        <w:t xml:space="preserve">Fig. 9.</w:t>
      </w:r>
      <w:r>
        <w:t xml:space="preserve"> </w:t>
      </w:r>
      <w:r>
        <w:t xml:space="preserve">First complete crossing on each span (processed channel): (a) deflection relative to the linear pre/post baseline before and after a 2 Hz zero-phase low-pass filter; (b) dynamic residual, with the ratio of filtered to unfiltered event integrals and the ratio of the net to the absolute integral of the residual.</w:t>
      </w:r>
    </w:p>
    <w:p>
      <w:pPr>
        <w:pStyle w:val="Figureplaceholder"/>
      </w:pPr>
      <w:r>
        <w:t xml:space="preserve">[Figure 10 to be inserted: source file supplied by the authors]</w:t>
      </w:r>
    </w:p>
    <w:p>
      <w:pPr>
        <w:pStyle w:val="BodyText"/>
      </w:pPr>
      <w:r>
        <w:rPr>
          <w:bCs/>
          <w:b/>
        </w:rPr>
        <w:t xml:space="preserve">Fig. 10.</w:t>
      </w:r>
      <w:r>
        <w:t xml:space="preserve"> </w:t>
      </w:r>
      <w:r>
        <w:t xml:space="preserve">Error of the quasi-static deflection-integral estimator for a constant force crossing the laboratory beam, against the ratio of crossing time to fundamental period. Shaded bands mark ±1 % and ±5 %.</w:t>
      </w:r>
    </w:p>
    <w:bookmarkEnd w:id="74"/>
    <w:bookmarkEnd w:id="75"/>
    <w:sectPr>
      <w:footerReference r:id="rId9" w:type="default"/>
      <w:pgSz w:h="16838" w:w="11906"/>
      <w:lnNumType w:countBy="1" w:restart="continuous" w:distance="283"/>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line="360" w:lineRule="auto"/>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spacing w:line="360" w:lineRule="auto"/>
      <w:jc w:val="center"/>
    </w:pPr>
    <w:rPr>
      <w:rFonts w:ascii="Times New Roman" w:cs="Times New Roman" w:eastAsia="Times New Roman" w:hAnsi="Times New Roman"/>
      <w:sz w:val="24"/>
    </w:rPr>
  </w:style>
  <w:style w:styleId="Date" w:type="paragraph">
    <w:name w:val="Date"/>
    <w:next w:val="BodyText"/>
    <w:qFormat/>
    <w:pPr>
      <w:keepNext/>
      <w:keepLines/>
      <w:spacing w:line="360" w:lineRule="auto"/>
      <w:jc w:val="center"/>
    </w:pPr>
    <w:rPr>
      <w:rFonts w:ascii="Times New Roman" w:cs="Times New Roman" w:eastAsia="Times New Roman" w:hAnsi="Times New Roman"/>
      <w:sz w:val="24"/>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line="360" w:lineRule="auto"/>
    </w:pPr>
    <w:rPr>
      <w:rFonts w:ascii="Times New Roman" w:cs="Times New Roman" w:eastAsia="Times New Roman" w:hAnsi="Times New Roman"/>
      <w:sz w:val="24"/>
      <w:szCs w:val="20"/>
    </w:rPr>
  </w:style>
  <w:style w:styleId="Bibliography" w:type="paragraph">
    <w:name w:val="Bibliography"/>
    <w:basedOn w:val="Normal"/>
    <w:next w:val="Bibliography"/>
    <w:qFormat/>
    <w:pPr>
      <w:spacing w:line="360" w:lineRule="auto"/>
    </w:pPr>
    <w:rPr>
      <w:rFonts w:ascii="Times New Roman" w:cs="Times New Roman" w:eastAsia="Times New Roman" w:hAnsi="Times New Roman"/>
      <w:sz w:val="24"/>
    </w:rPr>
  </w:style>
  <w:style w:styleId="Heading1" w:type="paragraph">
    <w:name w:val="Heading 1"/>
    <w:basedOn w:val="Normal"/>
    <w:next w:val="BodyText"/>
    <w:uiPriority w:val="9"/>
    <w:qFormat/>
    <w:pPr>
      <w:keepNext/>
      <w:keepLines/>
      <w:spacing w:after="0" w:before="480" w:line="360" w:lineRule="auto"/>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0" w:before="200" w:line="360" w:lineRule="auto"/>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0" w:before="200" w:line="360" w:lineRule="auto"/>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customStyle="1" w:styleId="Figureplaceholder" w:type="paragraph">
    <w:name w:val="Figure placeholder"/>
    <w:basedOn w:val="Normal"/>
    <w:pPr>
      <w:jc w:val="center"/>
    </w:pPr>
    <w:rPr>
      <w:i/>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62" Type="http://schemas.openxmlformats.org/officeDocument/2006/relationships/image" Target="media/rId62.png"/><Relationship Id="rId65" Type="http://schemas.openxmlformats.org/officeDocument/2006/relationships/image" Target="media/rId65.png"/><Relationship Id="rId68" Type="http://schemas.openxmlformats.org/officeDocument/2006/relationships/image" Target="media/rId68.png"/><Relationship Id="rId71" Type="http://schemas.openxmlformats.org/officeDocument/2006/relationships/image" Target="media/rId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2026-10-18T09:22:06Z</dcterms:created>
  <dcterms:modified xsi:type="dcterms:W3CDTF">2026-10-18T09:22:06Z</dcterms:modified>
</cp:coreProperties>
</file>

<file path=docProps/custom.xml><?xml version="1.0" encoding="utf-8"?>
<Properties xmlns="http://schemas.openxmlformats.org/officeDocument/2006/custom-properties" xmlns:vt="http://schemas.openxmlformats.org/officeDocument/2006/docPropsVTypes"/>
</file>