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 criteria build on the influence-area identity: the area under a record equals the load times the channel’s response to a uniform unit load, the integral constant. Closed forms give the blind loci of five channel types (deflection, strain, rotation, shear,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main-span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two of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Deng et al. used the area under displacement influence lines of a continuous rigid-frame bridge and, because the net area of a multi-span influence line is small, replaced it by the area of its absolute value [44]. Optimal sensor placement for BWIM has been posed through an augmented Kalman filter [45], deflection-based load identification as a regularised stochastic problem [46,47], and measured deflection influence lines have been inverted for the stiffness of continuous girders [48].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rigidity,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integral constant under boundary uncertainty: the constant depends on the rotational stiffness</w:t>
      </w:r>
      <w:r>
        <w:t xml:space="preserve"> </w:t>
      </w:r>
      <m:oMath>
        <m:r>
          <m:t>k</m:t>
        </m:r>
      </m:oMath>
      <w:r>
        <w:t xml:space="preserve"> </w:t>
      </w:r>
      <w:r>
        <w:t xml:space="preserve">of the piers only through the scaled pier stiffness</w:t>
      </w:r>
      <w:r>
        <w:t xml:space="preserve"> </w:t>
      </w:r>
      <m:oMath>
        <m:r>
          <m:t>κ</m:t>
        </m:r>
        <m:r>
          <m:rPr>
            <m:sty m:val="p"/>
          </m:rPr>
          <m:t>=</m:t>
        </m:r>
        <m:r>
          <m:t>k</m:t>
        </m:r>
        <m:r>
          <m:rPr>
            <m:sty m:val="p"/>
          </m:rPr>
          <m:t>/</m:t>
        </m:r>
        <m:r>
          <m:t>α</m:t>
        </m:r>
      </m:oMath>
      <w:r>
        <w:t xml:space="preserve">, where</w:t>
      </w:r>
      <w:r>
        <w:t xml:space="preserve"> </w:t>
      </w:r>
      <m:oMath>
        <m:r>
          <m:t>α</m:t>
        </m:r>
      </m:oMath>
      <w:r>
        <w:t xml:space="preserve"> </w:t>
      </w:r>
      <w:r>
        <w:t xml:space="preserve">is the ratio of effective to design girder rigidity, following a linear-fractional (Möbius) law, and the analysis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d</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 values (2.5 and 1)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influence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Appendix B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of OIML class M1 were suspended at 250 mm steps along the beam.</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full estimator table are in Supplementary Tables S2–S6, and the speed regressions in Supplementary Fig. S3.</w:t>
      </w:r>
    </w:p>
    <w:bookmarkStart w:id="30" w:name="data-and-reference-weights"/>
    <w:p>
      <w:pPr>
        <w:pStyle w:val="Heading3"/>
      </w:pPr>
      <w:r>
        <w:t xml:space="preserve">4.1. Data and reference weights</w:t>
      </w:r>
    </w:p>
    <w:p>
      <w:pPr>
        <w:pStyle w:val="FirstParagraph"/>
      </w:pPr>
      <w:r>
        <w:t xml:space="preserve">The Nothing-on-Road BWIM (NOR-BWIM) dataset [49] (CC0 licence) contains strain records of the Virginia Smart Road Bridge, documented in [41–43,50]. The bridge is a post-tensioned concrete box girder continuous over five spans of 86.5 + 3 × 144 + 86.5 m = 605 m. Strain transducers on the soffit of the top slab lie near mid-span of span 2, 158.5 m from the first abutment, at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channels in one longitudinal line under the wheel path,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[50]. On day 2, a 3-axle truck of 26.8 t and a 5-axle truck of 25.9 t were weighed on a static scale [50]. They ran in the instrumented lane (lane A), on the return trip in the other lane (lane B), and in two runs with the two trucks one behind the other.</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the χ² test does not reject consistency with the measured noise for eight of the twelve gauges, but only one gauge, ch11, shows that both trucks give the same constant within ±10 % (Fig. 6a).</w:t>
      </w:r>
    </w:p>
    <w:p>
      <w:pPr>
        <w:pStyle w:val="BodyText"/>
      </w:pPr>
      <w:r>
        <w:t xml:space="preserve">The four gauges without axle spikes fail the invariance test: their constant is 22–26 % lower for the second truck, and the 95 % CIs of the ratio exclude 1.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 but the confidence interval of the slope is too wide to call the constant speed-independent (Supplementary Fig. S3).</w:t>
      </w:r>
    </w:p>
    <w:p>
      <w:pPr>
        <w:pStyle w:val="BodyText"/>
      </w:pPr>
      <w:r>
        <w:t xml:space="preserve">Each lane needs its own constant. For the gauge average, return trips in lane B gave constants 0.79 times those of lane A (95 % CI 0.59–1.00), as also found on another continuous girder [40].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by about 2.5 standard errors, so gauge-factor spread is an unlikely cause of the gauge-to-gauge differences;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reproduces the global shape of the strain histories (</w:t>
      </w:r>
      <m:oMath>
        <m:sSup>
          <m:e>
            <m:r>
              <m:t>r</m:t>
            </m:r>
          </m:e>
          <m:sup>
            <m:r>
              <m:t>2</m:t>
            </m:r>
          </m:sup>
        </m:sSup>
      </m:oMath>
      <w:r>
        <w:t xml:space="preserve"> </w:t>
      </w:r>
      <w:r>
        <w:t xml:space="preserve">= 0.79–0.94) and explains two features. The gauges are not blind: the zeros of the uniform-load moment diagram in span 2 lie about 35 m from them. The whole 605 m crossing must be integrated, because span 2 contributes about 170 % of the net integral and the adjacent spans −26 % and −66 %.</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results and the four wheel-path gauges of day 1: Supplementary Table S6.</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percentage points (95 % CI +2.3 to +15.1), so GLS is significantly worse than the average; the zero-sum estimator, with almost the same error (20.3 %), is worse as well.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S5).</w:t>
      </w:r>
    </w:p>
    <w:p>
      <w:pPr>
        <w:pStyle w:val="BodyText"/>
      </w:pPr>
      <w:r>
        <w:t xml:space="preserve">Each crossing thus carries a gauge-specific component, plausibly from the wheel path and local slab action, and GLS amplifies it by giving st40 and st36 large weights of opposite sign. Estimating</w:t>
      </w:r>
      <w:r>
        <w:t xml:space="preserve"> </w:t>
      </w:r>
      <m:oMath>
        <m:r>
          <m:t>Σ</m:t>
        </m:r>
      </m:oMath>
      <w:r>
        <w:t xml:space="preserve"> </w:t>
      </w:r>
      <w:r>
        <w:t xml:space="preserve">from the crossing residuals instead over-fits with only eight runs (Supplementary Material).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[42]; it was obtained on different runs and is not compared directly with the results above.</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ĐT389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 sections were read: N8 in the side span between pier T7 and end support T8, at 0.4L (22 m) from T8, and N7 at mid main span. In the June 2020 acceptance test, four trucks stood in the side span (gauge N8) and six in the main span (gauge N7). The trucks were 3-axle, nominally 5 + 10 + 10 t, with a weighed mean of 25.06 t. Mitutoyo dial gauges, mounted on independent frames fixed to the ground, read the peak deflection under centric and eccentric transverse positions. Each gauge section has six readings (three measuring points across the section, on the axis and at both edges, under centric and eccentric truck arrangements);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fitted to the two design sections, and a rotational spring</w:t>
      </w:r>
      <w:r>
        <w:t xml:space="preserve"> </w:t>
      </w:r>
      <m:oMath>
        <m:r>
          <m:t>k</m:t>
        </m:r>
      </m:oMath>
      <w:r>
        <w:t xml:space="preserve"> </w:t>
      </w:r>
      <w:r>
        <w:t xml:space="preserve">at each inner pier. The depth law and the pier dimensions are not documented, so other haunch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main-span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section have a standard deviation of 1.9–2.0 % about their mean. This scatter comes from the transverse positions and is not a measure of repeatability, because the readings are not replicates. Combined in quadrature with a model-form standard uncertainty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or at the edge of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main-span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has a constant that is not identifiable from static acceptance data, whereas a main-span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[51].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[52,53].</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differ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with a margin below the legal limit and the design live loads [54,55].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rigidity,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main-span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An estimate built on the absolute value of the record [44] is not linear in the axle loads, so it loses this invariance whenever contributions of opposite sign overlap. When the influence line is known, other invariant weighting functions exist; for two equal spans their white-noise variance is 1.5–6.6 times smaller, but a 20 % rigidity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[49].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the static deflection readings, the weighed truck masses and axle spacings, and the reported frequencies are given in the Supplementary Material (Tables S8–S10).</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51"/>
    <w:bookmarkStart w:id="52" w:name="supplementary-material"/>
    <w:p>
      <w:pPr>
        <w:pStyle w:val="Heading2"/>
      </w:pPr>
      <w:r>
        <w:t xml:space="preserve">Supplementary Material</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influence line (Fig. S1), the full laboratory data (Table S1) and the quadrature study; (iv) the field-record tables: per-channel constants and scatter with χ² tests (Table S2), truck-to-truck ratios with equivalence tests (Table S3), correlations of vehicle-free noise and crossing residuals (Table S4), the per-crossing standard deviations predicted by both covariance models (Table S5) and the full table of estimator errors (Table S6); the processing details and excluded runs, the speed regressions, lane-B and two-truck results, and all estimator results including leave-one-truck-out, in-sample and GLS with the covariance estimated from crossing residuals (Figs. S2–S3); (v) the beam model of the five-span girder, including the strain constant of the gauges relative to the largest on the girder, and the synthetic records of the dataset authors (Figs. S4–S5); (vi) strain blind-locus maps (Figs. S6–S7); (vii) the multi-channel placement study (brute-force search over all cases), Monte Carlo verification and structure-aware weighting functions (Figs. S8–S10); (viii) the asymmetric three-span closed forms; (ix) the Cầu Mây design section properties and concrete modulus, the model-form variants (haunch lengths, exponents, rigid pier zone), the frequency interpretation, admissible sets against tolerance (3 %, 4 % and 5.3 %, with and without a prior on</w:t>
      </w:r>
      <w:r>
        <w:t xml:space="preserve"> </w:t>
      </w:r>
      <m:oMath>
        <m:r>
          <m:t>α</m:t>
        </m:r>
      </m:oMath>
      <w:r>
        <w:t xml:space="preserve">; Table S7), the misfit ratio</w:t>
      </w:r>
      <w:r>
        <w:t xml:space="preserve"> </w:t>
      </w:r>
      <m:oMath>
        <m:sSub>
          <m:e>
            <m:r>
              <m:t>r</m:t>
            </m:r>
          </m:e>
          <m:sub>
            <m:r>
              <m:t>87</m:t>
            </m:r>
          </m:sub>
        </m:sSub>
      </m:oMath>
      <w:r>
        <w:t xml:space="preserve"> </w:t>
      </w:r>
      <w:r>
        <w:t xml:space="preserve">over</w:t>
      </w:r>
      <w:r>
        <w:t xml:space="preserve"> </w:t>
      </w:r>
      <m:oMath>
        <m:r>
          <m:t>κ</m:t>
        </m:r>
      </m:oMath>
      <w:r>
        <w:t xml:space="preserve">, the closed-form Möbius law (Figs. S11–S13) and the processed acceptance-test data (Tables S8–S10); (x) the moving-force analysis behind the dynamic bound; (xi) the deflection records of two simply supported bridges, which illustrate baseline handling and low-pass filtering (Figs. S14–S15).</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L. Deng, P. Liu, T. Huang, S. Kaewunruen, A novel moving load identification method for continuous rigid-frame bridges using a field-based displacement influence line, Appl. Sci. 15 (11) (2025) 6028. https://doi.org/10.3390/app15116028</w:t>
      </w:r>
    </w:p>
    <w:p>
      <w:pPr>
        <w:pStyle w:val="BodyText"/>
      </w:pPr>
      <w:r>
        <w:t xml:space="preserve">[45] C. Zhou, C. Demartino, Y. Narazaki, Y. Xu, E. Chatzi, B.F. Spencer, Optimal sensor placement for bridge weigh-in-motion using an augmented Kalman filter, Mech. Syst. Signal Process. 241 (2025) 113522. https://doi.org/10.1016/j.ymssp.2025.113522</w:t>
      </w:r>
    </w:p>
    <w:p>
      <w:pPr>
        <w:pStyle w:val="BodyText"/>
      </w:pPr>
      <w:r>
        <w:t xml:space="preserve">[46] J. Zhang, Y. Liu, X. Fan, An AR(1)-Tikhonov-SVD-GCV framework for stochastic moving load identification driven by bridge multi-point deflection data, Structures 88 (2026) 111844. https://doi.org/10.1016/j.istruc.2026.111844</w:t>
      </w:r>
    </w:p>
    <w:p>
      <w:pPr>
        <w:pStyle w:val="BodyText"/>
      </w:pPr>
      <w:r>
        <w:t xml:space="preserve">[47] Z. Shen, W. Peng, X. Zhang, et al., A lightweight weigh-in-motion system based on vehicle-induced bridge deflection and impact dynamic responses, Int. J. Struct. Stab. Dyn. (2026), online first. https://doi.org/10.1142/s0219455427503664</w:t>
      </w:r>
    </w:p>
    <w:p>
      <w:pPr>
        <w:pStyle w:val="BodyText"/>
      </w:pPr>
      <w:r>
        <w:t xml:space="preserve">[48]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[49] A. Moghadam, R. Sarlo, Nothing-on-Road Bridge-Weigh-In-Motion (NOR-BWIM) Dataset, version 1, University Libraries, Virginia Tech, figshare, 2024. https://doi.org/10.7294/26880898.v1</w:t>
      </w:r>
    </w:p>
    <w:p>
      <w:pPr>
        <w:pStyle w:val="BodyText"/>
      </w:pPr>
      <w:r>
        <w:t xml:space="preserve">[50]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[51] L. Frýba, Vibration of Solids and Structures under Moving Loads, 3rd ed., Thomas Telford, London, 1999.</w:t>
      </w:r>
    </w:p>
    <w:p>
      <w:pPr>
        <w:pStyle w:val="BodyText"/>
      </w:pPr>
      <w:r>
        <w:t xml:space="preserve">[52] H. Sohn, Effects of environmental and operational variability on structural health monitoring, Philos. Trans. R. Soc. A 365 (1851) (2007) 539–560. https://doi.org/10.1098/rsta.2006.1935</w:t>
      </w:r>
    </w:p>
    <w:p>
      <w:pPr>
        <w:pStyle w:val="BodyText"/>
      </w:pPr>
      <w:r>
        <w:t xml:space="preserve">[53] E.J. Cross, K.Y. Koo, J.M.W. Brownjohn, K. Worden, Long-term monitoring and data analysis of the Tamar Bridge, Mech. Syst. Signal Process. 35 (1–2) (2013) 16–34. https://doi.org/10.1016/j.ymssp.2012.08.026</w:t>
      </w:r>
    </w:p>
    <w:p>
      <w:pPr>
        <w:pStyle w:val="BodyText"/>
      </w:pPr>
      <w:r>
        <w:t xml:space="preserve">[54] EN 1991-2:2003, Eurocode 1: Actions on Structures – Part 2: Traffic Loads on Bridges, CEN, Brussels, 2003.</w:t>
      </w:r>
    </w:p>
    <w:p>
      <w:pPr>
        <w:pStyle w:val="BodyText"/>
      </w:pPr>
      <w:r>
        <w:t xml:space="preserve">[55] AASHTO, LRFD Bridge Design Specifications, 10th ed., American Association of State Highway and Transportation Officials, Washington, DC, 2024.</w:t>
      </w:r>
    </w:p>
    <w:bookmarkEnd w:id="53"/>
    <w:bookmarkStart w:id="81" w:name="figures"/>
    <w:p>
      <w:pPr>
        <w:pStyle w:val="Heading2"/>
      </w:pPr>
      <w:r>
        <w:t xml:space="preserve">Figures</w:t>
      </w:r>
    </w:p>
    <w:p>
      <w:pPr>
        <w:pStyle w:val="FirstParagraph"/>
      </w:pPr>
      <w:r>
        <w:drawing>
          <wp:inline>
            <wp:extent cx="5753100" cy="2584601"/>
            <wp:effectExtent b="0" l="0" r="0" t="0"/>
            <wp:docPr descr="" title="" id="55" name="Picture"/>
            <a:graphic>
              <a:graphicData uri="http://schemas.openxmlformats.org/drawingml/2006/picture">
                <pic:pic>
                  <pic:nvPicPr>
                    <pic:cNvPr descr="/home/user/SHM-Paper1-1D/manuscript/v4/figures/Fig1_beams.png" id="56" name="Picture"/>
                    <pic:cNvPicPr>
                      <a:picLocks noChangeArrowheads="1" noChangeAspect="1"/>
                    </pic:cNvPicPr>
                  </pic:nvPicPr>
                  <pic:blipFill>
                    <a:blip r:embed="rId54"/>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8" name="Picture"/>
            <a:graphic>
              <a:graphicData uri="http://schemas.openxmlformats.org/drawingml/2006/picture">
                <pic:pic>
                  <pic:nvPicPr>
                    <pic:cNvPr descr="/home/user/SHM-Paper1-1D/manuscript/v4/figures/Fig2_obs_map_3span.png" id="59" name="Picture"/>
                    <pic:cNvPicPr>
                      <a:picLocks noChangeArrowheads="1" noChangeAspect="1"/>
                    </pic:cNvPicPr>
                  </pic:nvPicPr>
                  <pic:blipFill>
                    <a:blip r:embed="rId57"/>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61" name="Picture"/>
            <a:graphic>
              <a:graphicData uri="http://schemas.openxmlformats.org/drawingml/2006/picture">
                <pic:pic>
                  <pic:nvPicPr>
                    <pic:cNvPr descr="/home/user/SHM-Paper1-1D/manuscript/v4/figures/Fig3_channels_prismatic.png" id="62" name="Picture"/>
                    <pic:cNvPicPr>
                      <a:picLocks noChangeArrowheads="1" noChangeAspect="1"/>
                    </pic:cNvPicPr>
                  </pic:nvPicPr>
                  <pic:blipFill>
                    <a:blip r:embed="rId60"/>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4" name="Picture"/>
            <a:graphic>
              <a:graphicData uri="http://schemas.openxmlformats.org/drawingml/2006/picture">
                <pic:pic>
                  <pic:nvPicPr>
                    <pic:cNvPr descr="/home/user/SHM-Paper1-1D/manuscript/v4/figures/Fig4_multichannel_gain.png" id="65" name="Picture"/>
                    <pic:cNvPicPr>
                      <a:picLocks noChangeArrowheads="1" noChangeAspect="1"/>
                    </pic:cNvPicPr>
                  </pic:nvPicPr>
                  <pic:blipFill>
                    <a:blip r:embed="rId63"/>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7" name="Picture"/>
            <a:graphic>
              <a:graphicData uri="http://schemas.openxmlformats.org/drawingml/2006/picture">
                <pic:pic>
                  <pic:nvPicPr>
                    <pic:cNvPr descr="/home/user/SHM-Paper1-1D/manuscript/v4/figures/Fig5_norbwim_crossings.png" id="68" name="Picture"/>
                    <pic:cNvPicPr>
                      <a:picLocks noChangeArrowheads="1" noChangeAspect="1"/>
                    </pic:cNvPicPr>
                  </pic:nvPicPr>
                  <pic:blipFill>
                    <a:blip r:embed="rId66"/>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6_norbwim_invariance.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3" name="Picture"/>
            <a:graphic>
              <a:graphicData uri="http://schemas.openxmlformats.org/drawingml/2006/picture">
                <pic:pic>
                  <pic:nvPicPr>
                    <pic:cNvPr descr="/home/user/SHM-Paper1-1D/manuscript/v4/figures/Fig7_norbwim_estimators.png" id="74" name="Picture"/>
                    <pic:cNvPicPr>
                      <a:picLocks noChangeArrowheads="1" noChangeAspect="1"/>
                    </pic:cNvPicPr>
                  </pic:nvPicPr>
                  <pic:blipFill>
                    <a:blip r:embed="rId7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6" name="Picture"/>
            <a:graphic>
              <a:graphicData uri="http://schemas.openxmlformats.org/drawingml/2006/picture">
                <pic:pic>
                  <pic:nvPicPr>
                    <pic:cNvPr descr="/home/user/SHM-Paper1-1D/manuscript/v4/figures/Fig8_caumay_channels.png" id="77" name="Picture"/>
                    <pic:cNvPicPr>
                      <a:picLocks noChangeArrowheads="1" noChangeAspect="1"/>
                    </pic:cNvPicPr>
                  </pic:nvPicPr>
                  <pic:blipFill>
                    <a:blip r:embed="rId7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9" name="Picture"/>
            <a:graphic>
              <a:graphicData uri="http://schemas.openxmlformats.org/drawingml/2006/picture">
                <pic:pic>
                  <pic:nvPicPr>
                    <pic:cNvPr descr="/home/user/SHM-Paper1-1D/manuscript/v4/figures/Fig9_caumay_identifiability.png" id="80" name="Picture"/>
                    <pic:cNvPicPr>
                      <a:picLocks noChangeArrowheads="1" noChangeAspect="1"/>
                    </pic:cNvPicPr>
                  </pic:nvPicPr>
                  <pic:blipFill>
                    <a:blip r:embed="rId7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81"/>
    <w:bookmarkEnd w:id="8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2026-10-19T07:39:36Z</dcterms:created>
  <dcterms:modified xsi:type="dcterms:W3CDTF">2026-10-19T07:39:36Z</dcterms:modified>
</cp:coreProperties>
</file>

<file path=docProps/custom.xml><?xml version="1.0" encoding="utf-8"?>
<Properties xmlns="http://schemas.openxmlformats.org/officeDocument/2006/custom-properties" xmlns:vt="http://schemas.openxmlformats.org/officeDocument/2006/docPropsVTypes"/>
</file>