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 October 2026</w:t>
      </w:r>
    </w:p>
    <w:p>
      <w:pPr>
        <w:pStyle w:val="BodyTex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Blind loci and sensor layout for influence-area bridge weigh-in-motion on continuous girders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generalized least-squares estimator are classical, and the manuscript says so; the contributions are the criteria built on them:</w:t>
      </w:r>
    </w:p>
    <w:p>
      <w:pPr>
        <w:numPr>
          <w:ilvl w:val="0"/>
          <w:numId w:val="1001"/>
        </w:numPr>
        <w:pStyle w:val="BodyText"/>
      </w:pPr>
      <w:r>
        <w:t xml:space="preserve">a closed-form catalog of blind loci for five channel types on prismatic two- and three-span girders, with a strain criterion that also holds for haunched girders and indicators that need no reference rigidity, showing that strain gauges that measure global bending (on a girder flange or web) are blind at every zero of the uniform-load moment and nearly blind in a band that can contain gauges set back from the piers;</w:t>
      </w:r>
    </w:p>
    <w:p>
      <w:pPr>
        <w:numPr>
          <w:ilvl w:val="0"/>
          <w:numId w:val="1001"/>
        </w:numPr>
        <w:pStyle w:val="BodyText"/>
      </w:pPr>
      <w:r>
        <w:t xml:space="preserve">a placement rule from extreme-point optimal design: for position-independent noise, optimal sensors lie at the extremes of the uniform-load response. On one day of public moving-truck records, weighting gauges by their vehicle-free noise covariance raised the out-of-sample error above that of a plain gauge average;</w:t>
      </w:r>
    </w:p>
    <w:p>
      <w:pPr>
        <w:numPr>
          <w:ilvl w:val="0"/>
          <w:numId w:val="1001"/>
        </w:numPr>
        <w:pStyle w:val="BodyText"/>
      </w:pPr>
      <w:r>
        <w:t xml:space="preserve">an identifiability analysis under uncertain pier stiffness. For a symmetric girder with equal piers, the constant follows a linear-fractional (Möbius) law. On an in-service 55 + 90 + 55 m box girder, two static readings leave its side-span deflection constant uncertain by a factor of 6.6 against 1.5 for the main-span constant from the static data alone, or 2.4 against 1.1 with girder rigidity bounded to 0.9–1.3 times design, and a pier tiltmeter is the most informative additional measurement.</w:t>
      </w:r>
    </w:p>
    <w:p>
      <w:pPr>
        <w:pStyle w:val="FirstParagraph"/>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builds on bridge weigh-in-motion work published in this journal, including the review by Yu et al. (2016), and cites recent studies in the journal on vehicle-weight identification (Hao et al., 2019; Zuo et al., 2019) and on influence-line identification and model updating (Lin et al., 2023; Wang et al., 2026). It is just under 12,000 word-equivalents with 7 figures and 5 tables;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license). The laboratory data, the processed data of the in-service bridge, the derived data behind every figure and table, and all analysis scripts with their console output are provided as Supplementary Material.</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2026-10-20T12:24:34Z</dcterms:created>
  <dcterms:modified xsi:type="dcterms:W3CDTF">2026-10-20T12:24:34Z</dcterms:modified>
</cp:coreProperties>
</file>

<file path=docProps/custom.xml><?xml version="1.0" encoding="utf-8"?>
<Properties xmlns="http://schemas.openxmlformats.org/officeDocument/2006/custom-properties" xmlns:vt="http://schemas.openxmlformats.org/officeDocument/2006/docPropsVTypes"/>
</file>