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uncertain by a factor of 6.6 against 1.5 at mid main span, or 2.4 against 1.1 with girder rigidity bounded to 0.9–1.3 times design. A laboratory test is consistent with the identity. On this girder, deflection gauges belong at mid main span, and side-span constants need identified pier stiffness or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Single-channel SLM assumes that the integral constant is well away from zero and independent of the boundary conditions, yet none of these studies gives closed-form conditions under which this assumption fails, or how they shift with uncertain boundary conditions. Such conditions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gives a closed-form placement rule in place of numerical optimization (Zhou et al., 2025): for position-independent noise, optimal sensors lie at the extremes of the uniform-load response; the rule itself is not tested in the field. On public records, GLS weights from vehicle-free noise did worse than the gauge average (Section 4.3). (iii) For a symmetric girder with equal piers, the constant depends on pier stiffness through a linear-fractional (Möbius) law, and on an in-service box girder two static readings leave the constant of a side-span deflection gauge uncertain by a factor of 6.6 against 1.5 for the main-span constant from the static data alone, and 2.4 against 1.1 with girder rigidity bounded to 0.9–1.3 times design (Section 5.2). The laboratory test checks the identity, the public records check its assumptions and noise model (not weighing accuracy), and the in-service girder shows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In design terms, a deflection gauge cannot be blind on a girder of equal spans and rigidities; blindness needs a longer or stiffer adjacent span that raises the interior support moment above its value for two equal spans (</w:t>
      </w:r>
      <m:oMath>
        <m:r>
          <m:t>μ</m:t>
        </m:r>
        <m:r>
          <m:rPr>
            <m:sty m:val="p"/>
          </m:rPr>
          <m:t>=</m:t>
        </m:r>
        <m:r>
          <m:t>1</m:t>
        </m:r>
      </m:oMath>
      <w:r>
        <w:t xml:space="preserve">) but not to twice that value.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(dashed)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steps at the piers are changes of scale, not discontinuities.</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other channels of the same run, unfiltered.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10–27 %.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S12 and S14;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 and (b) each indicator is normalized by the span containing the sensor, so steps at the piers are changes of scale; in (c)</w:t>
      </w:r>
      <w:r>
        <w:t xml:space="preserve"> </w:t>
      </w:r>
      <m:oMath>
        <m:r>
          <m:t>L</m:t>
        </m:r>
      </m:oMath>
      <w:r>
        <w:t xml:space="preserve"> </w:t>
      </w:r>
      <w:r>
        <w:t xml:space="preserve">is the main span.</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against 1.5 for the main-span constant when the effective rigidity</w:t>
      </w:r>
      <w:r>
        <w:t xml:space="preserve"> </w:t>
      </w:r>
      <m:oMath>
        <m:r>
          <m:t>α</m:t>
        </m:r>
      </m:oMath>
      <w:r>
        <w:t xml:space="preserve"> </w:t>
      </w:r>
      <w:r>
        <w:t xml:space="preserve">is free (tolerance</w:t>
      </w:r>
      <w:r>
        <w:t xml:space="preserve"> </w:t>
      </w:r>
      <m:oMath>
        <m:r>
          <m:t>τ</m:t>
        </m:r>
      </m:oMath>
      <w:r>
        <w:t xml:space="preserve"> </w:t>
      </w:r>
      <w:r>
        <w:t xml:space="preserve">= 5.3 %), and by 2.4 against 1.1 when</w:t>
      </w:r>
      <w:r>
        <w:t xml:space="preserve"> </w:t>
      </w:r>
      <m:oMath>
        <m:r>
          <m:t>α</m:t>
        </m:r>
      </m:oMath>
      <w:r>
        <w:t xml:space="preserve"> </w:t>
      </w:r>
      <w:r>
        <w:t xml:space="preserve">is bounded to the material range 0.9–1.3 (Table 3; Supplementary Table S13). The two factors are scenarios, not an estimate and a correction: the bound excludes calibration B, and</w:t>
      </w:r>
      <w:r>
        <w:t xml:space="preserve"> </w:t>
      </w:r>
      <m:oMath>
        <m:r>
          <m:t>α</m:t>
        </m:r>
      </m:oMath>
      <w:r>
        <w:t xml:space="preserve"> </w:t>
      </w:r>
      <w:r>
        <w:t xml:space="preserve">is an effective parameter (Section 5.1). The factor is carried by</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S15.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0.023</w:t>
            </w:r>
          </w:p>
        </w:tc>
        <w:tc>
          <w:tcPr>
            <w:tcW w:type="dxa" w:w="1744"/>
          </w:tcPr>
          <w:p>
            <w:pPr>
              <w:pStyle w:val="Compact"/>
              <w:jc w:val="right"/>
            </w:pPr>
            <w:r>
              <w:t xml:space="preserve">0.263</w:t>
            </w:r>
          </w:p>
        </w:tc>
        <w:tc>
          <w:tcPr>
            <w:tcW w:type="dxa" w:w="1465"/>
          </w:tcPr>
          <w:p>
            <w:pPr>
              <w:pStyle w:val="Compact"/>
              <w:jc w:val="right"/>
            </w:pPr>
            <w:r>
              <w:t xml:space="preserve">–</w:t>
            </w:r>
          </w:p>
        </w:tc>
        <w:tc>
          <w:tcPr>
            <w:tcW w:type="dxa" w:w="1465"/>
          </w:tcPr>
          <w:p>
            <w:pPr>
              <w:pStyle w:val="Compact"/>
              <w:jc w:val="right"/>
            </w:pPr>
            <w:r>
              <w:t xml:space="preserve">–</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0.446</w:t>
            </w:r>
          </w:p>
        </w:tc>
        <w:tc>
          <w:tcPr>
            <w:tcW w:type="dxa" w:w="1744"/>
          </w:tcPr>
          <w:p>
            <w:pPr>
              <w:pStyle w:val="Compact"/>
              <w:jc w:val="right"/>
            </w:pPr>
            <w:r>
              <w:t xml:space="preserve">0.145</w:t>
            </w:r>
          </w:p>
        </w:tc>
        <w:tc>
          <w:tcPr>
            <w:tcW w:type="dxa" w:w="1465"/>
          </w:tcPr>
          <w:p>
            <w:pPr>
              <w:pStyle w:val="Compact"/>
              <w:jc w:val="right"/>
            </w:pPr>
            <w:r>
              <w:t xml:space="preserve">–</w:t>
            </w:r>
          </w:p>
        </w:tc>
        <w:tc>
          <w:tcPr>
            <w:tcW w:type="dxa" w:w="1465"/>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0.9 % in variance of the calibration-specific optimum under both A and B. Under the assumed noise model of Supplementary Section S4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(Fig. 7b),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Table 4 gives predictions for a designed but not performed moving-load test with weighed trucks; the ratio of the N8 and N7 integrals is independent of truck weight and absolute rigidity and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2026-10-20T12:24:32Z</dcterms:created>
  <dcterms:modified xsi:type="dcterms:W3CDTF">2026-10-20T12:24:32Z</dcterms:modified>
</cp:coreProperties>
</file>

<file path=docProps/custom.xml><?xml version="1.0" encoding="utf-8"?>
<Properties xmlns="http://schemas.openxmlformats.org/officeDocument/2006/custom-properties" xmlns:vt="http://schemas.openxmlformats.org/officeDocument/2006/docPropsVTypes"/>
</file>