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Blind loci and sensor layout for influence-area bridge weigh-in-motion on continuous girders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892"/>
        <w:gridCol w:w="6177"/>
      </w:tblGrid>
      <w:tr>
        <w:trPr>
          <w:tblHeader w:val="true"/>
          <w:tblHeader w:val="true"/>
          <w:cantSplit/>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rPr>
          <w:cantSplit/>
        </w:trPr>
        <w:tc>
          <w:tcPr>
            <w:tcW w:type="dxa" w:w="2892"/>
          </w:tcPr>
          <w:p>
            <w:pPr>
              <w:pStyle w:val="Compact"/>
              <w:jc w:val="left"/>
            </w:pPr>
            <m:oMath>
              <m:sSup>
                <m:e>
                  <m:r>
                    <m:t>A</m:t>
                  </m:r>
                </m:e>
                <m:sup>
                  <m:r>
                    <m:rPr>
                      <m:nor/>
                    </m:rPr>
                    <m:t>+</m:t>
                  </m:r>
                </m:sup>
              </m:sSup>
            </m:oMath>
          </w:p>
        </w:tc>
        <w:tc>
          <w:tcPr>
            <w:tcW w:type="dxa" w:w="6177"/>
          </w:tcPr>
          <w:p>
            <w:pPr>
              <w:pStyle w:val="Compact"/>
              <w:jc w:val="left"/>
            </w:pPr>
            <w:r>
              <w:t xml:space="preserve">positive part of the area under an influence line</w:t>
            </w:r>
          </w:p>
        </w:tc>
      </w:tr>
      <w:tr>
        <w:trPr>
          <w:cantSplit/>
        </w:trP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rPr>
          <w:cantSplit/>
        </w:trP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(10)</w:t>
            </w:r>
          </w:p>
        </w:tc>
      </w:tr>
      <w:tr>
        <w:trPr>
          <w:cantSplit/>
        </w:trP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nor/>
                </m:rPr>
                <m:t>|</m:t>
              </m:r>
              <m:r>
                <m:rPr>
                  <m:sty m:val="p"/>
                </m:rPr>
                <m:t>∂</m:t>
              </m:r>
              <m:r>
                <m:rPr>
                  <m:sty m:val="p"/>
                </m:rPr>
                <m:t>ln</m:t>
              </m:r>
              <m:sSub>
                <m:e>
                  <m:r>
                    <m:t>C</m:t>
                  </m:r>
                </m:e>
                <m:sub>
                  <m:r>
                    <m:t>m</m:t>
                  </m:r>
                </m:sub>
              </m:sSub>
              <m:r>
                <m:rPr>
                  <m:sty m:val="p"/>
                </m:rPr>
                <m:t>/</m:t>
              </m:r>
              <m:r>
                <m:rPr>
                  <m:sty m:val="p"/>
                </m:rPr>
                <m:t>∂</m:t>
              </m:r>
              <m:r>
                <m:rPr>
                  <m:sty m:val="p"/>
                </m:rPr>
                <m:t>ln</m:t>
              </m:r>
              <m:r>
                <m:t>κ</m:t>
              </m:r>
              <m:r>
                <m:rPr>
                  <m:nor/>
                </m:rPr>
                <m:t>|</m:t>
              </m:r>
            </m:oMath>
          </w:p>
        </w:tc>
      </w:tr>
      <w:tr>
        <w:trPr>
          <w:cantSplit/>
        </w:trP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(13)</w:t>
            </w:r>
          </w:p>
        </w:tc>
      </w:tr>
      <w:tr>
        <w:trPr>
          <w:cantSplit/>
        </w:trP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rPr>
          <w:cantSplit/>
        </w:trPr>
        <w:tc>
          <w:tcPr>
            <w:tcW w:type="dxa" w:w="2892"/>
          </w:tcPr>
          <w:p>
            <w:pPr>
              <w:pStyle w:val="Compact"/>
              <w:jc w:val="left"/>
            </w:pPr>
            <m:oMath>
              <m:r>
                <m:t>c</m:t>
              </m:r>
            </m:oMath>
          </w:p>
        </w:tc>
        <w:tc>
          <w:tcPr>
            <w:tcW w:type="dxa" w:w="6177"/>
          </w:tcPr>
          <w:p>
            <w:pPr>
              <w:pStyle w:val="Compact"/>
              <w:jc w:val="left"/>
            </w:pPr>
            <w:r>
              <w:t xml:space="preserve">distance of the gauged fiber from the neutral axis (m)</w:t>
            </w:r>
          </w:p>
        </w:tc>
      </w:tr>
      <w:tr>
        <w:trPr>
          <w:cantSplit/>
        </w:trP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rPr>
          <w:cantSplit/>
        </w:trPr>
        <w:tc>
          <w:tcPr>
            <w:tcW w:type="dxa" w:w="2892"/>
          </w:tcPr>
          <w:p>
            <w:pPr>
              <w:pStyle w:val="Compact"/>
              <w:jc w:val="left"/>
            </w:pPr>
            <m:oMath>
              <m:r>
                <m:t>E</m:t>
              </m:r>
              <m:r>
                <m:t>I</m:t>
              </m:r>
            </m:oMath>
            <w:r>
              <w:t xml:space="preserve">,</w:t>
            </w:r>
            <w:r>
              <w:t xml:space="preserve"> </w:t>
            </w:r>
            <m:oMath>
              <m:r>
                <m:t>E</m:t>
              </m:r>
              <m:sSub>
                <m:e>
                  <m:r>
                    <m:t>I</m:t>
                  </m:r>
                </m:e>
                <m:sub>
                  <m:r>
                    <m:rPr>
                      <m:sty m:val="p"/>
                    </m:rPr>
                    <m:t>mid</m:t>
                  </m:r>
                </m:sub>
              </m:sSub>
            </m:oMath>
            <w:r>
              <w:t xml:space="preserve">,</w:t>
            </w:r>
            <w:r>
              <w:t xml:space="preserve"> </w:t>
            </w:r>
            <m:oMath>
              <m:r>
                <m:t>E</m:t>
              </m:r>
              <m:sSub>
                <m:e>
                  <m:r>
                    <m:t>I</m:t>
                  </m:r>
                </m:e>
                <m:sub>
                  <m:r>
                    <m:rPr>
                      <m:sty m:val="p"/>
                    </m:rPr>
                    <m:t>ref</m:t>
                  </m:r>
                </m:sub>
              </m:sSub>
            </m:oMath>
          </w:p>
        </w:tc>
        <w:tc>
          <w:tcPr>
            <w:tcW w:type="dxa" w:w="6177"/>
          </w:tcPr>
          <w:p>
            <w:pPr>
              <w:pStyle w:val="Compact"/>
              <w:jc w:val="left"/>
            </w:pPr>
            <w:r>
              <w:t xml:space="preserve">flexural rigidity;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rPr>
          <w:cantSplit/>
        </w:trP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rPr>
          <w:cantSplit/>
        </w:trP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rPr>
          <w:cantSplit/>
        </w:trPr>
        <w:tc>
          <w:tcPr>
            <w:tcW w:type="dxa" w:w="2892"/>
          </w:tcPr>
          <w:p>
            <w:pPr>
              <w:pStyle w:val="Compact"/>
              <w:jc w:val="left"/>
            </w:pPr>
            <m:oMath>
              <m:r>
                <m:t>h</m:t>
              </m:r>
            </m:oMath>
          </w:p>
        </w:tc>
        <w:tc>
          <w:tcPr>
            <w:tcW w:type="dxa" w:w="6177"/>
          </w:tcPr>
          <w:p>
            <w:pPr>
              <w:pStyle w:val="Compact"/>
              <w:jc w:val="left"/>
            </w:pPr>
            <w:r>
              <w:t xml:space="preserve">girder depth (m)</w:t>
            </w:r>
          </w:p>
        </w:tc>
      </w:tr>
      <w:tr>
        <w:trPr>
          <w:cantSplit/>
        </w:trPr>
        <w:tc>
          <w:tcPr>
            <w:tcW w:type="dxa" w:w="2892"/>
          </w:tcPr>
          <w:p>
            <w:pPr>
              <w:pStyle w:val="Compact"/>
              <w:jc w:val="left"/>
            </w:pPr>
            <m:oMath>
              <m:r>
                <m:t>I</m:t>
              </m:r>
            </m:oMath>
          </w:p>
        </w:tc>
        <w:tc>
          <w:tcPr>
            <w:tcW w:type="dxa" w:w="6177"/>
          </w:tcPr>
          <w:p>
            <w:pPr>
              <w:pStyle w:val="Compact"/>
              <w:jc w:val="left"/>
            </w:pPr>
            <w:r>
              <w:t xml:space="preserve">second moment of area</w:t>
            </w:r>
          </w:p>
        </w:tc>
      </w:tr>
      <w:tr>
        <w:trPr>
          <w:cantSplit/>
        </w:trP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the pier-rotation pattern</w:t>
            </w:r>
            <w:r>
              <w:t xml:space="preserve"> </w:t>
            </w:r>
            <m:oMath>
              <m:sSub>
                <m:e>
                  <m:r>
                    <m:t>θ</m:t>
                  </m:r>
                </m:e>
                <m:sub>
                  <m:r>
                    <m:t>6</m:t>
                  </m:r>
                </m:sub>
              </m:sSub>
              <m:r>
                <m:rPr>
                  <m:sty m:val="p"/>
                </m:rPr>
                <m:t>=</m:t>
              </m:r>
              <m:r>
                <m:rPr>
                  <m:sty m:val="p"/>
                </m:rPr>
                <m:t>−</m:t>
              </m:r>
              <m:sSub>
                <m:e>
                  <m:r>
                    <m:t>θ</m:t>
                  </m:r>
                </m:e>
                <m:sub>
                  <m:r>
                    <m:t>7</m:t>
                  </m:r>
                </m:sub>
              </m:sSub>
            </m:oMath>
            <w:r>
              <w:t xml:space="preserve"> </w:t>
            </w:r>
            <w:r>
              <w:t xml:space="preserve">(kN m/rad)</w:t>
            </w:r>
          </w:p>
        </w:tc>
      </w:tr>
      <w:tr>
        <w:trPr>
          <w:cantSplit/>
        </w:trP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side</m:t>
                  </m:r>
                </m:sub>
              </m:sSub>
              <m:r>
                <m:rPr>
                  <m:sty m:val="p"/>
                </m:rPr>
                <m:t>/</m:t>
              </m:r>
              <m:r>
                <m:t>E</m:t>
              </m:r>
              <m:sSub>
                <m:e>
                  <m:r>
                    <m:t>I</m:t>
                  </m:r>
                </m:e>
                <m:sub>
                  <m:r>
                    <m:rPr>
                      <m:sty m:val="p"/>
                    </m:rPr>
                    <m:t>side</m:t>
                  </m:r>
                </m:sub>
              </m:sSub>
            </m:oMath>
          </w:p>
        </w:tc>
      </w:tr>
      <w:tr>
        <w:trPr>
          <w:cantSplit/>
        </w:trP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rPr>
          <w:cantSplit/>
        </w:trPr>
        <w:tc>
          <w:tcPr>
            <w:tcW w:type="dxa" w:w="2892"/>
          </w:tcPr>
          <w:p>
            <w:pPr>
              <w:pStyle w:val="Compact"/>
              <w:jc w:val="left"/>
            </w:pPr>
            <m:oMath>
              <m:r>
                <m:t>L</m:t>
              </m:r>
            </m:oMath>
          </w:p>
        </w:tc>
        <w:tc>
          <w:tcPr>
            <w:tcW w:type="dxa" w:w="6177"/>
          </w:tcPr>
          <w:p>
            <w:pPr>
              <w:pStyle w:val="Compact"/>
              <w:jc w:val="left"/>
            </w:pPr>
            <w:r>
              <w:t xml:space="preserve">length of the span containing the sensor, including the span of the laboratory beam (m)</w:t>
            </w:r>
          </w:p>
        </w:tc>
      </w:tr>
      <w:tr>
        <w:trPr>
          <w:cantSplit/>
        </w:trP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rPr>
          <w:cantSplit/>
        </w:trPr>
        <w:tc>
          <w:tcPr>
            <w:tcW w:type="dxa" w:w="2892"/>
          </w:tcPr>
          <w:p>
            <w:pPr>
              <w:pStyle w:val="Compact"/>
              <w:jc w:val="left"/>
            </w:pPr>
            <m:oMath>
              <m:sSub>
                <m:e>
                  <m:r>
                    <m:t>L</m:t>
                  </m:r>
                </m:e>
                <m:sub>
                  <m:r>
                    <m:rPr>
                      <m:sty m:val="p"/>
                    </m:rPr>
                    <m:t>tot</m:t>
                  </m:r>
                </m:sub>
              </m:sSub>
            </m:oMath>
          </w:p>
        </w:tc>
        <w:tc>
          <w:tcPr>
            <w:tcW w:type="dxa" w:w="6177"/>
          </w:tcPr>
          <w:p>
            <w:pPr>
              <w:pStyle w:val="Compact"/>
              <w:jc w:val="left"/>
            </w:pPr>
            <w:r>
              <w:t xml:space="preserve">length of the integration record (m)</w:t>
            </w:r>
          </w:p>
        </w:tc>
      </w:tr>
      <w:tr>
        <w:trPr>
          <w:cantSplit/>
        </w:trP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normalized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(8) and (7)</w:t>
            </w:r>
          </w:p>
        </w:tc>
      </w:tr>
      <w:tr>
        <w:trPr>
          <w:cantSplit/>
        </w:trP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Section S3)</w:t>
            </w:r>
          </w:p>
        </w:tc>
      </w:tr>
      <w:tr>
        <w:trPr>
          <w:cantSplit/>
        </w:trPr>
        <w:tc>
          <w:tcPr>
            <w:tcW w:type="dxa" w:w="2892"/>
          </w:tcPr>
          <w:p>
            <w:pPr>
              <w:pStyle w:val="Compact"/>
              <w:jc w:val="left"/>
            </w:pPr>
            <m:oMath>
              <m:sSub>
                <m:e>
                  <m:r>
                    <m:t>P</m:t>
                  </m:r>
                </m:e>
                <m:sub>
                  <m:r>
                    <m:rPr>
                      <m:sty m:val="p"/>
                    </m:rPr>
                    <m:t>tot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rPr>
          <w:cantSplit/>
        </w:trP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rPr>
          <w:cantSplit/>
        </w:trP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tot</m:t>
                  </m:r>
                </m:sub>
              </m:sSub>
              <m:r>
                <m:rPr>
                  <m:sty m:val="p"/>
                </m:rPr>
                <m:t>/</m:t>
              </m:r>
              <m:r>
                <m:t>C</m:t>
              </m:r>
            </m:oMath>
            <w:r>
              <w:t xml:space="preserve"> </w:t>
            </w:r>
            <w:r>
              <w:t xml:space="preserve">(kN)</w:t>
            </w:r>
          </w:p>
        </w:tc>
      </w:tr>
      <w:tr>
        <w:trPr>
          <w:cantSplit/>
        </w:trP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nor/>
                    </m:rPr>
                    <m:t>+</m:t>
                  </m:r>
                </m:sup>
              </m:sSup>
            </m:oMath>
          </w:p>
        </w:tc>
      </w:tr>
      <w:tr>
        <w:trPr>
          <w:cantSplit/>
        </w:trP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(Section S5)</w:t>
            </w:r>
          </w:p>
        </w:tc>
      </w:tr>
      <w:tr>
        <w:trPr>
          <w:cantSplit/>
        </w:trPr>
        <w:tc>
          <w:tcPr>
            <w:tcW w:type="dxa" w:w="2892"/>
          </w:tcPr>
          <w:p>
            <w:pPr>
              <w:pStyle w:val="Compact"/>
              <w:jc w:val="left"/>
            </w:pPr>
            <m:oMath>
              <m:sSub>
                <m:e>
                  <m:r>
                    <m:t>t</m:t>
                  </m:r>
                </m:e>
                <m:sub>
                  <m:r>
                    <m:rPr>
                      <m:sty m:val="p"/>
                    </m:rPr>
                    <m:t>cr</m:t>
                  </m:r>
                </m:sub>
              </m:sSub>
            </m:oMath>
          </w:p>
        </w:tc>
        <w:tc>
          <w:tcPr>
            <w:tcW w:type="dxa" w:w="6177"/>
          </w:tcPr>
          <w:p>
            <w:pPr>
              <w:pStyle w:val="Compact"/>
              <w:jc w:val="left"/>
            </w:pPr>
            <w:r>
              <w:t xml:space="preserve">duration of a crossing (s)</w:t>
            </w:r>
          </w:p>
        </w:tc>
      </w:tr>
      <w:tr>
        <w:trPr>
          <w:cantSplit/>
        </w:trP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rPr>
          <w:cantSplit/>
        </w:trP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main</m:t>
                  </m:r>
                </m:sub>
              </m:sSub>
              <m:r>
                <m:rPr>
                  <m:sty m:val="p"/>
                </m:rPr>
                <m:t>/</m:t>
              </m:r>
              <m:sSub>
                <m:e>
                  <m:r>
                    <m:t>L</m:t>
                  </m:r>
                </m:e>
                <m:sub>
                  <m:r>
                    <m:rPr>
                      <m:sty m:val="p"/>
                    </m:rPr>
                    <m:t>side</m:t>
                  </m:r>
                </m:sub>
              </m:sSub>
            </m:oMath>
            <w:r>
              <w:t xml:space="preserve"> </w:t>
            </w:r>
            <w:r>
              <w:t xml:space="preserve">(three spans)</w:t>
            </w:r>
          </w:p>
        </w:tc>
      </w:tr>
      <w:tr>
        <w:trPr>
          <w:cantSplit/>
        </w:trP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(three spans)</w:t>
            </w:r>
          </w:p>
        </w:tc>
      </w:tr>
      <w:tr>
        <w:trPr>
          <w:cantSplit/>
        </w:trP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rPr>
          <w:cantSplit/>
        </w:trP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rPr>
          <w:cantSplit/>
        </w:trP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rPr>
          <w:cantSplit/>
        </w:trP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rPr>
          <w:cantSplit/>
        </w:trP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p>
                    <m:e>
                      <m:r>
                        <m:t>L</m:t>
                      </m:r>
                    </m:e>
                    <m:sup>
                      <m:r>
                        <m:t>2</m:t>
                      </m:r>
                    </m:sup>
                  </m:sSup>
                </m:e>
              </m:d>
            </m:oMath>
            <w:r>
              <w:t xml:space="preserve"> </w:t>
            </w:r>
            <w:r>
              <w:t xml:space="preserve">with</w:t>
            </w:r>
            <w:r>
              <w:t xml:space="preserve"> </w:t>
            </w:r>
            <m:oMath>
              <m:r>
                <m:t>L</m:t>
              </m:r>
              <m:r>
                <m:rPr>
                  <m:sty m:val="p"/>
                </m:rPr>
                <m:t>=</m:t>
              </m:r>
              <m:sSub>
                <m:e>
                  <m:r>
                    <m:t>L</m:t>
                  </m:r>
                </m:e>
                <m:sub>
                  <m:r>
                    <m:t>1</m:t>
                  </m:r>
                </m:sub>
              </m:sSub>
            </m:oMath>
            <w:r>
              <w:t xml:space="preserve"> </w:t>
            </w:r>
            <w:r>
              <w:t xml:space="preserve">(two spans) or</w:t>
            </w:r>
            <w:r>
              <w:t xml:space="preserve"> </w:t>
            </w:r>
            <m:oMath>
              <m:sSub>
                <m:e>
                  <m:r>
                    <m:t>L</m:t>
                  </m:r>
                </m:e>
                <m:sub>
                  <m:r>
                    <m:rPr>
                      <m:sty m:val="p"/>
                    </m:rPr>
                    <m:t>side</m:t>
                  </m:r>
                </m:sub>
              </m:sSub>
            </m:oMath>
            <w:r>
              <w:t xml:space="preserve"> </w:t>
            </w:r>
            <w:r>
              <w:t xml:space="preserve">(three spans); Eqs. (4), (14)</w:t>
            </w:r>
          </w:p>
        </w:tc>
      </w:tr>
      <w:tr>
        <w:trPr>
          <w:cantSplit/>
        </w:trP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rPr>
          <w:cantSplit/>
        </w:trP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rPr>
          <w:cantSplit/>
        </w:trP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rPr>
          <w:cantSplit/>
        </w:trP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rPr>
          <w:cantSplit/>
        </w:trPr>
        <w:tc>
          <w:tcPr>
            <w:tcW w:type="dxa" w:w="2892"/>
          </w:tcPr>
          <w:p>
            <w:pPr>
              <w:pStyle w:val="Compact"/>
              <w:jc w:val="left"/>
            </w:pPr>
            <m:oMath>
              <m:sSub>
                <m:e>
                  <m:r>
                    <m:t>σ</m:t>
                  </m:r>
                </m:e>
                <m:sub>
                  <m:r>
                    <m:t>P</m:t>
                  </m:r>
                  <m:r>
                    <m:rPr>
                      <m:sty m:val="p"/>
                    </m:rPr>
                    <m:t>,</m:t>
                  </m:r>
                  <m:r>
                    <m:rPr>
                      <m:sty m:val="p"/>
                    </m:rPr>
                    <m:t>noise</m:t>
                  </m:r>
                </m:sub>
              </m:sSub>
            </m:oMath>
          </w:p>
        </w:tc>
        <w:tc>
          <w:tcPr>
            <w:tcW w:type="dxa" w:w="6177"/>
          </w:tcPr>
          <w:p>
            <w:pPr>
              <w:pStyle w:val="Compact"/>
              <w:jc w:val="left"/>
            </w:pPr>
            <w:r>
              <w:t xml:space="preserve">standard deviation of the load estimate caused by white noise</w:t>
            </w:r>
          </w:p>
        </w:tc>
      </w:tr>
      <w:tr>
        <w:trPr>
          <w:cantSplit/>
        </w:trP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rPr>
          <w:cantSplit/>
        </w:trP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rPr>
          <w:cantSplit/>
        </w:trPr>
        <w:tc>
          <w:tcPr>
            <w:tcW w:type="dxa" w:w="2892"/>
          </w:tcPr>
          <w:p>
            <w:pPr>
              <w:pStyle w:val="Compact"/>
              <w:jc w:val="left"/>
            </w:pPr>
            <w:r>
              <w:t xml:space="preserve">BPM</w:t>
            </w:r>
          </w:p>
        </w:tc>
        <w:tc>
          <w:tcPr>
            <w:tcW w:type="dxa" w:w="6177"/>
          </w:tcPr>
          <w:p>
            <w:pPr>
              <w:pStyle w:val="Compact"/>
              <w:jc w:val="left"/>
            </w:pPr>
            <w:r>
              <w:t xml:space="preserve">beam-property method: load = record integral / modeled constant</w:t>
            </w:r>
          </w:p>
        </w:tc>
      </w:tr>
      <w:tr>
        <w:trPr>
          <w:cantSplit/>
        </w:trP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rPr>
          <w:cantSplit/>
        </w:trP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rPr>
          <w:cantSplit/>
        </w:trP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rPr>
          <w:cantSplit/>
        </w:trPr>
        <w:tc>
          <w:tcPr>
            <w:tcW w:type="dxa" w:w="2892"/>
          </w:tcPr>
          <w:p>
            <w:pPr>
              <w:pStyle w:val="Compact"/>
              <w:jc w:val="left"/>
            </w:pPr>
            <w:r>
              <w:t xml:space="preserve">FE</w:t>
            </w:r>
          </w:p>
        </w:tc>
        <w:tc>
          <w:tcPr>
            <w:tcW w:type="dxa" w:w="6177"/>
          </w:tcPr>
          <w:p>
            <w:pPr>
              <w:pStyle w:val="Compact"/>
              <w:jc w:val="left"/>
            </w:pPr>
            <w:r>
              <w:t xml:space="preserve">finite element</w:t>
            </w:r>
          </w:p>
        </w:tc>
      </w:tr>
      <w:tr>
        <w:trPr>
          <w:cantSplit/>
        </w:trPr>
        <w:tc>
          <w:tcPr>
            <w:tcW w:type="dxa" w:w="2892"/>
          </w:tcPr>
          <w:p>
            <w:pPr>
              <w:pStyle w:val="Compact"/>
              <w:jc w:val="left"/>
            </w:pPr>
            <w:r>
              <w:t xml:space="preserve">GLS</w:t>
            </w:r>
          </w:p>
        </w:tc>
        <w:tc>
          <w:tcPr>
            <w:tcW w:type="dxa" w:w="6177"/>
          </w:tcPr>
          <w:p>
            <w:pPr>
              <w:pStyle w:val="Compact"/>
              <w:jc w:val="left"/>
            </w:pPr>
            <w:r>
              <w:t xml:space="preserve">generalized least squares</w:t>
            </w:r>
          </w:p>
        </w:tc>
      </w:tr>
      <w:tr>
        <w:trPr>
          <w:cantSplit/>
        </w:trP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rPr>
          <w:cantSplit/>
        </w:trPr>
        <w:tc>
          <w:tcPr>
            <w:tcW w:type="dxa" w:w="2892"/>
          </w:tcPr>
          <w:p>
            <w:pPr>
              <w:pStyle w:val="Compact"/>
              <w:jc w:val="left"/>
            </w:pPr>
            <w:r>
              <w:t xml:space="preserve">GVW</w:t>
            </w:r>
          </w:p>
        </w:tc>
        <w:tc>
          <w:tcPr>
            <w:tcW w:type="dxa" w:w="6177"/>
          </w:tcPr>
          <w:p>
            <w:pPr>
              <w:pStyle w:val="Compact"/>
              <w:jc w:val="left"/>
            </w:pPr>
            <w:r>
              <w:t xml:space="preserve">gross vehicle weight</w:t>
            </w:r>
          </w:p>
        </w:tc>
      </w:tr>
      <w:tr>
        <w:trPr>
          <w:cantSplit/>
        </w:trP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rPr>
          <w:cantSplit/>
        </w:trP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rPr>
          <w:cantSplit/>
        </w:trPr>
        <w:tc>
          <w:tcPr>
            <w:tcW w:type="dxa" w:w="2892"/>
          </w:tcPr>
          <w:p>
            <w:pPr>
              <w:pStyle w:val="Compact"/>
              <w:jc w:val="left"/>
            </w:pPr>
            <w:r>
              <w:t xml:space="preserve">N7, N8</w:t>
            </w:r>
          </w:p>
        </w:tc>
        <w:tc>
          <w:tcPr>
            <w:tcW w:type="dxa" w:w="6177"/>
          </w:tcPr>
          <w:p>
            <w:pPr>
              <w:pStyle w:val="Compact"/>
              <w:jc w:val="left"/>
            </w:pPr>
            <w:r>
              <w:t xml:space="preserve">deflection gauges at mid main span and at 0.4</w:t>
            </w:r>
            <m:oMath>
              <m:r>
                <m:t>L</m:t>
              </m:r>
            </m:oMath>
            <w:r>
              <w:t xml:space="preserve"> </w:t>
            </w:r>
            <w:r>
              <w:t xml:space="preserve">of a side span (Mây Bridge)</w:t>
            </w:r>
          </w:p>
        </w:tc>
      </w:tr>
      <w:tr>
        <w:trPr>
          <w:cantSplit/>
        </w:trPr>
        <w:tc>
          <w:tcPr>
            <w:tcW w:type="dxa" w:w="2892"/>
          </w:tcPr>
          <w:p>
            <w:pPr>
              <w:pStyle w:val="Compact"/>
              <w:jc w:val="left"/>
            </w:pPr>
            <w:r>
              <w:t xml:space="preserve">T5–T8</w:t>
            </w:r>
          </w:p>
        </w:tc>
        <w:tc>
          <w:tcPr>
            <w:tcW w:type="dxa" w:w="6177"/>
          </w:tcPr>
          <w:p>
            <w:pPr>
              <w:pStyle w:val="Compact"/>
              <w:jc w:val="left"/>
            </w:pPr>
            <w:r>
              <w:t xml:space="preserve">supports of the main unit of the Mây Bridge: T5, T8 end supports, T6, T7 inner piers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span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for a mid-span sensor on two spans of equal rigidity, the blind span ratio and, for equal spans, the optimal sensor position are</w:t>
      </w:r>
    </w:p>
    <w:p>
      <w:pPr>
        <w:pStyle w:val="BodyText"/>
      </w:pPr>
      <m:oMathPara>
        <m:oMathParaPr>
          <m:jc m:val="center"/>
        </m:oMathParaPr>
        <m:oMath>
          <m:sSub>
            <m:e>
              <m:r>
                <m:t>λ</m:t>
              </m:r>
            </m:e>
            <m:sub>
              <m:r>
                <m:rPr>
                  <m:sty m:val="p"/>
                </m:rPr>
                <m:t>crit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nor/>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p>
      <w:pPr>
        <w:pStyle w:val="FirstParagraph"/>
      </w:pPr>
      <w:r>
        <w:t xml:space="preserve">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side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span</m:t>
            </m:r>
          </m:sub>
        </m:sSub>
      </m:oMath>
      <w:r>
        <w:t xml:space="preserve"> </w:t>
      </w:r>
      <w:r>
        <w:t xml:space="preserve">of Eq. (4). Three equal spans give</w:t>
      </w:r>
      <w:r>
        <w:t xml:space="preserve"> </w:t>
      </w:r>
      <m:oMath>
        <m:r>
          <m:t>μ</m:t>
        </m:r>
        <m:r>
          <m:rPr>
            <m:sty m:val="p"/>
          </m:rPr>
          <m:t>=</m:t>
        </m:r>
        <m:r>
          <m:t>4</m:t>
        </m:r>
        <m:r>
          <m:rPr>
            <m:sty m:val="p"/>
          </m:rPr>
          <m:t>/</m:t>
        </m:r>
        <m:r>
          <m:t>5</m:t>
        </m:r>
      </m:oMath>
      <w:r>
        <w:t xml:space="preserve">. For a mid side-span sensor and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p>
      <w:pPr>
        <w:pStyle w:val="BodyText"/>
      </w:pPr>
      <m:oMathPara>
        <m:oMathParaPr>
          <m:jc m:val="center"/>
        </m:oMathParaPr>
        <m:oMath>
          <m:sSub>
            <m:e>
              <m:r>
                <m:t>β</m:t>
              </m:r>
            </m:e>
            <m:sub>
              <m:r>
                <m:rPr>
                  <m:sty m:val="p"/>
                </m:rPr>
                <m:t>crit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p>
      <w:pPr>
        <w:pStyle w:val="FirstParagraph"/>
      </w:pPr>
      <w:r>
        <w:t xml:space="preserve">The blind locus over all side-span positions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For the threshold 0.2, the near-blind band at mid side span,</w:t>
      </w:r>
      <w:r>
        <w:t xml:space="preserve"> </w:t>
      </w:r>
      <m:oMath>
        <m:r>
          <m:t>1.621</m:t>
        </m:r>
        <m:r>
          <m:rPr>
            <m:sty m:val="p"/>
          </m:rPr>
          <m:t>&lt;</m:t>
        </m:r>
        <m:r>
          <m:t>β</m:t>
        </m:r>
        <m:r>
          <m:rPr>
            <m:sty m:val="p"/>
          </m:rPr>
          <m:t>&lt;</m:t>
        </m:r>
        <m:r>
          <m:t>1.775</m:t>
        </m:r>
      </m:oMath>
      <w:r>
        <w:t xml:space="preserve">,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rPr>
                <m:sty m:val="p"/>
              </m:rPr>
              <m:t>main</m:t>
            </m:r>
          </m:sub>
        </m:sSub>
      </m:oMath>
      <w:r>
        <w:t xml:space="preserve"> </w:t>
      </w:r>
      <w:r>
        <w:t xml:space="preserve">in the main span,</w:t>
      </w:r>
      <w:r>
        <w:t xml:space="preserve"> </w:t>
      </w:r>
      <m:oMath>
        <m:r>
          <m:t>192</m:t>
        </m:r>
        <m:r>
          <m:t>E</m:t>
        </m:r>
        <m:sSub>
          <m:e>
            <m:r>
              <m:t>I</m:t>
            </m:r>
          </m:e>
          <m:sub>
            <m:r>
              <m:rPr>
                <m:sty m:val="p"/>
              </m:rPr>
              <m:t>main</m:t>
            </m:r>
          </m:sub>
        </m:sSub>
        <m:sSub>
          <m:e>
            <m:r>
              <m:t>C</m:t>
            </m:r>
          </m:e>
          <m:sub>
            <m:r>
              <m:t>m</m:t>
            </m:r>
          </m:sub>
        </m:sSub>
        <m:r>
          <m:rPr>
            <m:sty m:val="p"/>
          </m:rPr>
          <m:t>/</m:t>
        </m:r>
        <m:sSubSup>
          <m:e>
            <m:r>
              <m:t>L</m:t>
            </m:r>
          </m:e>
          <m:sub>
            <m:r>
              <m:rPr>
                <m:sty m:val="p"/>
              </m:rPr>
              <m:t>main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pPr>
      <w:r>
        <w:rPr>
          <w:bCs/>
          <w:b/>
        </w:rPr>
        <w:t xml:space="preserve">Table S2.</w:t>
      </w:r>
      <w:r>
        <w:t xml:space="preserve"> </w:t>
      </w:r>
      <w:r>
        <w:t xml:space="preserve">Symmetric three-span beam, uniform rigidity: optimal side-span position</w:t>
      </w:r>
      <w:r>
        <w:t xml:space="preserve"> </w:t>
      </w:r>
      <m:oMath>
        <m:sSup>
          <m:e>
            <m:r>
              <m:t>ξ</m:t>
            </m:r>
          </m:e>
          <m:sup>
            <m:r>
              <m:rPr>
                <m:nor/>
              </m:rPr>
              <m:t>*</m:t>
            </m:r>
          </m:sup>
        </m:sSup>
      </m:oMath>
      <w:r>
        <w:t xml:space="preserve"> </w:t>
      </w:r>
      <w:r>
        <w:t xml:space="preserve">and deflection indicator</w:t>
      </w:r>
      <w:r>
        <w:t xml:space="preserve"> </w:t>
      </w:r>
      <m:oMath>
        <m:sSub>
          <m:e>
            <m:r>
              <m:t>N</m:t>
            </m:r>
          </m:e>
          <m:sub>
            <m:r>
              <m:t>w</m:t>
            </m:r>
          </m:sub>
        </m:sSub>
      </m:oMath>
      <w:r>
        <w:t xml:space="preserve"> </w:t>
      </w:r>
      <w:r>
        <w:t xml:space="preserve">(Eq. (8);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pStyle w:val="Compact"/>
              <w:jc w:val="right"/>
            </w:pPr>
            <m:oMath>
              <m:r>
                <m:t>β</m:t>
              </m:r>
            </m:oMath>
          </w:p>
        </w:tc>
        <w:tc>
          <w:tcPr>
            <w:tcW w:type="dxa" w:w="1744"/>
            <w:tcBorders>
              <w:top w:val="nil"/>
              <w:left w:val="nil"/>
              <w:bottom w:val="single" w:sz="6" w:space="0" w:color="000000"/>
              <w:right w:val="nil"/>
            </w:tcBorders>
          </w:tcPr>
          <w:p>
            <w:pPr>
              <w:pStyle w:val="Compact"/>
              <w:jc w:val="right"/>
            </w:pPr>
            <m:oMath>
              <m:r>
                <m:t>μ</m:t>
              </m:r>
            </m:oMath>
          </w:p>
        </w:tc>
        <w:tc>
          <w:tcPr>
            <w:tcW w:type="dxa" w:w="1744"/>
            <w:tcBorders>
              <w:top w:val="nil"/>
              <w:left w:val="nil"/>
              <w:bottom w:val="single" w:sz="6" w:space="0" w:color="000000"/>
              <w:right w:val="nil"/>
            </w:tcBorders>
          </w:tcPr>
          <w:p>
            <w:pPr>
              <w:pStyle w:val="Compact"/>
              <w:jc w:val="right"/>
            </w:pPr>
            <m:oMath>
              <m:sSup>
                <m:e>
                  <m:r>
                    <m:t>ξ</m:t>
                  </m:r>
                </m:e>
                <m:sup>
                  <m:r>
                    <m:rPr>
                      <m:nor/>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sSup>
                <m:e>
                  <m:r>
                    <m:t>ξ</m:t>
                  </m:r>
                </m:e>
                <m:sup>
                  <m:r>
                    <m:rPr>
                      <m:nor/>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pStyle w:val="Compact"/>
              <w:jc w:val="right"/>
            </w:pPr>
            <w:r>
              <w:t xml:space="preserve">1.0</w:t>
            </w:r>
          </w:p>
        </w:tc>
        <w:tc>
          <w:tcPr>
            <w:tcW w:type="dxa" w:w="1744"/>
          </w:tcPr>
          <w:p>
            <w:pPr>
              <w:pStyle w:val="Compact"/>
              <w:jc w:val="right"/>
            </w:pPr>
            <w:r>
              <w:t xml:space="preserve">0.800</w:t>
            </w:r>
          </w:p>
        </w:tc>
        <w:tc>
          <w:tcPr>
            <w:tcW w:type="dxa" w:w="1744"/>
          </w:tcPr>
          <w:p>
            <w:pPr>
              <w:pStyle w:val="Compact"/>
              <w:jc w:val="right"/>
            </w:pPr>
            <w:r>
              <w:t xml:space="preserve">0.4460</w:t>
            </w:r>
          </w:p>
        </w:tc>
        <w:tc>
          <w:tcPr>
            <w:tcW w:type="dxa" w:w="1744"/>
          </w:tcPr>
          <w:p>
            <w:pPr>
              <w:pStyle w:val="Compact"/>
              <w:jc w:val="right"/>
            </w:pPr>
            <w:r>
              <w:t xml:space="preserve">1.322</w:t>
            </w:r>
          </w:p>
        </w:tc>
        <w:tc>
          <w:tcPr>
            <w:tcW w:type="dxa" w:w="1744"/>
          </w:tcPr>
          <w:p>
            <w:pPr>
              <w:pStyle w:val="Compact"/>
              <w:jc w:val="right"/>
            </w:pPr>
            <w:r>
              <w:t xml:space="preserve">1.300</w:t>
            </w:r>
          </w:p>
        </w:tc>
      </w:tr>
      <w:tr>
        <w:trPr>
          <w:cantSplit/>
        </w:trPr>
        <w:tc>
          <w:tcPr>
            <w:tcW w:type="dxa" w:w="2093"/>
          </w:tcPr>
          <w:p>
            <w:pPr>
              <w:pStyle w:val="Compact"/>
              <w:jc w:val="right"/>
            </w:pPr>
            <w:r>
              <w:t xml:space="preserve">1.2</w:t>
            </w:r>
          </w:p>
        </w:tc>
        <w:tc>
          <w:tcPr>
            <w:tcW w:type="dxa" w:w="1744"/>
          </w:tcPr>
          <w:p>
            <w:pPr>
              <w:pStyle w:val="Compact"/>
              <w:jc w:val="right"/>
            </w:pPr>
            <w:r>
              <w:t xml:space="preserve">0.9743</w:t>
            </w:r>
          </w:p>
        </w:tc>
        <w:tc>
          <w:tcPr>
            <w:tcW w:type="dxa" w:w="1744"/>
          </w:tcPr>
          <w:p>
            <w:pPr>
              <w:pStyle w:val="Compact"/>
              <w:jc w:val="right"/>
            </w:pPr>
            <w:r>
              <w:t xml:space="preserve">0.4251</w:t>
            </w:r>
          </w:p>
        </w:tc>
        <w:tc>
          <w:tcPr>
            <w:tcW w:type="dxa" w:w="1744"/>
          </w:tcPr>
          <w:p>
            <w:pPr>
              <w:pStyle w:val="Compact"/>
              <w:jc w:val="right"/>
            </w:pPr>
            <w:r>
              <w:t xml:space="preserve">1.076</w:t>
            </w:r>
          </w:p>
        </w:tc>
        <w:tc>
          <w:tcPr>
            <w:tcW w:type="dxa" w:w="1744"/>
          </w:tcPr>
          <w:p>
            <w:pPr>
              <w:pStyle w:val="Compact"/>
              <w:jc w:val="right"/>
            </w:pPr>
            <w:r>
              <w:t xml:space="preserve">1.039</w:t>
            </w:r>
          </w:p>
        </w:tc>
      </w:tr>
      <w:tr>
        <w:trPr>
          <w:cantSplit/>
        </w:trPr>
        <w:tc>
          <w:tcPr>
            <w:tcW w:type="dxa" w:w="2093"/>
          </w:tcPr>
          <w:p>
            <w:pPr>
              <w:pStyle w:val="Compact"/>
              <w:jc w:val="right"/>
            </w:pPr>
            <w:r>
              <w:t xml:space="preserve">1.4</w:t>
            </w:r>
          </w:p>
        </w:tc>
        <w:tc>
          <w:tcPr>
            <w:tcW w:type="dxa" w:w="1744"/>
          </w:tcPr>
          <w:p>
            <w:pPr>
              <w:pStyle w:val="Compact"/>
              <w:jc w:val="right"/>
            </w:pPr>
            <w:r>
              <w:t xml:space="preserve">1.208</w:t>
            </w:r>
          </w:p>
        </w:tc>
        <w:tc>
          <w:tcPr>
            <w:tcW w:type="dxa" w:w="1744"/>
          </w:tcPr>
          <w:p>
            <w:pPr>
              <w:pStyle w:val="Compact"/>
              <w:jc w:val="right"/>
            </w:pPr>
            <w:r>
              <w:t xml:space="preserve">0.3875</w:t>
            </w:r>
          </w:p>
        </w:tc>
        <w:tc>
          <w:tcPr>
            <w:tcW w:type="dxa" w:w="1744"/>
          </w:tcPr>
          <w:p>
            <w:pPr>
              <w:pStyle w:val="Compact"/>
              <w:jc w:val="right"/>
            </w:pPr>
            <w:r>
              <w:t xml:space="preserve">0.7585</w:t>
            </w:r>
          </w:p>
        </w:tc>
        <w:tc>
          <w:tcPr>
            <w:tcW w:type="dxa" w:w="1744"/>
          </w:tcPr>
          <w:p>
            <w:pPr>
              <w:pStyle w:val="Compact"/>
              <w:jc w:val="right"/>
            </w:pPr>
            <w:r>
              <w:t xml:space="preserve">0.6884</w:t>
            </w:r>
          </w:p>
        </w:tc>
      </w:tr>
      <w:tr>
        <w:trPr>
          <w:cantSplit/>
        </w:trPr>
        <w:tc>
          <w:tcPr>
            <w:tcW w:type="dxa" w:w="2093"/>
          </w:tcPr>
          <w:p>
            <w:pPr>
              <w:pStyle w:val="Compact"/>
              <w:jc w:val="right"/>
            </w:pPr>
            <w:r>
              <w:t xml:space="preserve">1.5</w:t>
            </w:r>
          </w:p>
        </w:tc>
        <w:tc>
          <w:tcPr>
            <w:tcW w:type="dxa" w:w="1744"/>
          </w:tcPr>
          <w:p>
            <w:pPr>
              <w:pStyle w:val="Compact"/>
              <w:jc w:val="right"/>
            </w:pPr>
            <w:r>
              <w:t xml:space="preserve">1.346</w:t>
            </w:r>
          </w:p>
        </w:tc>
        <w:tc>
          <w:tcPr>
            <w:tcW w:type="dxa" w:w="1744"/>
          </w:tcPr>
          <w:p>
            <w:pPr>
              <w:pStyle w:val="Compact"/>
              <w:jc w:val="right"/>
            </w:pPr>
            <w:r>
              <w:t xml:space="preserve">0.3582</w:t>
            </w:r>
          </w:p>
        </w:tc>
        <w:tc>
          <w:tcPr>
            <w:tcW w:type="dxa" w:w="1744"/>
          </w:tcPr>
          <w:p>
            <w:pPr>
              <w:pStyle w:val="Compact"/>
              <w:jc w:val="right"/>
            </w:pPr>
            <w:r>
              <w:t xml:space="preserve">0.5807</w:t>
            </w:r>
          </w:p>
        </w:tc>
        <w:tc>
          <w:tcPr>
            <w:tcW w:type="dxa" w:w="1744"/>
          </w:tcPr>
          <w:p>
            <w:pPr>
              <w:pStyle w:val="Compact"/>
              <w:jc w:val="right"/>
            </w:pPr>
            <w:r>
              <w:t xml:space="preserve">0.4808</w:t>
            </w:r>
          </w:p>
        </w:tc>
      </w:tr>
      <w:tr>
        <w:trPr>
          <w:cantSplit/>
        </w:trPr>
        <w:tc>
          <w:tcPr>
            <w:tcW w:type="dxa" w:w="2093"/>
          </w:tcPr>
          <w:p>
            <w:pPr>
              <w:pStyle w:val="Compact"/>
              <w:jc w:val="right"/>
            </w:pPr>
            <w:r>
              <w:t xml:space="preserve">1.636 (= 90/55)</w:t>
            </w:r>
          </w:p>
        </w:tc>
        <w:tc>
          <w:tcPr>
            <w:tcW w:type="dxa" w:w="1744"/>
          </w:tcPr>
          <w:p>
            <w:pPr>
              <w:pStyle w:val="Compact"/>
              <w:jc w:val="right"/>
            </w:pPr>
            <w:r>
              <w:t xml:space="preserve">1.558</w:t>
            </w:r>
          </w:p>
        </w:tc>
        <w:tc>
          <w:tcPr>
            <w:tcW w:type="dxa" w:w="1744"/>
          </w:tcPr>
          <w:p>
            <w:pPr>
              <w:pStyle w:val="Compact"/>
              <w:jc w:val="right"/>
            </w:pPr>
            <w:r>
              <w:t xml:space="preserve">0.2994</w:t>
            </w:r>
          </w:p>
        </w:tc>
        <w:tc>
          <w:tcPr>
            <w:tcW w:type="dxa" w:w="1744"/>
          </w:tcPr>
          <w:p>
            <w:pPr>
              <w:pStyle w:val="Compact"/>
              <w:jc w:val="right"/>
            </w:pPr>
            <w:r>
              <w:t xml:space="preserve">0.3316</w:t>
            </w:r>
          </w:p>
        </w:tc>
        <w:tc>
          <w:tcPr>
            <w:tcW w:type="dxa" w:w="1744"/>
          </w:tcPr>
          <w:p>
            <w:pPr>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Figures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Mây Bridge span ratio.</w:t>
      </w:r>
    </w:p>
    <w:p>
      <w:pPr>
        <w:pStyle w:val="BodyText"/>
      </w:pPr>
      <w:r>
        <w:t xml:space="preserve">Threshold sensitivity. The threshold 0.2 is a design convention (Section 2.3). Table S3 gives the near-blind bands of three gauges for thresholds of 0.1, 0.2 and 0.3 (script</w:t>
      </w:r>
      <w:r>
        <w:t xml:space="preserve"> </w:t>
      </w:r>
      <w:r>
        <w:rPr>
          <w:rStyle w:val="VerbatimChar"/>
        </w:rPr>
        <w:t xml:space="preserve">s06_threshold_sensitivity.py</w:t>
      </w:r>
      <w:r>
        <w:t xml:space="preserve">).</w:t>
      </w:r>
    </w:p>
    <w:p>
      <w:pPr>
        <w:pStyle w:val="BodyText"/>
        <w:keepNext/>
      </w:pPr>
      <w:r>
        <w:rPr>
          <w:bCs/>
          <w:b/>
        </w:rPr>
        <w:t xml:space="preserve">Table S3.</w:t>
      </w:r>
      <w:r>
        <w:t xml:space="preserve"> </w:t>
      </w:r>
      <w:r>
        <w:t xml:space="preserve">Near-blind bands against the threshold on the indicator magnitude; prismatic beams of uniform rigidity. Strain: two equal spans, distance from the interior support as a fraction of the span. Deflection: mid-span gauge on two spans (span ratio</w:t>
      </w:r>
      <w:r>
        <w:t xml:space="preserve"> </w:t>
      </w:r>
      <m:oMath>
        <m:r>
          <m:t>λ</m:t>
        </m:r>
      </m:oMath>
      <w:r>
        <w:t xml:space="preserve">) and mid side-span gauge on a symmetric three-span beam (span ratio</w:t>
      </w:r>
      <w:r>
        <w:t xml:space="preserve"> </w:t>
      </w:r>
      <m:oMath>
        <m:r>
          <m:t>β</m:t>
        </m:r>
      </m:oMath>
      <w:r>
        <w:t xml:space="preserv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79"/>
        <w:gridCol w:w="2075"/>
        <w:gridCol w:w="2707"/>
        <w:gridCol w:w="2707"/>
      </w:tblGrid>
      <w:tr>
        <w:trPr>
          <w:tblHeader w:val="true"/>
          <w:tblHeader w:val="true"/>
          <w:cantSplit/>
        </w:trPr>
        <w:tc>
          <w:tcPr>
            <w:tcW w:type="dxa" w:w="1579"/>
            <w:tcBorders>
              <w:top w:val="nil"/>
              <w:left w:val="nil"/>
              <w:bottom w:val="single" w:sz="6" w:space="0" w:color="000000"/>
              <w:right w:val="nil"/>
            </w:tcBorders>
          </w:tcPr>
          <w:p>
            <w:pPr>
              <w:pStyle w:val="Compact"/>
              <w:jc w:val="right"/>
            </w:pPr>
            <w:r>
              <w:t xml:space="preserve">Threshold</w:t>
            </w:r>
          </w:p>
        </w:tc>
        <w:tc>
          <w:tcPr>
            <w:tcW w:type="dxa" w:w="2075"/>
            <w:tcBorders>
              <w:top w:val="nil"/>
              <w:left w:val="nil"/>
              <w:bottom w:val="single" w:sz="6" w:space="0" w:color="000000"/>
              <w:right w:val="nil"/>
            </w:tcBorders>
          </w:tcPr>
          <w:p>
            <w:pPr>
              <w:pStyle w:val="Compact"/>
              <w:jc w:val="right"/>
            </w:pPr>
            <w:r>
              <w:t xml:space="preserve">Strain, two equal spans</w:t>
            </w:r>
          </w:p>
        </w:tc>
        <w:tc>
          <w:tcPr>
            <w:tcW w:type="dxa" w:w="2707"/>
            <w:tcBorders>
              <w:top w:val="nil"/>
              <w:left w:val="nil"/>
              <w:bottom w:val="single" w:sz="6" w:space="0" w:color="000000"/>
              <w:right w:val="nil"/>
            </w:tcBorders>
          </w:tcPr>
          <w:p>
            <w:pPr>
              <w:pStyle w:val="Compact"/>
              <w:jc w:val="right"/>
            </w:pPr>
            <w:r>
              <w:t xml:space="preserve">Deflection, mid-span, two spans:</w:t>
            </w:r>
            <w:r>
              <w:t xml:space="preserve"> </w:t>
            </w:r>
            <m:oMath>
              <m:r>
                <m:t>λ</m:t>
              </m:r>
            </m:oMath>
          </w:p>
        </w:tc>
        <w:tc>
          <w:tcPr>
            <w:tcW w:type="dxa" w:w="2707"/>
            <w:tcBorders>
              <w:top w:val="nil"/>
              <w:left w:val="nil"/>
              <w:bottom w:val="single" w:sz="6" w:space="0" w:color="000000"/>
              <w:right w:val="nil"/>
            </w:tcBorders>
          </w:tcPr>
          <w:p>
            <w:pPr>
              <w:pStyle w:val="Compact"/>
              <w:jc w:val="right"/>
            </w:pPr>
            <w:r>
              <w:t xml:space="preserve">Deflection, mid side span, three spans:</w:t>
            </w:r>
            <w:r>
              <w:t xml:space="preserve"> </w:t>
            </w:r>
            <m:oMath>
              <m:r>
                <m:t>β</m:t>
              </m:r>
            </m:oMath>
          </w:p>
        </w:tc>
      </w:tr>
      <w:tr>
        <w:trPr>
          <w:cantSplit/>
        </w:trPr>
        <w:tc>
          <w:tcPr>
            <w:tcW w:type="dxa" w:w="1579"/>
          </w:tcPr>
          <w:p>
            <w:pPr>
              <w:pStyle w:val="Compact"/>
              <w:jc w:val="right"/>
            </w:pPr>
            <w:r>
              <w:t xml:space="preserve">0.1</w:t>
            </w:r>
          </w:p>
        </w:tc>
        <w:tc>
          <w:tcPr>
            <w:tcW w:type="dxa" w:w="2075"/>
          </w:tcPr>
          <w:p>
            <w:pPr>
              <w:pStyle w:val="Compact"/>
              <w:jc w:val="right"/>
            </w:pPr>
            <w:r>
              <w:t xml:space="preserve">0.218–0.285</w:t>
            </w:r>
          </w:p>
        </w:tc>
        <w:tc>
          <w:tcPr>
            <w:tcW w:type="dxa" w:w="2707"/>
          </w:tcPr>
          <w:p>
            <w:pPr>
              <w:pStyle w:val="Compact"/>
              <w:jc w:val="right"/>
            </w:pPr>
            <w:r>
              <w:t xml:space="preserve">1.422–1.492</w:t>
            </w:r>
          </w:p>
        </w:tc>
        <w:tc>
          <w:tcPr>
            <w:tcW w:type="dxa" w:w="2707"/>
          </w:tcPr>
          <w:p>
            <w:pPr>
              <w:pStyle w:val="Compact"/>
              <w:jc w:val="right"/>
            </w:pPr>
            <w:r>
              <w:t xml:space="preserve">1.662–1.738</w:t>
            </w:r>
          </w:p>
        </w:tc>
      </w:tr>
      <w:tr>
        <w:trPr>
          <w:cantSplit/>
        </w:trPr>
        <w:tc>
          <w:tcPr>
            <w:tcW w:type="dxa" w:w="1579"/>
          </w:tcPr>
          <w:p>
            <w:pPr>
              <w:pStyle w:val="Compact"/>
              <w:jc w:val="right"/>
            </w:pPr>
            <w:r>
              <w:t xml:space="preserve">0.2</w:t>
            </w:r>
          </w:p>
        </w:tc>
        <w:tc>
          <w:tcPr>
            <w:tcW w:type="dxa" w:w="2075"/>
          </w:tcPr>
          <w:p>
            <w:pPr>
              <w:pStyle w:val="Compact"/>
              <w:jc w:val="right"/>
            </w:pPr>
            <w:r>
              <w:t xml:space="preserve">0.188–0.324</w:t>
            </w:r>
          </w:p>
        </w:tc>
        <w:tc>
          <w:tcPr>
            <w:tcW w:type="dxa" w:w="2707"/>
          </w:tcPr>
          <w:p>
            <w:pPr>
              <w:pStyle w:val="Compact"/>
              <w:jc w:val="right"/>
            </w:pPr>
            <w:r>
              <w:t xml:space="preserve">1.385–1.525</w:t>
            </w:r>
          </w:p>
        </w:tc>
        <w:tc>
          <w:tcPr>
            <w:tcW w:type="dxa" w:w="2707"/>
          </w:tcPr>
          <w:p>
            <w:pPr>
              <w:pStyle w:val="Compact"/>
              <w:jc w:val="right"/>
            </w:pPr>
            <w:r>
              <w:t xml:space="preserve">1.621–1.775</w:t>
            </w:r>
          </w:p>
        </w:tc>
      </w:tr>
      <w:tr>
        <w:trPr>
          <w:cantSplit/>
        </w:trPr>
        <w:tc>
          <w:tcPr>
            <w:tcW w:type="dxa" w:w="1579"/>
          </w:tcPr>
          <w:p>
            <w:pPr>
              <w:pStyle w:val="Compact"/>
              <w:jc w:val="right"/>
            </w:pPr>
            <w:r>
              <w:t xml:space="preserve">0.3</w:t>
            </w:r>
          </w:p>
        </w:tc>
        <w:tc>
          <w:tcPr>
            <w:tcW w:type="dxa" w:w="2075"/>
          </w:tcPr>
          <w:p>
            <w:pPr>
              <w:pStyle w:val="Compact"/>
              <w:jc w:val="right"/>
            </w:pPr>
            <w:r>
              <w:t xml:space="preserve">0.161–0.369</w:t>
            </w:r>
          </w:p>
        </w:tc>
        <w:tc>
          <w:tcPr>
            <w:tcW w:type="dxa" w:w="2707"/>
          </w:tcPr>
          <w:p>
            <w:pPr>
              <w:pStyle w:val="Compact"/>
              <w:jc w:val="right"/>
            </w:pPr>
            <w:r>
              <w:t xml:space="preserve">1.347–1.557</w:t>
            </w:r>
          </w:p>
        </w:tc>
        <w:tc>
          <w:tcPr>
            <w:tcW w:type="dxa" w:w="2707"/>
          </w:tcPr>
          <w:p>
            <w:pPr>
              <w:pStyle w:val="Compact"/>
              <w:jc w:val="right"/>
            </w:pPr>
            <w:r>
              <w:t xml:space="preserve">1.580–1.811</w:t>
            </w:r>
          </w:p>
        </w:tc>
      </w:tr>
    </w:tbl>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(7)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(14) and the main-span values from</w:t>
      </w:r>
      <w:r>
        <w:t xml:space="preserve"> </w:t>
      </w:r>
      <m:oMath>
        <m:sSub>
          <m:e>
            <m:acc>
              <m:accPr>
                <m:chr m:val="‾"/>
              </m:accPr>
              <m:e>
                <m:r>
                  <m:t>M</m:t>
                </m:r>
              </m:e>
            </m:acc>
          </m:e>
          <m:sub>
            <m:r>
              <m:rPr>
                <m:sty m:val="p"/>
              </m:rPr>
              <m:t>main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Mây Bridge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their white-noise variance is lower by a factor of 1.5–6.6, but a 20 % rigidity error in the adjacent span then produces configuration-dependent errors of −1.1 % to +2.0 % (Fig. S3).</w:t>
      </w:r>
    </w:p>
    <w:p>
      <w:pPr>
        <w:pStyle w:val="Figure"/>
      </w:pPr>
      <w:r>
        <w:drawing>
          <wp:inline>
            <wp:extent cx="5039999" cy="1732426"/>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32426"/>
                    </a:xfrm>
                    <a:prstGeom prst="rect">
                      <a:avLst/>
                    </a:prstGeom>
                    <a:noFill/>
                    <a:ln w="9525">
                      <a:noFill/>
                      <a:headEnd/>
                      <a:tailEnd/>
                    </a:ln>
                  </pic:spPr>
                </pic:pic>
              </a:graphicData>
            </a:graphic>
          </wp:inline>
        </w:drawing>
      </w:r>
    </w:p>
    <w:p>
      <w:pPr>
        <w:pStyle w:val="Captionjustified"/>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invariance defect, (max − min)/mean of the constant over the axle configurations, under a 20 % rigidity error in the adjacent span or a 0.5 m sensor-position error.</w:t>
      </w:r>
    </w:p>
    <w:bookmarkEnd w:id="31"/>
    <w:bookmarkStart w:id="41" w:name="X04cfbbce9dd0f8d3105ba2172e0353156c4517f"/>
    <w:p>
      <w:pPr>
        <w:pStyle w:val="Heading2"/>
      </w:pPr>
      <w:r>
        <w:t xml:space="preserve">S4. Multi-channel estimation and placement</w:t>
      </w:r>
    </w:p>
    <w:p>
      <w:pPr>
        <w:pStyle w:val="FirstParagraph"/>
      </w:pPr>
      <w:r>
        <w:t xml:space="preserve">For one channel, Eq. (11)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noise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noise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(12) is only about 5 × 10⁻⁶ of</w:t>
      </w:r>
      <w:r>
        <w:t xml:space="preserve"> </w:t>
      </w:r>
      <m:oMath>
        <m:sSubSup>
          <m:e>
            <m:r>
              <m:t>δ</m:t>
            </m:r>
          </m:e>
          <m:sub>
            <m:r>
              <m:t>0</m:t>
            </m:r>
          </m:sub>
          <m:sup>
            <m:r>
              <m:t>2</m:t>
            </m:r>
          </m:sup>
        </m:sSubSup>
        <m:sSubSup>
          <m:e>
            <m:r>
              <m:t>L</m:t>
            </m:r>
          </m:e>
          <m:sub>
            <m:r>
              <m:rPr>
                <m:sty m:val="p"/>
              </m:rPr>
              <m:t>tot</m:t>
            </m:r>
          </m:sub>
          <m:sup>
            <m:r>
              <m:t>2</m:t>
            </m:r>
          </m:sup>
        </m:sSubSup>
      </m:oMath>
      <w:r>
        <w:t xml:space="preserve">, and 5 × 10⁻⁵ of the offset term at</w:t>
      </w:r>
      <w:r>
        <w:t xml:space="preserve"> </w:t>
      </w:r>
      <m:oMath>
        <m:r>
          <m:t>ρ</m:t>
        </m:r>
        <m:r>
          <m:rPr>
            <m:sty m:val="p"/>
          </m:rPr>
          <m:t>=</m:t>
        </m:r>
        <m:r>
          <m:t>0.9</m:t>
        </m:r>
      </m:oMath>
      <w:r>
        <w:t xml:space="preserve"> </w:t>
      </w:r>
      <w:r>
        <w:t xml:space="preserve">(</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rPr>
              <m:t>tot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(12)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(11) and (12) hold to within 0.6 %. Figure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Mây Bridge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p>
      <w:pPr>
        <w:pStyle w:val="Figure"/>
      </w:pPr>
      <w:r>
        <w:drawing>
          <wp:inline>
            <wp:extent cx="5039999" cy="2332290"/>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32290"/>
                    </a:xfrm>
                    <a:prstGeom prst="rect">
                      <a:avLst/>
                    </a:prstGeom>
                    <a:noFill/>
                    <a:ln w="9525">
                      <a:noFill/>
                      <a:headEnd/>
                      <a:tailEnd/>
                    </a:ln>
                  </pic:spPr>
                </pic:pic>
              </a:graphicData>
            </a:graphic>
          </wp:inline>
        </w:drawing>
      </w:r>
    </w:p>
    <w:p>
      <w:pPr>
        <w:pStyle w:val="Captionjustified"/>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Line style: (a) two sensors solid, three sensors dashed; (b)</w:t>
      </w:r>
      <w:r>
        <w:t xml:space="preserve"> </w:t>
      </w:r>
      <m:oMath>
        <m:r>
          <m:t>ρ</m:t>
        </m:r>
      </m:oMath>
      <w:r>
        <w:t xml:space="preserve"> </w:t>
      </w:r>
      <w:r>
        <w:t xml:space="preserve">= 0 dotted, 0.9 solid, 1 dashed; thick light lines: single sensor.</w:t>
      </w:r>
    </w:p>
    <w:p>
      <w:pPr>
        <w:pStyle w:val="Figure"/>
      </w:pPr>
      <w:r>
        <w:drawing>
          <wp:inline>
            <wp:extent cx="5039999" cy="268739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687396"/>
                    </a:xfrm>
                    <a:prstGeom prst="rect">
                      <a:avLst/>
                    </a:prstGeom>
                    <a:noFill/>
                    <a:ln w="9525">
                      <a:noFill/>
                      <a:headEnd/>
                      <a:tailEnd/>
                    </a:ln>
                  </pic:spPr>
                </pic:pic>
              </a:graphicData>
            </a:graphic>
          </wp:inline>
        </w:drawing>
      </w:r>
    </w:p>
    <w:p>
      <w:pPr>
        <w:pStyle w:val="Captionjustified"/>
      </w:pPr>
      <w:r>
        <w:rPr>
          <w:bCs/>
          <w:b/>
        </w:rPr>
        <w:t xml:space="preserve">Figure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Mây Bridge girder under calibrations A and B), with the maximum and minimum selected by the placement rule.</w:t>
      </w:r>
    </w:p>
    <w:p>
      <w:pPr>
        <w:pStyle w:val="Figure"/>
      </w:pPr>
      <w:r>
        <w:drawing>
          <wp:inline>
            <wp:extent cx="5039999" cy="1726927"/>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726927"/>
                    </a:xfrm>
                    <a:prstGeom prst="rect">
                      <a:avLst/>
                    </a:prstGeom>
                    <a:noFill/>
                    <a:ln w="9525">
                      <a:noFill/>
                      <a:headEnd/>
                      <a:tailEnd/>
                    </a:ln>
                  </pic:spPr>
                </pic:pic>
              </a:graphicData>
            </a:graphic>
          </wp:inline>
        </w:drawing>
      </w:r>
    </w:p>
    <w:p>
      <w:pPr>
        <w:pStyle w:val="Captionjustified"/>
      </w:pPr>
      <w:r>
        <w:rPr>
          <w:bCs/>
          <w:b/>
        </w:rPr>
        <w:t xml:space="preserve">Figure S6.</w:t>
      </w:r>
      <w:r>
        <w:t xml:space="preserve"> </w:t>
      </w:r>
      <w:r>
        <w:t xml:space="preserve">Monte Carlo verification: distribution of the load error for a single gauge, GLS and the zero-sum estimator with three gauges, (a) on a 30 + 60 + 30 m beam and (b) on the Mây Bridge girder (calibration A), and (c) Monte Carlo standard deviation relative to theory against the number of axles (circles: beam of (a); squares: girder of (b)).</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two pier-rotation patterns,</w:t>
      </w:r>
      <w:r>
        <w:t xml:space="preserve"> </w:t>
      </w:r>
      <m:oMath>
        <m:sSub>
          <m:e>
            <m:r>
              <m:t>θ</m:t>
            </m:r>
          </m:e>
          <m:sub>
            <m:r>
              <m:t>6</m:t>
            </m:r>
          </m:sub>
        </m:sSub>
        <m:r>
          <m:rPr>
            <m:sty m:val="p"/>
          </m:rPr>
          <m:t>=</m:t>
        </m:r>
        <m:sSub>
          <m:e>
            <m:r>
              <m:t>θ</m:t>
            </m:r>
          </m:e>
          <m:sub>
            <m:r>
              <m:t>7</m:t>
            </m:r>
          </m:sub>
        </m:sSub>
      </m:oMath>
      <w:r>
        <w:t xml:space="preserve"> </w:t>
      </w:r>
      <w:r>
        <w:t xml:space="preserve">and</w:t>
      </w:r>
      <w:r>
        <w:t xml:space="preserve"> </w:t>
      </w:r>
      <m:oMath>
        <m:sSub>
          <m:e>
            <m:r>
              <m:t>θ</m:t>
            </m:r>
          </m:e>
          <m:sub>
            <m:r>
              <m:t>6</m:t>
            </m:r>
          </m:sub>
        </m:sSub>
        <m:r>
          <m:rPr>
            <m:sty m:val="p"/>
          </m:rPr>
          <m:t>=</m:t>
        </m:r>
        <m:r>
          <m:rPr>
            <m:sty m:val="p"/>
          </m:rPr>
          <m:t>−</m:t>
        </m:r>
        <m:sSub>
          <m:e>
            <m:r>
              <m:t>θ</m:t>
            </m:r>
          </m:e>
          <m:sub>
            <m:r>
              <m:t>7</m:t>
            </m:r>
          </m:sub>
        </m:sSub>
      </m:oMath>
      <w:r>
        <w:t xml:space="preserve">; the mirror-symmetric uniform load excites only the pattern</w:t>
      </w:r>
      <w:r>
        <w:t xml:space="preserve"> </w:t>
      </w:r>
      <m:oMath>
        <m:sSub>
          <m:e>
            <m:r>
              <m:t>θ</m:t>
            </m:r>
          </m:e>
          <m:sub>
            <m:r>
              <m:t>6</m:t>
            </m:r>
          </m:sub>
        </m:sSub>
        <m:r>
          <m:rPr>
            <m:sty m:val="p"/>
          </m:rPr>
          <m:t>=</m:t>
        </m:r>
        <m:r>
          <m:rPr>
            <m:sty m:val="p"/>
          </m:rPr>
          <m:t>−</m:t>
        </m:r>
        <m:sSub>
          <m:e>
            <m:r>
              <m:t>θ</m:t>
            </m:r>
          </m:e>
          <m:sub>
            <m:r>
              <m:t>7</m:t>
            </m:r>
          </m:sub>
        </m:sSub>
      </m:oMath>
      <w:r>
        <w:t xml:space="preserve">, and the Sherman–Morrison formula gives the linear-fractional (Möbius) law of Eq. (13) with</w:t>
      </w:r>
      <w:r>
        <w:t xml:space="preserve"> </w:t>
      </w:r>
      <m:oMath>
        <m:r>
          <m:t>1</m:t>
        </m:r>
        <m:r>
          <m:rPr>
            <m:sty m:val="p"/>
          </m:rPr>
          <m:t>/</m:t>
        </m:r>
        <m:sSub>
          <m:e>
            <m:r>
              <m:t>k</m:t>
            </m:r>
          </m:e>
          <m:sub>
            <m:r>
              <m:t>g</m:t>
            </m:r>
          </m:sub>
        </m:sSub>
      </m:oMath>
      <w:r>
        <w:t xml:space="preserve"> </w:t>
      </w:r>
      <w:r>
        <w:t xml:space="preserve">the pier flexibility of the girder in this pattern at</w:t>
      </w:r>
      <w:r>
        <w:t xml:space="preserve"> </w:t>
      </w:r>
      <m:oMath>
        <m:r>
          <m:t>k</m:t>
        </m:r>
        <m:r>
          <m:rPr>
            <m:sty m:val="p"/>
          </m:rPr>
          <m:t>=</m:t>
        </m:r>
        <m:r>
          <m:t>0</m:t>
        </m:r>
      </m:oMath>
      <w:r>
        <w:t xml:space="preserve">. For the Mây Bridge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(14)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pPr>
      <w:r>
        <w:rPr>
          <w:bCs/>
          <w:b/>
        </w:rPr>
        <w:t xml:space="preserve">Figure S7.</w:t>
      </w:r>
      <w:r>
        <w:t xml:space="preserve"> </w:t>
      </w:r>
      <w:r>
        <w:t xml:space="preserve">Mây Bridge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 Dotted line in (b):</w:t>
      </w:r>
      <w:r>
        <w:t xml:space="preserve"> </w:t>
      </w:r>
      <m:oMath>
        <m:acc>
          <m:accPr>
            <m:chr m:val="̂"/>
          </m:accPr>
          <m:e>
            <m:r>
              <m:t>k</m:t>
            </m:r>
          </m:e>
        </m:acc>
        <m:r>
          <m:rPr>
            <m:sty m:val="p"/>
          </m:rPr>
          <m:t>=</m:t>
        </m:r>
        <m:r>
          <m:t>3</m:t>
        </m:r>
        <m:r>
          <m:rPr>
            <m:sty m:val="p"/>
          </m:rPr>
          <m:t>+</m:t>
        </m:r>
        <m:r>
          <m:t>2</m:t>
        </m:r>
        <m:r>
          <m:rPr>
            <m:sty m:val="p"/>
          </m:rPr>
          <m:t>/</m:t>
        </m:r>
        <m:r>
          <m:t>β</m:t>
        </m:r>
        <m:r>
          <m:rPr>
            <m:sty m:val="p"/>
          </m:rPr>
          <m:t>=</m:t>
        </m:r>
        <m:r>
          <m:t>4.22</m:t>
        </m:r>
      </m:oMath>
      <w:r>
        <w:t xml:space="preserve">, the girder’s own pier stiffness in the pattern</w:t>
      </w:r>
      <w:r>
        <w:t xml:space="preserve"> </w:t>
      </w:r>
      <m:oMath>
        <m:sSub>
          <m:e>
            <m:r>
              <m:t>θ</m:t>
            </m:r>
          </m:e>
          <m:sub>
            <m:r>
              <m:t>6</m:t>
            </m:r>
          </m:sub>
        </m:sSub>
        <m:r>
          <m:rPr>
            <m:sty m:val="p"/>
          </m:rPr>
          <m:t>=</m:t>
        </m:r>
        <m:r>
          <m:rPr>
            <m:sty m:val="p"/>
          </m:rPr>
          <m:t>−</m:t>
        </m:r>
        <m:sSub>
          <m:e>
            <m:r>
              <m:t>θ</m:t>
            </m:r>
          </m:e>
          <m:sub>
            <m:r>
              <m:t>7</m:t>
            </m:r>
          </m:sub>
        </m:sSub>
      </m:oMath>
      <w:r>
        <w:t xml:space="preserve">,</w:t>
      </w:r>
      <w:r>
        <w:t xml:space="preserve"> </w:t>
      </w:r>
      <m:oMath>
        <m:sSub>
          <m:e>
            <m:r>
              <m:t>k</m:t>
            </m:r>
          </m:e>
          <m:sub>
            <m:r>
              <m:t>g</m:t>
            </m:r>
          </m:sub>
        </m:sSub>
        <m:sSub>
          <m:e>
            <m:r>
              <m:t>L</m:t>
            </m:r>
          </m:e>
          <m:sub>
            <m:r>
              <m:rPr>
                <m:sty m:val="p"/>
              </m:rPr>
              <m:t>side</m:t>
            </m:r>
          </m:sub>
        </m:sSub>
        <m:r>
          <m:rPr>
            <m:sty m:val="p"/>
          </m:rPr>
          <m:t>/</m:t>
        </m:r>
        <m:r>
          <m:t>E</m:t>
        </m:r>
        <m:sSub>
          <m:e>
            <m:r>
              <m:t>I</m:t>
            </m:r>
          </m:e>
          <m:sub>
            <m:r>
              <m:rPr>
                <m:sty m:val="p"/>
              </m:rPr>
              <m:t>side</m:t>
            </m:r>
          </m:sub>
        </m:sSub>
      </m:oMath>
      <w:r>
        <w:t xml:space="preserve">.</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pattern</w:t>
      </w:r>
      <w:r>
        <w:t xml:space="preserve"> </w:t>
      </w:r>
      <m:oMath>
        <m:sSub>
          <m:e>
            <m:r>
              <m:t>θ</m:t>
            </m:r>
          </m:e>
          <m:sub>
            <m:r>
              <m:t>6</m:t>
            </m:r>
          </m:sub>
        </m:sSub>
        <m:r>
          <m:rPr>
            <m:sty m:val="p"/>
          </m:rPr>
          <m:t>=</m:t>
        </m:r>
        <m:sSub>
          <m:e>
            <m:r>
              <m:t>θ</m:t>
            </m:r>
          </m:e>
          <m:sub>
            <m:r>
              <m:t>7</m:t>
            </m:r>
          </m:sub>
        </m:sSub>
      </m:oMath>
      <w:r>
        <w:t xml:space="preserve">, which Eq. (13)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The SLM deviations match the growth of the measured-to-analytical integral ratio (1.010, 1.016 and 1.017 for one, two and three loads), which the data cannot assign to either support seating or the stated masses. Table S4 compares the identified total loads with direct weighing, and Table S5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pPr>
      <w:r>
        <w:rPr>
          <w:bCs/>
          <w:b/>
        </w:rPr>
        <w:t xml:space="preserve">Figure S8.</w:t>
      </w:r>
      <w:r>
        <w:t xml:space="preserve"> </w:t>
      </w:r>
      <w:r>
        <w:t xml:space="preserve">Laboratory two-span beam: measured and analytical influence line of the mid-span deflection of the first span for the single 40.64 N load (Table S5).</w:t>
      </w:r>
    </w:p>
    <w:p>
      <w:pPr>
        <w:pStyle w:val="BodyText"/>
        <w:keepNext/>
      </w:pPr>
      <w:r>
        <w:rPr>
          <w:bCs/>
          <w:b/>
        </w:rPr>
        <w:t xml:space="preserve">Table S4.</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right"/>
            </w:pPr>
            <w:r>
              <w:t xml:space="preserve">Weighed (N)</w:t>
            </w:r>
          </w:p>
        </w:tc>
        <w:tc>
          <w:tcPr>
            <w:tcW w:type="dxa" w:w="1152"/>
            <w:tcBorders>
              <w:top w:val="nil"/>
              <w:left w:val="nil"/>
              <w:bottom w:val="single" w:sz="6" w:space="0" w:color="000000"/>
              <w:right w:val="nil"/>
            </w:tcBorders>
          </w:tcPr>
          <w:p>
            <w:pPr>
              <w:pStyle w:val="Compact"/>
              <w:jc w:val="right"/>
            </w:pPr>
            <w:r>
              <w:t xml:space="preserve">BPM (N)</w:t>
            </w:r>
          </w:p>
        </w:tc>
        <w:tc>
          <w:tcPr>
            <w:tcW w:type="dxa" w:w="1614"/>
            <w:tcBorders>
              <w:top w:val="nil"/>
              <w:left w:val="nil"/>
              <w:bottom w:val="single" w:sz="6" w:space="0" w:color="000000"/>
              <w:right w:val="nil"/>
            </w:tcBorders>
          </w:tcPr>
          <w:p>
            <w:pPr>
              <w:pStyle w:val="Compact"/>
              <w:jc w:val="right"/>
            </w:pPr>
            <w:r>
              <w:t xml:space="preserve">BPM deviation</w:t>
            </w:r>
          </w:p>
        </w:tc>
        <w:tc>
          <w:tcPr>
            <w:tcW w:type="dxa" w:w="1152"/>
            <w:tcBorders>
              <w:top w:val="nil"/>
              <w:left w:val="nil"/>
              <w:bottom w:val="single" w:sz="6" w:space="0" w:color="000000"/>
              <w:right w:val="nil"/>
            </w:tcBorders>
          </w:tcPr>
          <w:p>
            <w:pPr>
              <w:pStyle w:val="Compact"/>
              <w:jc w:val="right"/>
            </w:pPr>
            <w:r>
              <w:t xml:space="preserve">SLM (N)</w:t>
            </w:r>
          </w:p>
        </w:tc>
        <w:tc>
          <w:tcPr>
            <w:tcW w:type="dxa" w:w="1614"/>
            <w:tcBorders>
              <w:top w:val="nil"/>
              <w:left w:val="nil"/>
              <w:bottom w:val="single" w:sz="6" w:space="0" w:color="000000"/>
              <w:right w:val="nil"/>
            </w:tcBorders>
          </w:tcPr>
          <w:p>
            <w:pPr>
              <w:pStyle w:val="Compact"/>
              <w:jc w:val="right"/>
            </w:pPr>
            <w:r>
              <w:t xml:space="preserve">SLM deviation</w:t>
            </w:r>
          </w:p>
        </w:tc>
      </w:tr>
      <w:tr>
        <w:trPr>
          <w:cantSplit/>
        </w:trPr>
        <w:tc>
          <w:tcPr>
            <w:tcW w:type="dxa" w:w="2229"/>
          </w:tcPr>
          <w:p>
            <w:pPr>
              <w:pStyle w:val="Compact"/>
              <w:jc w:val="left"/>
            </w:pPr>
            <w:r>
              <w:t xml:space="preserve">Two loads</w:t>
            </w:r>
          </w:p>
        </w:tc>
        <w:tc>
          <w:tcPr>
            <w:tcW w:type="dxa" w:w="1306"/>
          </w:tcPr>
          <w:p>
            <w:pPr>
              <w:pStyle w:val="Compact"/>
              <w:jc w:val="right"/>
            </w:pPr>
            <w:r>
              <w:t xml:space="preserve">66.99</w:t>
            </w:r>
          </w:p>
        </w:tc>
        <w:tc>
          <w:tcPr>
            <w:tcW w:type="dxa" w:w="1152"/>
          </w:tcPr>
          <w:p>
            <w:pPr>
              <w:pStyle w:val="Compact"/>
              <w:jc w:val="right"/>
            </w:pPr>
            <w:r>
              <w:t xml:space="preserve">67.73</w:t>
            </w:r>
          </w:p>
        </w:tc>
        <w:tc>
          <w:tcPr>
            <w:tcW w:type="dxa" w:w="1614"/>
          </w:tcPr>
          <w:p>
            <w:pPr>
              <w:pStyle w:val="Compact"/>
              <w:jc w:val="right"/>
            </w:pPr>
            <w:r>
              <w:t xml:space="preserve">+1.10 %</w:t>
            </w:r>
          </w:p>
        </w:tc>
        <w:tc>
          <w:tcPr>
            <w:tcW w:type="dxa" w:w="1152"/>
          </w:tcPr>
          <w:p>
            <w:pPr>
              <w:pStyle w:val="Compact"/>
              <w:jc w:val="right"/>
            </w:pPr>
            <w:r>
              <w:t xml:space="preserve">67.40</w:t>
            </w:r>
          </w:p>
        </w:tc>
        <w:tc>
          <w:tcPr>
            <w:tcW w:type="dxa" w:w="1614"/>
          </w:tcPr>
          <w:p>
            <w:pPr>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pPr>
      <w:r>
        <w:rPr>
          <w:bCs/>
          <w:b/>
        </w:rPr>
        <w:t xml:space="preserve">Table S5.</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blHeader w:val="true"/>
          <w:cantSplit/>
        </w:trPr>
        <w:tc>
          <w:tcPr>
            <w:tcW w:type="dxa" w:w="1096"/>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right"/>
            </w:pPr>
            <w:r>
              <w:t xml:space="preserve">Analytical, single</w:t>
            </w:r>
          </w:p>
        </w:tc>
        <w:tc>
          <w:tcPr>
            <w:tcW w:type="dxa" w:w="2093"/>
            <w:tcBorders>
              <w:top w:val="nil"/>
              <w:left w:val="nil"/>
              <w:bottom w:val="single" w:sz="6" w:space="0" w:color="000000"/>
              <w:right w:val="nil"/>
            </w:tcBorders>
          </w:tcPr>
          <w:p>
            <w:pPr>
              <w:pStyle w:val="Compact"/>
              <w:jc w:val="right"/>
            </w:pPr>
            <w:r>
              <w:t xml:space="preserve">Measured, single</w:t>
            </w:r>
          </w:p>
        </w:tc>
        <w:tc>
          <w:tcPr>
            <w:tcW w:type="dxa" w:w="1694"/>
            <w:tcBorders>
              <w:top w:val="nil"/>
              <w:left w:val="nil"/>
              <w:bottom w:val="single" w:sz="6" w:space="0" w:color="000000"/>
              <w:right w:val="nil"/>
            </w:tcBorders>
          </w:tcPr>
          <w:p>
            <w:pPr>
              <w:pStyle w:val="Compact"/>
              <w:jc w:val="right"/>
            </w:pPr>
            <w:r>
              <w:t xml:space="preserve">Two loads</w:t>
            </w:r>
          </w:p>
        </w:tc>
        <w:tc>
          <w:tcPr>
            <w:tcW w:type="dxa" w:w="1694"/>
            <w:tcBorders>
              <w:top w:val="nil"/>
              <w:left w:val="nil"/>
              <w:bottom w:val="single" w:sz="6" w:space="0" w:color="000000"/>
              <w:right w:val="nil"/>
            </w:tcBorders>
          </w:tcPr>
          <w:p>
            <w:pPr>
              <w:pStyle w:val="Compact"/>
              <w:jc w:val="right"/>
            </w:pPr>
            <w:r>
              <w:t xml:space="preserve">Three loads</w:t>
            </w:r>
          </w:p>
        </w:tc>
      </w:tr>
      <w:tr>
        <w:trPr>
          <w:cantSplit/>
        </w:trPr>
        <w:tc>
          <w:tcPr>
            <w:tcW w:type="dxa" w:w="1096"/>
          </w:tcPr>
          <w:p>
            <w:pPr>
              <w:pStyle w:val="Compact"/>
              <w:jc w:val="right"/>
            </w:pPr>
            <w:r>
              <w:t xml:space="preserve">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0.0000</w:t>
            </w:r>
          </w:p>
        </w:tc>
        <w:tc>
          <w:tcPr>
            <w:tcW w:type="dxa" w:w="1694"/>
          </w:tcPr>
          <w:p>
            <w:pPr>
              <w:pStyle w:val="Compact"/>
              <w:jc w:val="right"/>
            </w:pPr>
            <w:r>
              <w:t xml:space="preserve">0.0000</w:t>
            </w:r>
          </w:p>
        </w:tc>
      </w:tr>
      <w:tr>
        <w:trPr>
          <w:cantSplit/>
        </w:trPr>
        <w:tc>
          <w:tcPr>
            <w:tcW w:type="dxa" w:w="1096"/>
          </w:tcPr>
          <w:p>
            <w:pPr>
              <w:pStyle w:val="Compact"/>
              <w:jc w:val="right"/>
            </w:pPr>
            <w:r>
              <w:t xml:space="preserve">250</w:t>
            </w:r>
          </w:p>
        </w:tc>
        <w:tc>
          <w:tcPr>
            <w:tcW w:type="dxa" w:w="2491"/>
          </w:tcPr>
          <w:p>
            <w:pPr>
              <w:pStyle w:val="Compact"/>
              <w:jc w:val="right"/>
            </w:pPr>
            <w:r>
              <w:t xml:space="preserve">0.8874</w:t>
            </w:r>
          </w:p>
        </w:tc>
        <w:tc>
          <w:tcPr>
            <w:tcW w:type="dxa" w:w="2093"/>
          </w:tcPr>
          <w:p>
            <w:pPr>
              <w:pStyle w:val="Compact"/>
              <w:jc w:val="right"/>
            </w:pPr>
            <w:r>
              <w:t xml:space="preserve">0.8844</w:t>
            </w:r>
          </w:p>
        </w:tc>
        <w:tc>
          <w:tcPr>
            <w:tcW w:type="dxa" w:w="1694"/>
          </w:tcPr>
          <w:p>
            <w:pPr>
              <w:pStyle w:val="Compact"/>
              <w:jc w:val="right"/>
            </w:pPr>
            <w:r>
              <w:t xml:space="preserve">0.4625</w:t>
            </w:r>
          </w:p>
        </w:tc>
        <w:tc>
          <w:tcPr>
            <w:tcW w:type="dxa" w:w="1694"/>
          </w:tcPr>
          <w:p>
            <w:pPr>
              <w:pStyle w:val="Compact"/>
              <w:jc w:val="right"/>
            </w:pPr>
            <w:r>
              <w:t xml:space="preserve">0.5525</w:t>
            </w:r>
          </w:p>
        </w:tc>
      </w:tr>
      <w:tr>
        <w:trPr>
          <w:cantSplit/>
        </w:trPr>
        <w:tc>
          <w:tcPr>
            <w:tcW w:type="dxa" w:w="1096"/>
          </w:tcPr>
          <w:p>
            <w:pPr>
              <w:pStyle w:val="Compact"/>
              <w:jc w:val="right"/>
            </w:pPr>
            <w:r>
              <w:t xml:space="preserve">500</w:t>
            </w:r>
          </w:p>
        </w:tc>
        <w:tc>
          <w:tcPr>
            <w:tcW w:type="dxa" w:w="2491"/>
          </w:tcPr>
          <w:p>
            <w:pPr>
              <w:pStyle w:val="Compact"/>
              <w:jc w:val="right"/>
            </w:pPr>
            <w:r>
              <w:t xml:space="preserve">1.6968</w:t>
            </w:r>
          </w:p>
        </w:tc>
        <w:tc>
          <w:tcPr>
            <w:tcW w:type="dxa" w:w="2093"/>
          </w:tcPr>
          <w:p>
            <w:pPr>
              <w:pStyle w:val="Compact"/>
              <w:jc w:val="right"/>
            </w:pPr>
            <w:r>
              <w:t xml:space="preserve">1.6975</w:t>
            </w:r>
          </w:p>
        </w:tc>
        <w:tc>
          <w:tcPr>
            <w:tcW w:type="dxa" w:w="1694"/>
          </w:tcPr>
          <w:p>
            <w:pPr>
              <w:pStyle w:val="Compact"/>
              <w:jc w:val="right"/>
            </w:pPr>
            <w:r>
              <w:t xml:space="preserve">1.8813</w:t>
            </w:r>
          </w:p>
        </w:tc>
        <w:tc>
          <w:tcPr>
            <w:tcW w:type="dxa" w:w="1694"/>
          </w:tcPr>
          <w:p>
            <w:pPr>
              <w:pStyle w:val="Compact"/>
              <w:jc w:val="right"/>
            </w:pPr>
            <w:r>
              <w:t xml:space="preserve">1.0450</w:t>
            </w:r>
          </w:p>
        </w:tc>
      </w:tr>
      <w:tr>
        <w:trPr>
          <w:cantSplit/>
        </w:trPr>
        <w:tc>
          <w:tcPr>
            <w:tcW w:type="dxa" w:w="1096"/>
          </w:tcPr>
          <w:p>
            <w:pPr>
              <w:pStyle w:val="Compact"/>
              <w:jc w:val="right"/>
            </w:pPr>
            <w:r>
              <w:t xml:space="preserve">750</w:t>
            </w:r>
          </w:p>
        </w:tc>
        <w:tc>
          <w:tcPr>
            <w:tcW w:type="dxa" w:w="2491"/>
          </w:tcPr>
          <w:p>
            <w:pPr>
              <w:pStyle w:val="Compact"/>
              <w:jc w:val="right"/>
            </w:pPr>
            <w:r>
              <w:t xml:space="preserve">2.3501</w:t>
            </w:r>
          </w:p>
        </w:tc>
        <w:tc>
          <w:tcPr>
            <w:tcW w:type="dxa" w:w="2093"/>
          </w:tcPr>
          <w:p>
            <w:pPr>
              <w:pStyle w:val="Compact"/>
              <w:jc w:val="right"/>
            </w:pPr>
            <w:r>
              <w:t xml:space="preserve">2.3525</w:t>
            </w:r>
          </w:p>
        </w:tc>
        <w:tc>
          <w:tcPr>
            <w:tcW w:type="dxa" w:w="1694"/>
          </w:tcPr>
          <w:p>
            <w:pPr>
              <w:pStyle w:val="Compact"/>
              <w:jc w:val="right"/>
            </w:pPr>
            <w:r>
              <w:t xml:space="preserve">3.1413</w:t>
            </w:r>
          </w:p>
        </w:tc>
        <w:tc>
          <w:tcPr>
            <w:tcW w:type="dxa" w:w="1694"/>
          </w:tcPr>
          <w:p>
            <w:pPr>
              <w:pStyle w:val="Compact"/>
              <w:jc w:val="right"/>
            </w:pPr>
            <w:r>
              <w:t xml:space="preserve">2.5413</w:t>
            </w:r>
          </w:p>
        </w:tc>
      </w:tr>
      <w:tr>
        <w:trPr>
          <w:cantSplit/>
        </w:trPr>
        <w:tc>
          <w:tcPr>
            <w:tcW w:type="dxa" w:w="1096"/>
          </w:tcPr>
          <w:p>
            <w:pPr>
              <w:pStyle w:val="Compact"/>
              <w:jc w:val="right"/>
            </w:pPr>
            <w:r>
              <w:t xml:space="preserve">1000</w:t>
            </w:r>
          </w:p>
        </w:tc>
        <w:tc>
          <w:tcPr>
            <w:tcW w:type="dxa" w:w="2491"/>
          </w:tcPr>
          <w:p>
            <w:pPr>
              <w:pStyle w:val="Compact"/>
              <w:jc w:val="right"/>
            </w:pPr>
            <w:r>
              <w:t xml:space="preserve">2.7693</w:t>
            </w:r>
          </w:p>
        </w:tc>
        <w:tc>
          <w:tcPr>
            <w:tcW w:type="dxa" w:w="2093"/>
          </w:tcPr>
          <w:p>
            <w:pPr>
              <w:pStyle w:val="Compact"/>
              <w:jc w:val="right"/>
            </w:pPr>
            <w:r>
              <w:t xml:space="preserve">2.7738</w:t>
            </w:r>
          </w:p>
        </w:tc>
        <w:tc>
          <w:tcPr>
            <w:tcW w:type="dxa" w:w="1694"/>
          </w:tcPr>
          <w:p>
            <w:pPr>
              <w:pStyle w:val="Compact"/>
              <w:jc w:val="right"/>
            </w:pPr>
            <w:r>
              <w:t xml:space="preserve">4.0988</w:t>
            </w:r>
          </w:p>
        </w:tc>
        <w:tc>
          <w:tcPr>
            <w:tcW w:type="dxa" w:w="1694"/>
          </w:tcPr>
          <w:p>
            <w:pPr>
              <w:pStyle w:val="Compact"/>
              <w:jc w:val="right"/>
            </w:pPr>
            <w:r>
              <w:t xml:space="preserve">4.8700</w:t>
            </w:r>
          </w:p>
        </w:tc>
      </w:tr>
      <w:tr>
        <w:trPr>
          <w:cantSplit/>
        </w:trPr>
        <w:tc>
          <w:tcPr>
            <w:tcW w:type="dxa" w:w="1096"/>
          </w:tcPr>
          <w:p>
            <w:pPr>
              <w:pStyle w:val="Compact"/>
              <w:jc w:val="right"/>
            </w:pPr>
            <w:r>
              <w:t xml:space="preserve">1250</w:t>
            </w:r>
          </w:p>
        </w:tc>
        <w:tc>
          <w:tcPr>
            <w:tcW w:type="dxa" w:w="2491"/>
          </w:tcPr>
          <w:p>
            <w:pPr>
              <w:pStyle w:val="Compact"/>
              <w:jc w:val="right"/>
            </w:pPr>
            <w:r>
              <w:t xml:space="preserve">2.8764</w:t>
            </w:r>
          </w:p>
        </w:tc>
        <w:tc>
          <w:tcPr>
            <w:tcW w:type="dxa" w:w="2093"/>
          </w:tcPr>
          <w:p>
            <w:pPr>
              <w:pStyle w:val="Compact"/>
              <w:jc w:val="right"/>
            </w:pPr>
            <w:r>
              <w:t xml:space="preserve">2.8827</w:t>
            </w:r>
          </w:p>
        </w:tc>
        <w:tc>
          <w:tcPr>
            <w:tcW w:type="dxa" w:w="1694"/>
          </w:tcPr>
          <w:p>
            <w:pPr>
              <w:pStyle w:val="Compact"/>
              <w:jc w:val="right"/>
            </w:pPr>
            <w:r>
              <w:t xml:space="preserve">4.6350</w:t>
            </w:r>
          </w:p>
        </w:tc>
        <w:tc>
          <w:tcPr>
            <w:tcW w:type="dxa" w:w="1694"/>
          </w:tcPr>
          <w:p>
            <w:pPr>
              <w:pStyle w:val="Compact"/>
              <w:jc w:val="right"/>
            </w:pPr>
            <w:r>
              <w:t xml:space="preserve">6.7588</w:t>
            </w:r>
          </w:p>
        </w:tc>
      </w:tr>
      <w:tr>
        <w:trPr>
          <w:cantSplit/>
        </w:trPr>
        <w:tc>
          <w:tcPr>
            <w:tcW w:type="dxa" w:w="1096"/>
          </w:tcPr>
          <w:p>
            <w:pPr>
              <w:pStyle w:val="Compact"/>
              <w:jc w:val="right"/>
            </w:pPr>
            <w:r>
              <w:t xml:space="preserve">1500</w:t>
            </w:r>
          </w:p>
        </w:tc>
        <w:tc>
          <w:tcPr>
            <w:tcW w:type="dxa" w:w="2491"/>
          </w:tcPr>
          <w:p>
            <w:pPr>
              <w:pStyle w:val="Compact"/>
              <w:jc w:val="right"/>
            </w:pPr>
            <w:r>
              <w:t xml:space="preserve">2.6253</w:t>
            </w:r>
          </w:p>
        </w:tc>
        <w:tc>
          <w:tcPr>
            <w:tcW w:type="dxa" w:w="2093"/>
          </w:tcPr>
          <w:p>
            <w:pPr>
              <w:pStyle w:val="Compact"/>
              <w:jc w:val="right"/>
            </w:pPr>
            <w:r>
              <w:t xml:space="preserve">2.6363</w:t>
            </w:r>
          </w:p>
        </w:tc>
        <w:tc>
          <w:tcPr>
            <w:tcW w:type="dxa" w:w="1694"/>
          </w:tcPr>
          <w:p>
            <w:pPr>
              <w:pStyle w:val="Compact"/>
              <w:jc w:val="right"/>
            </w:pPr>
            <w:r>
              <w:t xml:space="preserve">4.6238</w:t>
            </w:r>
          </w:p>
        </w:tc>
        <w:tc>
          <w:tcPr>
            <w:tcW w:type="dxa" w:w="1694"/>
          </w:tcPr>
          <w:p>
            <w:pPr>
              <w:pStyle w:val="Compact"/>
              <w:jc w:val="right"/>
            </w:pPr>
            <w:r>
              <w:t xml:space="preserve">7.9350</w:t>
            </w:r>
          </w:p>
        </w:tc>
      </w:tr>
      <w:tr>
        <w:trPr>
          <w:cantSplit/>
        </w:trPr>
        <w:tc>
          <w:tcPr>
            <w:tcW w:type="dxa" w:w="1096"/>
          </w:tcPr>
          <w:p>
            <w:pPr>
              <w:pStyle w:val="Compact"/>
              <w:jc w:val="right"/>
            </w:pPr>
            <w:r>
              <w:t xml:space="preserve">1750</w:t>
            </w:r>
          </w:p>
        </w:tc>
        <w:tc>
          <w:tcPr>
            <w:tcW w:type="dxa" w:w="2491"/>
          </w:tcPr>
          <w:p>
            <w:pPr>
              <w:pStyle w:val="Compact"/>
              <w:jc w:val="right"/>
            </w:pPr>
            <w:r>
              <w:t xml:space="preserve">2.0980</w:t>
            </w:r>
          </w:p>
        </w:tc>
        <w:tc>
          <w:tcPr>
            <w:tcW w:type="dxa" w:w="2093"/>
          </w:tcPr>
          <w:p>
            <w:pPr>
              <w:pStyle w:val="Compact"/>
              <w:jc w:val="right"/>
            </w:pPr>
            <w:r>
              <w:t xml:space="preserve">2.1100</w:t>
            </w:r>
          </w:p>
        </w:tc>
        <w:tc>
          <w:tcPr>
            <w:tcW w:type="dxa" w:w="1694"/>
          </w:tcPr>
          <w:p>
            <w:pPr>
              <w:pStyle w:val="Compact"/>
              <w:jc w:val="right"/>
            </w:pPr>
            <w:r>
              <w:t xml:space="preserve">4.0688</w:t>
            </w:r>
          </w:p>
        </w:tc>
        <w:tc>
          <w:tcPr>
            <w:tcW w:type="dxa" w:w="1694"/>
          </w:tcPr>
          <w:p>
            <w:pPr>
              <w:pStyle w:val="Compact"/>
              <w:jc w:val="right"/>
            </w:pPr>
            <w:r>
              <w:t xml:space="preserve">8.2775</w:t>
            </w:r>
          </w:p>
        </w:tc>
      </w:tr>
      <w:tr>
        <w:trPr>
          <w:cantSplit/>
        </w:trPr>
        <w:tc>
          <w:tcPr>
            <w:tcW w:type="dxa" w:w="1096"/>
          </w:tcPr>
          <w:p>
            <w:pPr>
              <w:pStyle w:val="Compact"/>
              <w:jc w:val="right"/>
            </w:pPr>
            <w:r>
              <w:t xml:space="preserve">2000</w:t>
            </w:r>
          </w:p>
        </w:tc>
        <w:tc>
          <w:tcPr>
            <w:tcW w:type="dxa" w:w="2491"/>
          </w:tcPr>
          <w:p>
            <w:pPr>
              <w:pStyle w:val="Compact"/>
              <w:jc w:val="right"/>
            </w:pPr>
            <w:r>
              <w:t xml:space="preserve">1.4087</w:t>
            </w:r>
          </w:p>
        </w:tc>
        <w:tc>
          <w:tcPr>
            <w:tcW w:type="dxa" w:w="2093"/>
          </w:tcPr>
          <w:p>
            <w:pPr>
              <w:pStyle w:val="Compact"/>
              <w:jc w:val="right"/>
            </w:pPr>
            <w:r>
              <w:t xml:space="preserve">1.4213</w:t>
            </w:r>
          </w:p>
        </w:tc>
        <w:tc>
          <w:tcPr>
            <w:tcW w:type="dxa" w:w="1694"/>
          </w:tcPr>
          <w:p>
            <w:pPr>
              <w:pStyle w:val="Compact"/>
              <w:jc w:val="right"/>
            </w:pPr>
            <w:r>
              <w:t xml:space="preserve">3.1375</w:t>
            </w:r>
          </w:p>
        </w:tc>
        <w:tc>
          <w:tcPr>
            <w:tcW w:type="dxa" w:w="1694"/>
          </w:tcPr>
          <w:p>
            <w:pPr>
              <w:pStyle w:val="Compact"/>
              <w:jc w:val="right"/>
            </w:pPr>
            <w:r>
              <w:t xml:space="preserve">7.6825</w:t>
            </w:r>
          </w:p>
        </w:tc>
      </w:tr>
      <w:tr>
        <w:trPr>
          <w:cantSplit/>
        </w:trPr>
        <w:tc>
          <w:tcPr>
            <w:tcW w:type="dxa" w:w="1096"/>
          </w:tcPr>
          <w:p>
            <w:pPr>
              <w:pStyle w:val="Compact"/>
              <w:jc w:val="right"/>
            </w:pPr>
            <w:r>
              <w:t xml:space="preserve">2250</w:t>
            </w:r>
          </w:p>
        </w:tc>
        <w:tc>
          <w:tcPr>
            <w:tcW w:type="dxa" w:w="2491"/>
          </w:tcPr>
          <w:p>
            <w:pPr>
              <w:pStyle w:val="Compact"/>
              <w:jc w:val="right"/>
            </w:pPr>
            <w:r>
              <w:t xml:space="preserve">0.6713</w:t>
            </w:r>
          </w:p>
        </w:tc>
        <w:tc>
          <w:tcPr>
            <w:tcW w:type="dxa" w:w="2093"/>
          </w:tcPr>
          <w:p>
            <w:pPr>
              <w:pStyle w:val="Compact"/>
              <w:jc w:val="right"/>
            </w:pPr>
            <w:r>
              <w:t xml:space="preserve">0.6838</w:t>
            </w:r>
          </w:p>
        </w:tc>
        <w:tc>
          <w:tcPr>
            <w:tcW w:type="dxa" w:w="1694"/>
          </w:tcPr>
          <w:p>
            <w:pPr>
              <w:pStyle w:val="Compact"/>
              <w:jc w:val="right"/>
            </w:pPr>
            <w:r>
              <w:t xml:space="preserve">1.9600</w:t>
            </w:r>
          </w:p>
        </w:tc>
        <w:tc>
          <w:tcPr>
            <w:tcW w:type="dxa" w:w="1694"/>
          </w:tcPr>
          <w:p>
            <w:pPr>
              <w:pStyle w:val="Compact"/>
              <w:jc w:val="right"/>
            </w:pPr>
            <w:r>
              <w:t xml:space="preserve">6.2800</w:t>
            </w:r>
          </w:p>
        </w:tc>
      </w:tr>
      <w:tr>
        <w:trPr>
          <w:cantSplit/>
        </w:trPr>
        <w:tc>
          <w:tcPr>
            <w:tcW w:type="dxa" w:w="1096"/>
          </w:tcPr>
          <w:p>
            <w:pPr>
              <w:pStyle w:val="Compact"/>
              <w:jc w:val="right"/>
            </w:pPr>
            <w:r>
              <w:t xml:space="preserve">2500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0.7715</w:t>
            </w:r>
          </w:p>
        </w:tc>
        <w:tc>
          <w:tcPr>
            <w:tcW w:type="dxa" w:w="1694"/>
          </w:tcPr>
          <w:p>
            <w:pPr>
              <w:pStyle w:val="Compact"/>
              <w:jc w:val="right"/>
            </w:pPr>
            <w:r>
              <w:t xml:space="preserve">4.3725</w:t>
            </w:r>
          </w:p>
        </w:tc>
      </w:tr>
      <w:tr>
        <w:trPr>
          <w:cantSplit/>
        </w:trPr>
        <w:tc>
          <w:tcPr>
            <w:tcW w:type="dxa" w:w="1096"/>
          </w:tcPr>
          <w:p>
            <w:pPr>
              <w:pStyle w:val="Compact"/>
              <w:jc w:val="right"/>
            </w:pPr>
            <w:r>
              <w:t xml:space="preserve">2750</w:t>
            </w:r>
          </w:p>
        </w:tc>
        <w:tc>
          <w:tcPr>
            <w:tcW w:type="dxa" w:w="2491"/>
          </w:tcPr>
          <w:p>
            <w:pPr>
              <w:pStyle w:val="Compact"/>
              <w:jc w:val="right"/>
            </w:pPr>
            <w:r>
              <w:t xml:space="preserve">−0.5132</w:t>
            </w:r>
          </w:p>
        </w:tc>
        <w:tc>
          <w:tcPr>
            <w:tcW w:type="dxa" w:w="2093"/>
          </w:tcPr>
          <w:p>
            <w:pPr>
              <w:pStyle w:val="Compact"/>
              <w:jc w:val="right"/>
            </w:pPr>
            <w:r>
              <w:t xml:space="preserve">−0.5069</w:t>
            </w:r>
          </w:p>
        </w:tc>
        <w:tc>
          <w:tcPr>
            <w:tcW w:type="dxa" w:w="1694"/>
          </w:tcPr>
          <w:p>
            <w:pPr>
              <w:pStyle w:val="Compact"/>
              <w:jc w:val="right"/>
            </w:pPr>
            <w:r>
              <w:t xml:space="preserve">−0.2689</w:t>
            </w:r>
          </w:p>
        </w:tc>
        <w:tc>
          <w:tcPr>
            <w:tcW w:type="dxa" w:w="1694"/>
          </w:tcPr>
          <w:p>
            <w:pPr>
              <w:pStyle w:val="Compact"/>
              <w:jc w:val="right"/>
            </w:pPr>
            <w:r>
              <w:t xml:space="preserve">2.2975</w:t>
            </w:r>
          </w:p>
        </w:tc>
      </w:tr>
      <w:tr>
        <w:trPr>
          <w:cantSplit/>
        </w:trPr>
        <w:tc>
          <w:tcPr>
            <w:tcW w:type="dxa" w:w="1096"/>
          </w:tcPr>
          <w:p>
            <w:pPr>
              <w:pStyle w:val="Compact"/>
              <w:jc w:val="right"/>
            </w:pPr>
            <w:r>
              <w:t xml:space="preserve">3000</w:t>
            </w:r>
          </w:p>
        </w:tc>
        <w:tc>
          <w:tcPr>
            <w:tcW w:type="dxa" w:w="2491"/>
          </w:tcPr>
          <w:p>
            <w:pPr>
              <w:pStyle w:val="Compact"/>
              <w:jc w:val="right"/>
            </w:pPr>
            <w:r>
              <w:t xml:space="preserve">−0.8644</w:t>
            </w:r>
          </w:p>
        </w:tc>
        <w:tc>
          <w:tcPr>
            <w:tcW w:type="dxa" w:w="2093"/>
          </w:tcPr>
          <w:p>
            <w:pPr>
              <w:pStyle w:val="Compact"/>
              <w:jc w:val="right"/>
            </w:pPr>
            <w:r>
              <w:t xml:space="preserve">−0.8556</w:t>
            </w:r>
          </w:p>
        </w:tc>
        <w:tc>
          <w:tcPr>
            <w:tcW w:type="dxa" w:w="1694"/>
          </w:tcPr>
          <w:p>
            <w:pPr>
              <w:pStyle w:val="Compact"/>
              <w:jc w:val="right"/>
            </w:pPr>
            <w:r>
              <w:t xml:space="preserve">−1.0063</w:t>
            </w:r>
          </w:p>
        </w:tc>
        <w:tc>
          <w:tcPr>
            <w:tcW w:type="dxa" w:w="1694"/>
          </w:tcPr>
          <w:p>
            <w:pPr>
              <w:pStyle w:val="Compact"/>
              <w:jc w:val="right"/>
            </w:pPr>
            <w:r>
              <w:t xml:space="preserve">0.3021</w:t>
            </w:r>
          </w:p>
        </w:tc>
      </w:tr>
      <w:tr>
        <w:trPr>
          <w:cantSplit/>
        </w:trPr>
        <w:tc>
          <w:tcPr>
            <w:tcW w:type="dxa" w:w="1096"/>
          </w:tcPr>
          <w:p>
            <w:pPr>
              <w:pStyle w:val="Compact"/>
              <w:jc w:val="right"/>
            </w:pPr>
            <w:r>
              <w:t xml:space="preserve">3250</w:t>
            </w:r>
          </w:p>
        </w:tc>
        <w:tc>
          <w:tcPr>
            <w:tcW w:type="dxa" w:w="2491"/>
          </w:tcPr>
          <w:p>
            <w:pPr>
              <w:pStyle w:val="Compact"/>
              <w:jc w:val="right"/>
            </w:pPr>
            <w:r>
              <w:t xml:space="preserve">−1.0715</w:t>
            </w:r>
          </w:p>
        </w:tc>
        <w:tc>
          <w:tcPr>
            <w:tcW w:type="dxa" w:w="2093"/>
          </w:tcPr>
          <w:p>
            <w:pPr>
              <w:pStyle w:val="Compact"/>
              <w:jc w:val="right"/>
            </w:pPr>
            <w:r>
              <w:t xml:space="preserve">−1.0600</w:t>
            </w:r>
          </w:p>
        </w:tc>
        <w:tc>
          <w:tcPr>
            <w:tcW w:type="dxa" w:w="1694"/>
          </w:tcPr>
          <w:p>
            <w:pPr>
              <w:pStyle w:val="Compact"/>
              <w:jc w:val="right"/>
            </w:pPr>
            <w:r>
              <w:t xml:space="preserve">−1.4988</w:t>
            </w:r>
          </w:p>
        </w:tc>
        <w:tc>
          <w:tcPr>
            <w:tcW w:type="dxa" w:w="1694"/>
          </w:tcPr>
          <w:p>
            <w:pPr>
              <w:pStyle w:val="Compact"/>
              <w:jc w:val="right"/>
            </w:pPr>
            <w:r>
              <w:t xml:space="preserve">−1.2588</w:t>
            </w:r>
          </w:p>
        </w:tc>
      </w:tr>
      <w:tr>
        <w:trPr>
          <w:cantSplit/>
        </w:trPr>
        <w:tc>
          <w:tcPr>
            <w:tcW w:type="dxa" w:w="1096"/>
          </w:tcPr>
          <w:p>
            <w:pPr>
              <w:pStyle w:val="Compact"/>
              <w:jc w:val="right"/>
            </w:pPr>
            <w:r>
              <w:t xml:space="preserve">3500</w:t>
            </w:r>
          </w:p>
        </w:tc>
        <w:tc>
          <w:tcPr>
            <w:tcW w:type="dxa" w:w="2491"/>
          </w:tcPr>
          <w:p>
            <w:pPr>
              <w:pStyle w:val="Compact"/>
              <w:jc w:val="right"/>
            </w:pPr>
            <w:r>
              <w:t xml:space="preserve">−1.1526</w:t>
            </w:r>
          </w:p>
        </w:tc>
        <w:tc>
          <w:tcPr>
            <w:tcW w:type="dxa" w:w="2093"/>
          </w:tcPr>
          <w:p>
            <w:pPr>
              <w:pStyle w:val="Compact"/>
              <w:jc w:val="right"/>
            </w:pPr>
            <w:r>
              <w:t xml:space="preserve">−1.1438</w:t>
            </w:r>
          </w:p>
        </w:tc>
        <w:tc>
          <w:tcPr>
            <w:tcW w:type="dxa" w:w="1694"/>
          </w:tcPr>
          <w:p>
            <w:pPr>
              <w:pStyle w:val="Compact"/>
              <w:jc w:val="right"/>
            </w:pPr>
            <w:r>
              <w:t xml:space="preserve">−1.7813</w:t>
            </w:r>
          </w:p>
        </w:tc>
        <w:tc>
          <w:tcPr>
            <w:tcW w:type="dxa" w:w="1694"/>
          </w:tcPr>
          <w:p>
            <w:pPr>
              <w:pStyle w:val="Compact"/>
              <w:jc w:val="right"/>
            </w:pPr>
            <w:r>
              <w:t xml:space="preserve">−2.3650</w:t>
            </w:r>
          </w:p>
        </w:tc>
      </w:tr>
      <w:tr>
        <w:trPr>
          <w:cantSplit/>
        </w:trPr>
        <w:tc>
          <w:tcPr>
            <w:tcW w:type="dxa" w:w="1096"/>
          </w:tcPr>
          <w:p>
            <w:pPr>
              <w:pStyle w:val="Compact"/>
              <w:jc w:val="right"/>
            </w:pPr>
            <w:r>
              <w:t xml:space="preserve">3750</w:t>
            </w:r>
          </w:p>
        </w:tc>
        <w:tc>
          <w:tcPr>
            <w:tcW w:type="dxa" w:w="2491"/>
          </w:tcPr>
          <w:p>
            <w:pPr>
              <w:pStyle w:val="Compact"/>
              <w:jc w:val="right"/>
            </w:pPr>
            <w:r>
              <w:t xml:space="preserve">−1.1255</w:t>
            </w:r>
          </w:p>
        </w:tc>
        <w:tc>
          <w:tcPr>
            <w:tcW w:type="dxa" w:w="2093"/>
          </w:tcPr>
          <w:p>
            <w:pPr>
              <w:pStyle w:val="Compact"/>
              <w:jc w:val="right"/>
            </w:pPr>
            <w:r>
              <w:t xml:space="preserve">−1.1200</w:t>
            </w:r>
          </w:p>
        </w:tc>
        <w:tc>
          <w:tcPr>
            <w:tcW w:type="dxa" w:w="1694"/>
          </w:tcPr>
          <w:p>
            <w:pPr>
              <w:pStyle w:val="Compact"/>
              <w:jc w:val="right"/>
            </w:pPr>
            <w:r>
              <w:t xml:space="preserve">−1.8600</w:t>
            </w:r>
          </w:p>
        </w:tc>
        <w:tc>
          <w:tcPr>
            <w:tcW w:type="dxa" w:w="1694"/>
          </w:tcPr>
          <w:p>
            <w:pPr>
              <w:pStyle w:val="Compact"/>
              <w:jc w:val="right"/>
            </w:pPr>
            <w:r>
              <w:t xml:space="preserve">−3.0363</w:t>
            </w:r>
          </w:p>
        </w:tc>
      </w:tr>
      <w:tr>
        <w:trPr>
          <w:cantSplit/>
        </w:trPr>
        <w:tc>
          <w:tcPr>
            <w:tcW w:type="dxa" w:w="1096"/>
          </w:tcPr>
          <w:p>
            <w:pPr>
              <w:pStyle w:val="Compact"/>
              <w:jc w:val="right"/>
            </w:pPr>
            <w:r>
              <w:t xml:space="preserve">4000</w:t>
            </w:r>
          </w:p>
        </w:tc>
        <w:tc>
          <w:tcPr>
            <w:tcW w:type="dxa" w:w="2491"/>
          </w:tcPr>
          <w:p>
            <w:pPr>
              <w:pStyle w:val="Compact"/>
              <w:jc w:val="right"/>
            </w:pPr>
            <w:r>
              <w:t xml:space="preserve">−1.0085</w:t>
            </w:r>
          </w:p>
        </w:tc>
        <w:tc>
          <w:tcPr>
            <w:tcW w:type="dxa" w:w="2093"/>
          </w:tcPr>
          <w:p>
            <w:pPr>
              <w:pStyle w:val="Compact"/>
              <w:jc w:val="right"/>
            </w:pPr>
            <w:r>
              <w:t xml:space="preserve">−1.0013</w:t>
            </w:r>
          </w:p>
        </w:tc>
        <w:tc>
          <w:tcPr>
            <w:tcW w:type="dxa" w:w="1694"/>
          </w:tcPr>
          <w:p>
            <w:pPr>
              <w:pStyle w:val="Compact"/>
              <w:jc w:val="right"/>
            </w:pPr>
            <w:r>
              <w:t xml:space="preserve">−1.7738</w:t>
            </w:r>
          </w:p>
        </w:tc>
        <w:tc>
          <w:tcPr>
            <w:tcW w:type="dxa" w:w="1694"/>
          </w:tcPr>
          <w:p>
            <w:pPr>
              <w:pStyle w:val="Compact"/>
              <w:jc w:val="right"/>
            </w:pPr>
            <w:r>
              <w:t xml:space="preserve">−3.3300</w:t>
            </w:r>
          </w:p>
        </w:tc>
      </w:tr>
      <w:tr>
        <w:trPr>
          <w:cantSplit/>
        </w:trPr>
        <w:tc>
          <w:tcPr>
            <w:tcW w:type="dxa" w:w="1096"/>
          </w:tcPr>
          <w:p>
            <w:pPr>
              <w:pStyle w:val="Compact"/>
              <w:jc w:val="right"/>
            </w:pPr>
            <w:r>
              <w:t xml:space="preserve">4250</w:t>
            </w:r>
          </w:p>
        </w:tc>
        <w:tc>
          <w:tcPr>
            <w:tcW w:type="dxa" w:w="2491"/>
          </w:tcPr>
          <w:p>
            <w:pPr>
              <w:pStyle w:val="Compact"/>
              <w:jc w:val="right"/>
            </w:pPr>
            <w:r>
              <w:t xml:space="preserve">−0.8194</w:t>
            </w:r>
          </w:p>
        </w:tc>
        <w:tc>
          <w:tcPr>
            <w:tcW w:type="dxa" w:w="2093"/>
          </w:tcPr>
          <w:p>
            <w:pPr>
              <w:pStyle w:val="Compact"/>
              <w:jc w:val="right"/>
            </w:pPr>
            <w:r>
              <w:t xml:space="preserve">−0.8175</w:t>
            </w:r>
          </w:p>
        </w:tc>
        <w:tc>
          <w:tcPr>
            <w:tcW w:type="dxa" w:w="1694"/>
          </w:tcPr>
          <w:p>
            <w:pPr>
              <w:pStyle w:val="Compact"/>
              <w:jc w:val="right"/>
            </w:pPr>
            <w:r>
              <w:t xml:space="preserve">−1.5525</w:t>
            </w:r>
          </w:p>
        </w:tc>
        <w:tc>
          <w:tcPr>
            <w:tcW w:type="dxa" w:w="1694"/>
          </w:tcPr>
          <w:p>
            <w:pPr>
              <w:pStyle w:val="Compact"/>
              <w:jc w:val="right"/>
            </w:pPr>
            <w:r>
              <w:t xml:space="preserve">−3.2663</w:t>
            </w:r>
          </w:p>
        </w:tc>
      </w:tr>
      <w:tr>
        <w:trPr>
          <w:cantSplit/>
        </w:trPr>
        <w:tc>
          <w:tcPr>
            <w:tcW w:type="dxa" w:w="1096"/>
          </w:tcPr>
          <w:p>
            <w:pPr>
              <w:pStyle w:val="Compact"/>
              <w:jc w:val="right"/>
            </w:pPr>
            <w:r>
              <w:t xml:space="preserve">4500</w:t>
            </w:r>
          </w:p>
        </w:tc>
        <w:tc>
          <w:tcPr>
            <w:tcW w:type="dxa" w:w="2491"/>
          </w:tcPr>
          <w:p>
            <w:pPr>
              <w:pStyle w:val="Compact"/>
              <w:jc w:val="right"/>
            </w:pPr>
            <w:r>
              <w:t xml:space="preserve">−0.5763</w:t>
            </w:r>
          </w:p>
        </w:tc>
        <w:tc>
          <w:tcPr>
            <w:tcW w:type="dxa" w:w="2093"/>
          </w:tcPr>
          <w:p>
            <w:pPr>
              <w:pStyle w:val="Compact"/>
              <w:jc w:val="right"/>
            </w:pPr>
            <w:r>
              <w:t xml:space="preserve">−0.5816</w:t>
            </w:r>
          </w:p>
        </w:tc>
        <w:tc>
          <w:tcPr>
            <w:tcW w:type="dxa" w:w="1694"/>
          </w:tcPr>
          <w:p>
            <w:pPr>
              <w:pStyle w:val="Compact"/>
              <w:jc w:val="right"/>
            </w:pPr>
            <w:r>
              <w:t xml:space="preserve">−1.2213</w:t>
            </w:r>
          </w:p>
        </w:tc>
        <w:tc>
          <w:tcPr>
            <w:tcW w:type="dxa" w:w="1694"/>
          </w:tcPr>
          <w:p>
            <w:pPr>
              <w:pStyle w:val="Compact"/>
              <w:jc w:val="right"/>
            </w:pPr>
            <w:r>
              <w:t xml:space="preserve">−2.9450</w:t>
            </w:r>
          </w:p>
        </w:tc>
      </w:tr>
      <w:tr>
        <w:trPr>
          <w:cantSplit/>
        </w:trPr>
        <w:tc>
          <w:tcPr>
            <w:tcW w:type="dxa" w:w="1096"/>
          </w:tcPr>
          <w:p>
            <w:pPr>
              <w:pStyle w:val="Compact"/>
              <w:jc w:val="right"/>
            </w:pPr>
            <w:r>
              <w:t xml:space="preserve">4750</w:t>
            </w:r>
          </w:p>
        </w:tc>
        <w:tc>
          <w:tcPr>
            <w:tcW w:type="dxa" w:w="2491"/>
          </w:tcPr>
          <w:p>
            <w:pPr>
              <w:pStyle w:val="Compact"/>
              <w:jc w:val="right"/>
            </w:pPr>
            <w:r>
              <w:t xml:space="preserve">−0.2971</w:t>
            </w:r>
          </w:p>
        </w:tc>
        <w:tc>
          <w:tcPr>
            <w:tcW w:type="dxa" w:w="2093"/>
          </w:tcPr>
          <w:p>
            <w:pPr>
              <w:pStyle w:val="Compact"/>
              <w:jc w:val="right"/>
            </w:pPr>
            <w:r>
              <w:t xml:space="preserve">−0.3019</w:t>
            </w:r>
          </w:p>
        </w:tc>
        <w:tc>
          <w:tcPr>
            <w:tcW w:type="dxa" w:w="1694"/>
          </w:tcPr>
          <w:p>
            <w:pPr>
              <w:pStyle w:val="Compact"/>
              <w:jc w:val="right"/>
            </w:pPr>
            <w:r>
              <w:t xml:space="preserve">−0.8125</w:t>
            </w:r>
          </w:p>
        </w:tc>
        <w:tc>
          <w:tcPr>
            <w:tcW w:type="dxa" w:w="1694"/>
          </w:tcPr>
          <w:p>
            <w:pPr>
              <w:pStyle w:val="Compact"/>
              <w:jc w:val="right"/>
            </w:pPr>
            <w:r>
              <w:t xml:space="preserve">−2.4125</w:t>
            </w:r>
          </w:p>
        </w:tc>
      </w:tr>
      <w:tr>
        <w:trPr>
          <w:cantSplit/>
        </w:trPr>
        <w:tc>
          <w:tcPr>
            <w:tcW w:type="dxa" w:w="1096"/>
          </w:tcPr>
          <w:p>
            <w:pPr>
              <w:pStyle w:val="Compact"/>
              <w:jc w:val="right"/>
            </w:pPr>
            <w:r>
              <w:t xml:space="preserve">5000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−0.3325</w:t>
            </w:r>
          </w:p>
        </w:tc>
        <w:tc>
          <w:tcPr>
            <w:tcW w:type="dxa" w:w="1694"/>
          </w:tcPr>
          <w:p>
            <w:pPr>
              <w:pStyle w:val="Compact"/>
              <w:jc w:val="right"/>
            </w:pPr>
            <w:r>
              <w:t xml:space="preserve">−1.7088</w:t>
            </w:r>
          </w:p>
        </w:tc>
      </w:tr>
      <w:tr>
        <w:trPr>
          <w:cantSplit/>
        </w:trPr>
        <w:tc>
          <w:tcPr>
            <w:tcW w:type="dxa" w:w="1096"/>
          </w:tcPr>
          <w:p>
            <w:pPr>
              <w:pStyle w:val="Compact"/>
              <w:jc w:val="right"/>
            </w:pPr>
            <w:r>
              <w:t xml:space="preserve">5250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r>
              <w:t xml:space="preserve">0.0000</w:t>
            </w:r>
          </w:p>
        </w:tc>
        <w:tc>
          <w:tcPr>
            <w:tcW w:type="dxa" w:w="1694"/>
          </w:tcPr>
          <w:p>
            <w:pPr>
              <w:pStyle w:val="Compact"/>
              <w:jc w:val="right"/>
            </w:pPr>
            <w:r>
              <w:t xml:space="preserve">−1.0713</w:t>
            </w:r>
          </w:p>
        </w:tc>
      </w:tr>
      <w:tr>
        <w:trPr>
          <w:cantSplit/>
        </w:trPr>
        <w:tc>
          <w:tcPr>
            <w:tcW w:type="dxa" w:w="1096"/>
          </w:tcPr>
          <w:p>
            <w:pPr>
              <w:pStyle w:val="Compact"/>
              <w:jc w:val="right"/>
            </w:pPr>
            <w:r>
              <w:t xml:space="preserve">5500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−0.3650</w:t>
            </w:r>
          </w:p>
        </w:tc>
      </w:tr>
      <w:tr>
        <w:trPr>
          <w:cantSplit/>
        </w:trPr>
        <w:tc>
          <w:tcPr>
            <w:tcW w:type="dxa" w:w="1096"/>
          </w:tcPr>
          <w:p>
            <w:pPr>
              <w:pStyle w:val="Compact"/>
              <w:jc w:val="right"/>
            </w:pPr>
            <w:r>
              <w:t xml:space="preserve">5750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0.0000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1.4 % on average (at most 4.6 % for a single run).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12 gauges have a coefficient of variation (CV) of 5.8–13.5 %, consistent with the noise (</w:t>
      </w:r>
      <m:oMath>
        <m:sSup>
          <m:e>
            <m:r>
              <m:t>χ</m:t>
            </m:r>
          </m:e>
          <m:sup>
            <m:r>
              <m:t>2</m:t>
            </m:r>
          </m:sup>
        </m:sSup>
      </m:oMath>
      <w:r>
        <w:t xml:space="preserve"> </w:t>
      </w:r>
      <m:oMath>
        <m:r>
          <m:t>p</m:t>
        </m:r>
      </m:oMath>
      <w:r>
        <w:t xml:space="preserve"> </w:t>
      </w:r>
      <w:r>
        <w:t xml:space="preserve">= 0.13–0.71; Table S6), but only ch11 shows equal constants for both trucks within ±10 % (main-text Fig. 5a); each equivalence test wrongly declares equivalence with probability at most 5 %, so chance alone would produce at most about 0.6 passes in 12 tests, and one pass is weak evidence. The first truck ran at 10.4–12.8 m/s and the second at 19.1–19.8 m/s, so speed and truck are almost perfectly confounded (correlation 0.98). Day-2 speeds were 13–28 m/s; no speed effect was resolved (+6 % per 10 m/s, 95 % CI −23 to +35 %), but the confidence interval of the slope is too wide to call the constant speed-independent (Fig. S9). Equivalence was tested by two one-sided tests (TOST; Table S7); for the day-2 gauge average, the 90 % CI used for the equivalence test is 0.76–1.27, so differences of up to about 27 % cannot be excluded.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9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pPr>
      <w:r>
        <w:rPr>
          <w:bCs/>
          <w:b/>
        </w:rPr>
        <w:t xml:space="preserve">Figure S9.</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all channels have CV 31–40 %, and st36, st31 and the gauge average fail the</w:t>
      </w:r>
      <w:r>
        <w:t xml:space="preserve"> </w:t>
      </w:r>
      <m:oMath>
        <m:sSup>
          <m:e>
            <m:r>
              <m:t>χ</m:t>
            </m:r>
          </m:e>
          <m:sup>
            <m:r>
              <m:t>2</m:t>
            </m:r>
          </m:sup>
        </m:sSup>
      </m:oMath>
      <w:r>
        <w:t xml:space="preserve"> </w:t>
      </w:r>
      <w:r>
        <w:t xml:space="preserve">test (</w:t>
      </w:r>
      <m:oMath>
        <m:sSup>
          <m:e>
            <m:r>
              <m:t>χ</m:t>
            </m:r>
          </m:e>
          <m:sup>
            <m:r>
              <m:t>2</m:t>
            </m:r>
          </m:sup>
        </m:sSup>
      </m:oMath>
      <w:r>
        <w:t xml:space="preserve"> </w:t>
      </w:r>
      <m:oMath>
        <m:r>
          <m:t>p</m:t>
        </m:r>
      </m:oMath>
      <w:r>
        <w:t xml:space="preserve"> </w:t>
      </w:r>
      <w:r>
        <w:t xml:space="preserve">= 0.016–0.027). The st36 constant in lane B is 0.64 of that in lane A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 For the gauge average the lane-B constant is 0.79 of that in lane A (95 % CI 0.59–1.00), so the lane effect is resolved only for st36. Lane-B speeds came from the lag between gauges, so the lane ratios also contain any difference between the two speed estimates.</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S9 and Fig. S11 give the correlations behind this result, and Table S10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 mean absolute error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S10.</w:t>
      </w:r>
      <w:r>
        <w:t xml:space="preserve"> </w:t>
      </w:r>
      <w:r>
        <w:t xml:space="preserve">NOR-BWIM: mean absolute error of the gross weight for single-gauge, gauge-average, GLS, zero-sum and mean-weight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11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pPr>
      <w:r>
        <w:rPr>
          <w:bCs/>
          <w:b/>
        </w:rPr>
        <w:t xml:space="preserve">Figure S11.</w:t>
      </w:r>
      <w:r>
        <w:t xml:space="preserve"> </w:t>
      </w:r>
      <w:r>
        <w:t xml:space="preserve">NOR-BWIM: correlation matrices of the integrated vehicle-free noise between gauges, for windows of crossing length: (a) day 1 (12 gauges) and (b) day 2 (4 gauges);</w:t>
      </w:r>
      <w:r>
        <w:t xml:space="preserve"> </w:t>
      </w:r>
      <m:oMath>
        <m:r>
          <m:t>T</m:t>
        </m:r>
      </m:oMath>
      <w:r>
        <w:t xml:space="preserve">: window length.</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Figure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pPr>
      <w:r>
        <w:rPr>
          <w:bCs/>
          <w:b/>
        </w:rPr>
        <w:t xml:space="preserve">Figure S12.</w:t>
      </w:r>
      <w:r>
        <w:t xml:space="preserve"> </w:t>
      </w:r>
      <w:r>
        <w:t xml:space="preserve">Five-span girder, beam model with uniform rigidity and two haunch laws: (a) uniform-load moment and (b) strain constant along the girder, normalized at the gauges, and (c) the single-gauge error expected from the measured noise for a 25 t truck.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pPr>
      <w:r>
        <w:rPr>
          <w:bCs/>
          <w:b/>
        </w:rPr>
        <w:t xml:space="preserve">Figure S13.</w:t>
      </w:r>
      <w:r>
        <w:t xml:space="preserve"> </w:t>
      </w:r>
      <w:r>
        <w:t xml:space="preserve">Synthetic strain records of the dataset authors: integral per unit gross weight (a) by truck and lane, and (b) for a 3-axle truck against speed.</w:t>
      </w:r>
    </w:p>
    <w:p>
      <w:pPr>
        <w:pStyle w:val="BodyText"/>
        <w:keepNext/>
      </w:pPr>
      <w:r>
        <w:rPr>
          <w:bCs/>
          <w:b/>
        </w:rPr>
        <w:t xml:space="preserve">Table S6.</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right"/>
            </w:pPr>
            <w:r>
              <w:t xml:space="preserve">Runs</w:t>
            </w:r>
          </w:p>
        </w:tc>
        <w:tc>
          <w:tcPr>
            <w:tcW w:type="dxa" w:w="1755"/>
            <w:tcBorders>
              <w:top w:val="nil"/>
              <w:left w:val="nil"/>
              <w:bottom w:val="single" w:sz="6" w:space="0" w:color="000000"/>
              <w:right w:val="nil"/>
            </w:tcBorders>
          </w:tcPr>
          <w:p>
            <w:pPr>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right"/>
            </w:pPr>
            <w:r>
              <w:t xml:space="preserve">CV observed (%)</w:t>
            </w:r>
          </w:p>
        </w:tc>
        <w:tc>
          <w:tcPr>
            <w:tcW w:type="dxa" w:w="1389"/>
            <w:tcBorders>
              <w:top w:val="nil"/>
              <w:left w:val="nil"/>
              <w:bottom w:val="single" w:sz="6" w:space="0" w:color="000000"/>
              <w:right w:val="nil"/>
            </w:tcBorders>
          </w:tcPr>
          <w:p>
            <w:pPr>
              <w:pStyle w:val="Compact"/>
              <w:jc w:val="right"/>
            </w:pPr>
            <w:r>
              <w:t xml:space="preserve">CV expected (%)</w:t>
            </w:r>
          </w:p>
        </w:tc>
        <w:tc>
          <w:tcPr>
            <w:tcW w:type="dxa" w:w="950"/>
            <w:tcBorders>
              <w:top w:val="nil"/>
              <w:left w:val="nil"/>
              <w:bottom w:val="single" w:sz="6" w:space="0" w:color="000000"/>
              <w:right w:val="nil"/>
            </w:tcBorders>
          </w:tcPr>
          <w:p>
            <w:pPr>
              <w:pStyle w:val="Compact"/>
              <w:jc w:val="right"/>
            </w:pPr>
            <m:oMath>
              <m:sSup>
                <m:e>
                  <m:r>
                    <m:t>χ</m:t>
                  </m:r>
                </m:e>
                <m:sup>
                  <m:r>
                    <m:t>2</m:t>
                  </m:r>
                </m:sup>
              </m:sSup>
            </m:oMath>
            <w:r>
              <w:t xml:space="preserve"> </w:t>
            </w:r>
            <m:oMath>
              <m:r>
                <m:t>p</m:t>
              </m:r>
            </m:oMath>
          </w:p>
        </w:tc>
      </w:tr>
      <w:tr>
        <w:trPr>
          <w:cantSplit/>
        </w:trPr>
        <w:tc>
          <w:tcPr>
            <w:tcW w:type="dxa" w:w="2633"/>
          </w:tcPr>
          <w:p>
            <w:pPr>
              <w:pStyle w:val="Compact"/>
              <w:jc w:val="left"/>
            </w:pPr>
            <w:r>
              <w:t xml:space="preserve">1, ch11 (best)</w:t>
            </w:r>
          </w:p>
        </w:tc>
        <w:tc>
          <w:tcPr>
            <w:tcW w:type="dxa" w:w="804"/>
          </w:tcPr>
          <w:p>
            <w:pPr>
              <w:pStyle w:val="Compact"/>
              <w:jc w:val="right"/>
            </w:pPr>
            <w:r>
              <w:t xml:space="preserve">7</w:t>
            </w:r>
          </w:p>
        </w:tc>
        <w:tc>
          <w:tcPr>
            <w:tcW w:type="dxa" w:w="1755"/>
          </w:tcPr>
          <w:p>
            <w:pPr>
              <w:pStyle w:val="Compact"/>
              <w:jc w:val="right"/>
            </w:pPr>
            <w:r>
              <w:t xml:space="preserve">−5.85 (−6.17, −5.53)</w:t>
            </w:r>
          </w:p>
        </w:tc>
        <w:tc>
          <w:tcPr>
            <w:tcW w:type="dxa" w:w="1536"/>
          </w:tcPr>
          <w:p>
            <w:pPr>
              <w:pStyle w:val="Compact"/>
              <w:jc w:val="right"/>
            </w:pPr>
            <w:r>
              <w:t xml:space="preserve">5.8</w:t>
            </w:r>
          </w:p>
        </w:tc>
        <w:tc>
          <w:tcPr>
            <w:tcW w:type="dxa" w:w="1389"/>
          </w:tcPr>
          <w:p>
            <w:pPr>
              <w:pStyle w:val="Compact"/>
              <w:jc w:val="right"/>
            </w:pPr>
            <w:r>
              <w:t xml:space="preserve">6.8</w:t>
            </w:r>
          </w:p>
        </w:tc>
        <w:tc>
          <w:tcPr>
            <w:tcW w:type="dxa" w:w="950"/>
          </w:tcPr>
          <w:p>
            <w:pPr>
              <w:pStyle w:val="Compact"/>
              <w:jc w:val="right"/>
            </w:pPr>
            <w:r>
              <w:t xml:space="preserve">0.60</w:t>
            </w:r>
          </w:p>
        </w:tc>
      </w:tr>
      <w:tr>
        <w:trPr>
          <w:cantSplit/>
        </w:trPr>
        <w:tc>
          <w:tcPr>
            <w:tcW w:type="dxa" w:w="2633"/>
          </w:tcPr>
          <w:p>
            <w:pPr>
              <w:pStyle w:val="Compact"/>
              <w:jc w:val="left"/>
            </w:pPr>
            <w:r>
              <w:t xml:space="preserve">1, gauge average (4 wheel-path gauges)</w:t>
            </w:r>
          </w:p>
        </w:tc>
        <w:tc>
          <w:tcPr>
            <w:tcW w:type="dxa" w:w="804"/>
          </w:tcPr>
          <w:p>
            <w:pPr>
              <w:pStyle w:val="Compact"/>
              <w:jc w:val="right"/>
            </w:pPr>
            <w:r>
              <w:t xml:space="preserve">7</w:t>
            </w:r>
          </w:p>
        </w:tc>
        <w:tc>
          <w:tcPr>
            <w:tcW w:type="dxa" w:w="1755"/>
          </w:tcPr>
          <w:p>
            <w:pPr>
              <w:pStyle w:val="Compact"/>
              <w:jc w:val="right"/>
            </w:pPr>
            <w:r>
              <w:t xml:space="preserve">−4.03 (−4.24, −3.82)</w:t>
            </w:r>
          </w:p>
        </w:tc>
        <w:tc>
          <w:tcPr>
            <w:tcW w:type="dxa" w:w="1536"/>
          </w:tcPr>
          <w:p>
            <w:pPr>
              <w:pStyle w:val="Compact"/>
              <w:jc w:val="right"/>
            </w:pPr>
            <w:r>
              <w:t xml:space="preserve">5.6</w:t>
            </w:r>
          </w:p>
        </w:tc>
        <w:tc>
          <w:tcPr>
            <w:tcW w:type="dxa" w:w="1389"/>
          </w:tcPr>
          <w:p>
            <w:pPr>
              <w:pStyle w:val="Compact"/>
              <w:jc w:val="right"/>
            </w:pPr>
            <w:r>
              <w:t xml:space="preserve">6.1</w:t>
            </w:r>
          </w:p>
        </w:tc>
        <w:tc>
          <w:tcPr>
            <w:tcW w:type="dxa" w:w="950"/>
          </w:tcPr>
          <w:p>
            <w:pPr>
              <w:pStyle w:val="Compact"/>
              <w:jc w:val="right"/>
            </w:pPr>
            <w:r>
              <w:t xml:space="preserve">0.53</w:t>
            </w:r>
          </w:p>
        </w:tc>
      </w:tr>
      <w:tr>
        <w:trPr>
          <w:cantSplit/>
        </w:trPr>
        <w:tc>
          <w:tcPr>
            <w:tcW w:type="dxa" w:w="2633"/>
          </w:tcPr>
          <w:p>
            <w:pPr>
              <w:pStyle w:val="Compact"/>
              <w:jc w:val="left"/>
            </w:pPr>
            <w:r>
              <w:t xml:space="preserve">1, ch1, ch2, ch8, ch9</w:t>
            </w:r>
          </w:p>
        </w:tc>
        <w:tc>
          <w:tcPr>
            <w:tcW w:type="dxa" w:w="804"/>
          </w:tcPr>
          <w:p>
            <w:pPr>
              <w:pStyle w:val="Compact"/>
              <w:jc w:val="right"/>
            </w:pPr>
            <w:r>
              <w:t xml:space="preserve">7</w:t>
            </w:r>
          </w:p>
        </w:tc>
        <w:tc>
          <w:tcPr>
            <w:tcW w:type="dxa" w:w="1755"/>
          </w:tcPr>
          <w:p>
            <w:pPr>
              <w:pStyle w:val="Compact"/>
              <w:jc w:val="right"/>
            </w:pPr>
            <w:r>
              <w:t xml:space="preserve">−1.49 to −2.38</w:t>
            </w:r>
          </w:p>
        </w:tc>
        <w:tc>
          <w:tcPr>
            <w:tcW w:type="dxa" w:w="1536"/>
          </w:tcPr>
          <w:p>
            <w:pPr>
              <w:pStyle w:val="Compact"/>
              <w:jc w:val="right"/>
            </w:pPr>
            <w:r>
              <w:t xml:space="preserve">17.2–19.1</w:t>
            </w:r>
          </w:p>
        </w:tc>
        <w:tc>
          <w:tcPr>
            <w:tcW w:type="dxa" w:w="1389"/>
          </w:tcPr>
          <w:p>
            <w:pPr>
              <w:pStyle w:val="Compact"/>
              <w:jc w:val="right"/>
            </w:pPr>
            <w:r>
              <w:t xml:space="preserve">7.8–11.0</w:t>
            </w:r>
          </w:p>
        </w:tc>
        <w:tc>
          <w:tcPr>
            <w:tcW w:type="dxa" w:w="950"/>
          </w:tcPr>
          <w:p>
            <w:pPr>
              <w:pStyle w:val="Compact"/>
              <w:jc w:val="right"/>
            </w:pPr>
            <w:r>
              <w:t xml:space="preserve">≤ 0.012</w:t>
            </w:r>
          </w:p>
        </w:tc>
      </w:tr>
      <w:tr>
        <w:trPr>
          <w:cantSplit/>
        </w:trPr>
        <w:tc>
          <w:tcPr>
            <w:tcW w:type="dxa" w:w="2633"/>
          </w:tcPr>
          <w:p>
            <w:pPr>
              <w:pStyle w:val="Compact"/>
              <w:jc w:val="left"/>
            </w:pPr>
            <w:r>
              <w:t xml:space="preserve">2, st36</w:t>
            </w:r>
          </w:p>
        </w:tc>
        <w:tc>
          <w:tcPr>
            <w:tcW w:type="dxa" w:w="804"/>
          </w:tcPr>
          <w:p>
            <w:pPr>
              <w:pStyle w:val="Compact"/>
              <w:jc w:val="right"/>
            </w:pPr>
            <w:r>
              <w:t xml:space="preserve">8</w:t>
            </w:r>
          </w:p>
        </w:tc>
        <w:tc>
          <w:tcPr>
            <w:tcW w:type="dxa" w:w="1755"/>
          </w:tcPr>
          <w:p>
            <w:pPr>
              <w:pStyle w:val="Compact"/>
              <w:jc w:val="right"/>
            </w:pPr>
            <w:r>
              <w:t xml:space="preserve">−5.97 (−6.57, −5.38)</w:t>
            </w:r>
          </w:p>
        </w:tc>
        <w:tc>
          <w:tcPr>
            <w:tcW w:type="dxa" w:w="1536"/>
          </w:tcPr>
          <w:p>
            <w:pPr>
              <w:pStyle w:val="Compact"/>
              <w:jc w:val="right"/>
            </w:pPr>
            <w:r>
              <w:t xml:space="preserve">12.0</w:t>
            </w:r>
          </w:p>
        </w:tc>
        <w:tc>
          <w:tcPr>
            <w:tcW w:type="dxa" w:w="1389"/>
          </w:tcPr>
          <w:p>
            <w:pPr>
              <w:pStyle w:val="Compact"/>
              <w:jc w:val="right"/>
            </w:pPr>
            <w:r>
              <w:t xml:space="preserve">16.5</w:t>
            </w:r>
          </w:p>
        </w:tc>
        <w:tc>
          <w:tcPr>
            <w:tcW w:type="dxa" w:w="950"/>
          </w:tcPr>
          <w:p>
            <w:pPr>
              <w:pStyle w:val="Compact"/>
              <w:jc w:val="right"/>
            </w:pPr>
            <w:r>
              <w:t xml:space="preserve">0.73</w:t>
            </w:r>
          </w:p>
        </w:tc>
      </w:tr>
      <w:tr>
        <w:trPr>
          <w:cantSplit/>
        </w:trPr>
        <w:tc>
          <w:tcPr>
            <w:tcW w:type="dxa" w:w="2633"/>
          </w:tcPr>
          <w:p>
            <w:pPr>
              <w:pStyle w:val="Compact"/>
              <w:jc w:val="left"/>
            </w:pPr>
            <w:r>
              <w:t xml:space="preserve">2, gauge average (4 gauges)</w:t>
            </w:r>
          </w:p>
        </w:tc>
        <w:tc>
          <w:tcPr>
            <w:tcW w:type="dxa" w:w="804"/>
          </w:tcPr>
          <w:p>
            <w:pPr>
              <w:pStyle w:val="Compact"/>
              <w:jc w:val="right"/>
            </w:pPr>
            <w:r>
              <w:t xml:space="preserve">8</w:t>
            </w:r>
          </w:p>
        </w:tc>
        <w:tc>
          <w:tcPr>
            <w:tcW w:type="dxa" w:w="1755"/>
          </w:tcPr>
          <w:p>
            <w:pPr>
              <w:pStyle w:val="Compact"/>
              <w:jc w:val="right"/>
            </w:pPr>
            <w:r>
              <w:t xml:space="preserve">−4.12 (−4.62, −3.63)</w:t>
            </w:r>
          </w:p>
        </w:tc>
        <w:tc>
          <w:tcPr>
            <w:tcW w:type="dxa" w:w="1536"/>
          </w:tcPr>
          <w:p>
            <w:pPr>
              <w:pStyle w:val="Compact"/>
              <w:jc w:val="right"/>
            </w:pPr>
            <w:r>
              <w:t xml:space="preserve">14.4</w:t>
            </w:r>
          </w:p>
        </w:tc>
        <w:tc>
          <w:tcPr>
            <w:tcW w:type="dxa" w:w="1389"/>
          </w:tcPr>
          <w:p>
            <w:pPr>
              <w:pStyle w:val="Compact"/>
              <w:jc w:val="right"/>
            </w:pPr>
            <w:r>
              <w:t xml:space="preserve">20.2</w:t>
            </w:r>
          </w:p>
        </w:tc>
        <w:tc>
          <w:tcPr>
            <w:tcW w:type="dxa" w:w="950"/>
          </w:tcPr>
          <w:p>
            <w:pPr>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pPr>
      <w:r>
        <w:rPr>
          <w:bCs/>
          <w:b/>
        </w:rPr>
        <w:t xml:space="preserve">Table S7.</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righ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rPr>
          <w:cantSplit/>
        </w:trPr>
        <w:tc>
          <w:tcPr>
            <w:tcW w:type="dxa" w:w="3232"/>
          </w:tcPr>
          <w:p>
            <w:pPr>
              <w:pStyle w:val="Compact"/>
              <w:jc w:val="left"/>
            </w:pPr>
            <w:r>
              <w:t xml:space="preserve">1, ch11 (best)</w:t>
            </w:r>
          </w:p>
        </w:tc>
        <w:tc>
          <w:tcPr>
            <w:tcW w:type="dxa" w:w="2604"/>
          </w:tcPr>
          <w:p>
            <w:pPr>
              <w:pStyle w:val="Compact"/>
              <w:jc w:val="right"/>
            </w:pPr>
            <w:r>
              <w:t xml:space="preserve">0.996 (0.874–1.136)</w:t>
            </w:r>
          </w:p>
        </w:tc>
        <w:tc>
          <w:tcPr>
            <w:tcW w:type="dxa" w:w="3232"/>
          </w:tcPr>
          <w:p>
            <w:pPr>
              <w:pStyle w:val="Compact"/>
              <w:jc w:val="left"/>
            </w:pPr>
            <w:r>
              <w:t xml:space="preserve">shown within ±10 %</w:t>
            </w:r>
          </w:p>
        </w:tc>
      </w:tr>
      <w:tr>
        <w:trPr>
          <w:cantSplit/>
        </w:trPr>
        <w:tc>
          <w:tcPr>
            <w:tcW w:type="dxa" w:w="3232"/>
          </w:tcPr>
          <w:p>
            <w:pPr>
              <w:pStyle w:val="Compact"/>
              <w:jc w:val="left"/>
            </w:pPr>
            <w:r>
              <w:t xml:space="preserve">1, gauge average (4 wheel-path gauges)</w:t>
            </w:r>
          </w:p>
        </w:tc>
        <w:tc>
          <w:tcPr>
            <w:tcW w:type="dxa" w:w="2604"/>
          </w:tcPr>
          <w:p>
            <w:pPr>
              <w:pStyle w:val="Compact"/>
              <w:jc w:val="right"/>
            </w:pPr>
            <w:r>
              <w:t xml:space="preserve">0.955 (0.863–1.057)</w:t>
            </w:r>
          </w:p>
        </w:tc>
        <w:tc>
          <w:tcPr>
            <w:tcW w:type="dxa" w:w="3232"/>
          </w:tcPr>
          <w:p>
            <w:pPr>
              <w:pStyle w:val="Compact"/>
              <w:jc w:val="left"/>
            </w:pPr>
            <w:r>
              <w:t xml:space="preserve">shown only within ±11.8 %</w:t>
            </w:r>
          </w:p>
        </w:tc>
      </w:tr>
      <w:tr>
        <w:trPr>
          <w:cantSplit/>
        </w:trPr>
        <w:tc>
          <w:tcPr>
            <w:tcW w:type="dxa" w:w="3232"/>
          </w:tcPr>
          <w:p>
            <w:pPr>
              <w:pStyle w:val="Compact"/>
              <w:jc w:val="left"/>
            </w:pPr>
            <w:r>
              <w:t xml:space="preserve">1, ch1, ch2, ch8, ch9</w:t>
            </w:r>
          </w:p>
        </w:tc>
        <w:tc>
          <w:tcPr>
            <w:tcW w:type="dxa" w:w="2604"/>
          </w:tcPr>
          <w:p>
            <w:pPr>
              <w:pStyle w:val="Compact"/>
              <w:jc w:val="right"/>
            </w:pPr>
            <w:r>
              <w:t xml:space="preserve">0.740–0.783</w:t>
            </w:r>
          </w:p>
        </w:tc>
        <w:tc>
          <w:tcPr>
            <w:tcW w:type="dxa" w:w="3232"/>
          </w:tcPr>
          <w:p>
            <w:pPr>
              <w:pStyle w:val="Compact"/>
              <w:jc w:val="left"/>
            </w:pPr>
            <w:r>
              <w:t xml:space="preserve">invariance rejected (CIs exclude 1)</w:t>
            </w:r>
          </w:p>
        </w:tc>
      </w:tr>
      <w:tr>
        <w:trPr>
          <w:cantSplit/>
        </w:trPr>
        <w:tc>
          <w:tcPr>
            <w:tcW w:type="dxa" w:w="3232"/>
          </w:tcPr>
          <w:p>
            <w:pPr>
              <w:pStyle w:val="Compact"/>
              <w:jc w:val="left"/>
            </w:pPr>
            <w:r>
              <w:t xml:space="preserve">2, st36</w:t>
            </w:r>
          </w:p>
        </w:tc>
        <w:tc>
          <w:tcPr>
            <w:tcW w:type="dxa" w:w="2604"/>
          </w:tcPr>
          <w:p>
            <w:pPr>
              <w:pStyle w:val="Compact"/>
              <w:jc w:val="right"/>
            </w:pPr>
            <w:r>
              <w:t xml:space="preserve">1.005 (0.735–1.375)</w:t>
            </w:r>
          </w:p>
        </w:tc>
        <w:tc>
          <w:tcPr>
            <w:tcW w:type="dxa" w:w="3232"/>
          </w:tcPr>
          <w:p>
            <w:pPr>
              <w:pStyle w:val="Compact"/>
              <w:jc w:val="left"/>
            </w:pPr>
            <w:r>
              <w:t xml:space="preserve">not shown</w:t>
            </w:r>
          </w:p>
        </w:tc>
      </w:tr>
      <w:tr>
        <w:trPr>
          <w:cantSplit/>
        </w:trPr>
        <w:tc>
          <w:tcPr>
            <w:tcW w:type="dxa" w:w="3232"/>
          </w:tcPr>
          <w:p>
            <w:pPr>
              <w:pStyle w:val="Compact"/>
              <w:jc w:val="left"/>
            </w:pPr>
            <w:r>
              <w:t xml:space="preserve">2, gauge average (4 gauges)</w:t>
            </w:r>
          </w:p>
        </w:tc>
        <w:tc>
          <w:tcPr>
            <w:tcW w:type="dxa" w:w="2604"/>
          </w:tcPr>
          <w:p>
            <w:pPr>
              <w:pStyle w:val="Compact"/>
              <w:jc w:val="right"/>
            </w:pPr>
            <w:r>
              <w:t xml:space="preserve">0.978 (0.697–1.374)</w:t>
            </w:r>
          </w:p>
        </w:tc>
        <w:tc>
          <w:tcPr>
            <w:tcW w:type="dxa" w:w="3232"/>
          </w:tcPr>
          <w:p>
            <w:pPr>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w:t>
            </w:r>
            <w:r>
              <w:t xml:space="preserve"> </w:t>
            </w:r>
            <m:oMath>
              <m:sSup>
                <m:e>
                  <m:r>
                    <m:t>χ</m:t>
                  </m:r>
                </m:e>
                <m:sup>
                  <m:r>
                    <m:t>2</m:t>
                  </m:r>
                </m:sup>
              </m:sSup>
            </m:oMath>
            <w:r>
              <w:t xml:space="preserve"> </w:t>
            </w:r>
            <w:r>
              <w:t xml:space="preserve">test, Table S6)</w:t>
            </w:r>
          </w:p>
        </w:tc>
      </w:tr>
    </w:tbl>
    <w:p>
      <w:pPr>
        <w:pStyle w:val="BodyText"/>
        <w:keepNext/>
      </w:pPr>
      <w:r>
        <w:rPr>
          <w:bCs/>
          <w:b/>
        </w:rPr>
        <w:t xml:space="preserve">Table S8.</w:t>
      </w:r>
      <w:r>
        <w:t xml:space="preserve"> </w:t>
      </w:r>
      <w:r>
        <w:t xml:space="preserve">Mean absolute error of the gross weight (% of GVW), out of sample, with 95 % bootstrap CIs over the test runs (8 on day 2,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right"/>
            </w:pPr>
            <w:r>
              <w:t xml:space="preserve">Day 2, leave-one-run-out</w:t>
            </w:r>
          </w:p>
        </w:tc>
        <w:tc>
          <w:tcPr>
            <w:tcW w:type="dxa" w:w="840"/>
            <w:tcBorders>
              <w:top w:val="nil"/>
              <w:left w:val="nil"/>
              <w:bottom w:val="single" w:sz="6" w:space="0" w:color="000000"/>
              <w:right w:val="nil"/>
            </w:tcBorders>
          </w:tcPr>
          <w:p>
            <w:pPr>
              <w:pStyle w:val="Compact"/>
              <w:jc w:val="right"/>
            </w:pPr>
            <w:r>
              <w:t xml:space="preserve">Day 2, LOTO</w:t>
            </w:r>
          </w:p>
        </w:tc>
        <w:tc>
          <w:tcPr>
            <w:tcW w:type="dxa" w:w="1592"/>
            <w:tcBorders>
              <w:top w:val="nil"/>
              <w:left w:val="nil"/>
              <w:bottom w:val="single" w:sz="6" w:space="0" w:color="000000"/>
              <w:right w:val="nil"/>
            </w:tcBorders>
          </w:tcPr>
          <w:p>
            <w:pPr>
              <w:pStyle w:val="Compact"/>
              <w:jc w:val="right"/>
            </w:pPr>
            <w:r>
              <w:t xml:space="preserve">Day 1, 12 gauges</w:t>
            </w:r>
          </w:p>
        </w:tc>
        <w:tc>
          <w:tcPr>
            <w:tcW w:type="dxa" w:w="1987"/>
            <w:tcBorders>
              <w:top w:val="nil"/>
              <w:left w:val="nil"/>
              <w:bottom w:val="single" w:sz="6" w:space="0" w:color="000000"/>
              <w:right w:val="nil"/>
            </w:tcBorders>
          </w:tcPr>
          <w:p>
            <w:pPr>
              <w:pStyle w:val="Compact"/>
              <w:jc w:val="right"/>
            </w:pPr>
            <w:r>
              <w:t xml:space="preserve">Day 1, 4 wheel-path gauges</w:t>
            </w:r>
          </w:p>
        </w:tc>
      </w:tr>
      <w:tr>
        <w:trPr>
          <w:cantSplit/>
        </w:trPr>
        <w:tc>
          <w:tcPr>
            <w:tcW w:type="dxa" w:w="2292"/>
          </w:tcPr>
          <w:p>
            <w:pPr>
              <w:pStyle w:val="Compact"/>
              <w:jc w:val="left"/>
            </w:pPr>
            <w:r>
              <w:t xml:space="preserve">Best single gauge (chosen after the fact)</w:t>
            </w:r>
          </w:p>
        </w:tc>
        <w:tc>
          <w:tcPr>
            <w:tcW w:type="dxa" w:w="2356"/>
          </w:tcPr>
          <w:p>
            <w:pPr>
              <w:pStyle w:val="Compact"/>
              <w:jc w:val="right"/>
            </w:pPr>
            <w:r>
              <w:t xml:space="preserve">8.4 (2.9–15.3)</w:t>
            </w:r>
          </w:p>
        </w:tc>
        <w:tc>
          <w:tcPr>
            <w:tcW w:type="dxa" w:w="840"/>
          </w:tcPr>
          <w:p>
            <w:pPr>
              <w:pStyle w:val="Compact"/>
              <w:jc w:val="right"/>
            </w:pPr>
            <w:r>
              <w:t xml:space="preserve">7.6</w:t>
            </w:r>
          </w:p>
        </w:tc>
        <w:tc>
          <w:tcPr>
            <w:tcW w:type="dxa" w:w="1592"/>
          </w:tcPr>
          <w:p>
            <w:pPr>
              <w:pStyle w:val="Compact"/>
              <w:jc w:val="right"/>
            </w:pPr>
            <w:r>
              <w:t xml:space="preserve">4.8 (1.8–7.9)</w:t>
            </w:r>
          </w:p>
        </w:tc>
        <w:tc>
          <w:tcPr>
            <w:tcW w:type="dxa" w:w="1987"/>
          </w:tcPr>
          <w:p>
            <w:pPr>
              <w:pStyle w:val="Compact"/>
              <w:jc w:val="right"/>
            </w:pPr>
            <w:r>
              <w:t xml:space="preserve">4.8 (1.8–7.9)</w:t>
            </w:r>
          </w:p>
        </w:tc>
      </w:tr>
      <w:tr>
        <w:trPr>
          <w:cantSplit/>
        </w:trPr>
        <w:tc>
          <w:tcPr>
            <w:tcW w:type="dxa" w:w="2292"/>
          </w:tcPr>
          <w:p>
            <w:pPr>
              <w:pStyle w:val="Compact"/>
              <w:jc w:val="left"/>
            </w:pPr>
            <w:r>
              <w:t xml:space="preserve">Worst single gauge</w:t>
            </w:r>
          </w:p>
        </w:tc>
        <w:tc>
          <w:tcPr>
            <w:tcW w:type="dxa" w:w="2356"/>
          </w:tcPr>
          <w:p>
            <w:pPr>
              <w:pStyle w:val="Compact"/>
              <w:jc w:val="right"/>
            </w:pPr>
            <w:r>
              <w:t xml:space="preserve">27.9 (12.9–44.5)</w:t>
            </w:r>
          </w:p>
        </w:tc>
        <w:tc>
          <w:tcPr>
            <w:tcW w:type="dxa" w:w="840"/>
          </w:tcPr>
          <w:p>
            <w:pPr>
              <w:pStyle w:val="Compact"/>
              <w:jc w:val="right"/>
            </w:pPr>
            <w:r>
              <w:t xml:space="preserve">24.3</w:t>
            </w:r>
          </w:p>
        </w:tc>
        <w:tc>
          <w:tcPr>
            <w:tcW w:type="dxa" w:w="1592"/>
          </w:tcPr>
          <w:p>
            <w:pPr>
              <w:pStyle w:val="Compact"/>
              <w:jc w:val="right"/>
            </w:pPr>
            <w:r>
              <w:t xml:space="preserve">17.6 (11.0–23.4)</w:t>
            </w:r>
          </w:p>
        </w:tc>
        <w:tc>
          <w:tcPr>
            <w:tcW w:type="dxa" w:w="1987"/>
          </w:tcPr>
          <w:p>
            <w:pPr>
              <w:pStyle w:val="Compact"/>
              <w:jc w:val="right"/>
            </w:pPr>
            <w:r>
              <w:t xml:space="preserve">12.1</w:t>
            </w:r>
          </w:p>
        </w:tc>
      </w:tr>
      <w:tr>
        <w:trPr>
          <w:cantSplit/>
        </w:trPr>
        <w:tc>
          <w:tcPr>
            <w:tcW w:type="dxa" w:w="2292"/>
          </w:tcPr>
          <w:p>
            <w:pPr>
              <w:pStyle w:val="Compact"/>
              <w:jc w:val="left"/>
            </w:pPr>
            <w:r>
              <w:t xml:space="preserve">Gauge average</w:t>
            </w:r>
          </w:p>
        </w:tc>
        <w:tc>
          <w:tcPr>
            <w:tcW w:type="dxa" w:w="2356"/>
          </w:tcPr>
          <w:p>
            <w:pPr>
              <w:pStyle w:val="Compact"/>
              <w:jc w:val="right"/>
            </w:pPr>
            <w:r>
              <w:t xml:space="preserve">11.9 (6.0–18.6)</w:t>
            </w:r>
          </w:p>
        </w:tc>
        <w:tc>
          <w:tcPr>
            <w:tcW w:type="dxa" w:w="840"/>
          </w:tcPr>
          <w:p>
            <w:pPr>
              <w:pStyle w:val="Compact"/>
              <w:jc w:val="right"/>
            </w:pPr>
            <w:r>
              <w:t xml:space="preserve">11.1</w:t>
            </w:r>
          </w:p>
        </w:tc>
        <w:tc>
          <w:tcPr>
            <w:tcW w:type="dxa" w:w="1592"/>
          </w:tcPr>
          <w:p>
            <w:pPr>
              <w:pStyle w:val="Compact"/>
              <w:jc w:val="right"/>
            </w:pPr>
            <w:r>
              <w:t xml:space="preserve">5.3 (2.5–7.8)</w:t>
            </w:r>
          </w:p>
        </w:tc>
        <w:tc>
          <w:tcPr>
            <w:tcW w:type="dxa" w:w="1987"/>
          </w:tcPr>
          <w:p>
            <w:pPr>
              <w:pStyle w:val="Compact"/>
              <w:jc w:val="right"/>
            </w:pPr>
            <w:r>
              <w:t xml:space="preserve">5.4 (3.3–7.4)</w:t>
            </w:r>
          </w:p>
        </w:tc>
      </w:tr>
      <w:tr>
        <w:trPr>
          <w:cantSplit/>
        </w:trPr>
        <w:tc>
          <w:tcPr>
            <w:tcW w:type="dxa" w:w="2292"/>
          </w:tcPr>
          <w:p>
            <w:pPr>
              <w:pStyle w:val="Compact"/>
              <w:jc w:val="left"/>
            </w:pPr>
            <w:r>
              <w:t xml:space="preserve">GLS, diagonal</w:t>
            </w:r>
            <w:r>
              <w:t xml:space="preserve"> </w:t>
            </w:r>
            <m:oMath>
              <m:r>
                <m:t>Σ</m:t>
              </m:r>
            </m:oMath>
          </w:p>
        </w:tc>
        <w:tc>
          <w:tcPr>
            <w:tcW w:type="dxa" w:w="2356"/>
          </w:tcPr>
          <w:p>
            <w:pPr>
              <w:pStyle w:val="Compact"/>
              <w:jc w:val="right"/>
            </w:pPr>
            <w:r>
              <w:t xml:space="preserve">11.4 (6.0–18.0)</w:t>
            </w:r>
          </w:p>
        </w:tc>
        <w:tc>
          <w:tcPr>
            <w:tcW w:type="dxa" w:w="840"/>
          </w:tcPr>
          <w:p>
            <w:pPr>
              <w:pStyle w:val="Compact"/>
              <w:jc w:val="right"/>
            </w:pPr>
            <w:r>
              <w:t xml:space="preserve">10.8</w:t>
            </w:r>
          </w:p>
        </w:tc>
        <w:tc>
          <w:tcPr>
            <w:tcW w:type="dxa" w:w="1592"/>
          </w:tcPr>
          <w:p>
            <w:pPr>
              <w:pStyle w:val="Compact"/>
              <w:jc w:val="right"/>
            </w:pPr>
            <w:r>
              <w:t xml:space="preserve">5.3 (2.5–8.0)</w:t>
            </w:r>
          </w:p>
        </w:tc>
        <w:tc>
          <w:tcPr>
            <w:tcW w:type="dxa" w:w="1987"/>
          </w:tcPr>
          <w:p>
            <w:pPr>
              <w:pStyle w:val="Compact"/>
              <w:jc w:val="right"/>
            </w:pPr>
            <w:r>
              <w:t xml:space="preserve">5.2 (3.3–7.1)</w:t>
            </w:r>
          </w:p>
        </w:tc>
      </w:tr>
      <w:tr>
        <w:trPr>
          <w:cantSplit/>
        </w:trPr>
        <w:tc>
          <w:tcPr>
            <w:tcW w:type="dxa" w:w="2292"/>
          </w:tcPr>
          <w:p>
            <w:pPr>
              <w:pStyle w:val="Compact"/>
              <w:jc w:val="left"/>
            </w:pPr>
            <w:r>
              <w:t xml:space="preserve">GLS, measured</w:t>
            </w:r>
            <w:r>
              <w:t xml:space="preserve"> </w:t>
            </w:r>
            <m:oMath>
              <m:r>
                <m:t>Σ</m:t>
              </m:r>
            </m:oMath>
          </w:p>
        </w:tc>
        <w:tc>
          <w:tcPr>
            <w:tcW w:type="dxa" w:w="2356"/>
          </w:tcPr>
          <w:p>
            <w:pPr>
              <w:pStyle w:val="Compact"/>
              <w:jc w:val="right"/>
            </w:pPr>
            <w:r>
              <w:t xml:space="preserve">20.4 (12.3–28.8)</w:t>
            </w:r>
          </w:p>
        </w:tc>
        <w:tc>
          <w:tcPr>
            <w:tcW w:type="dxa" w:w="840"/>
          </w:tcPr>
          <w:p>
            <w:pPr>
              <w:pStyle w:val="Compact"/>
              <w:jc w:val="right"/>
            </w:pPr>
            <w:r>
              <w:t xml:space="preserve">17.7</w:t>
            </w:r>
          </w:p>
        </w:tc>
        <w:tc>
          <w:tcPr>
            <w:tcW w:type="dxa" w:w="1592"/>
          </w:tcPr>
          <w:p>
            <w:pPr>
              <w:pStyle w:val="Compact"/>
              <w:jc w:val="right"/>
            </w:pPr>
            <w:r>
              <w:t xml:space="preserve">5.8 (3.5–8.1)</w:t>
            </w:r>
          </w:p>
        </w:tc>
        <w:tc>
          <w:tcPr>
            <w:tcW w:type="dxa" w:w="1987"/>
          </w:tcPr>
          <w:p>
            <w:pPr>
              <w:pStyle w:val="Compact"/>
              <w:jc w:val="right"/>
            </w:pPr>
            <w:r>
              <w:t xml:space="preserve">4.9 (3.0–6.9)</w:t>
            </w:r>
          </w:p>
        </w:tc>
      </w:tr>
      <w:tr>
        <w:trPr>
          <w:cantSplit/>
        </w:trPr>
        <w:tc>
          <w:tcPr>
            <w:tcW w:type="dxa" w:w="2292"/>
          </w:tcPr>
          <w:p>
            <w:pPr>
              <w:pStyle w:val="Compact"/>
              <w:jc w:val="left"/>
            </w:pPr>
            <w:r>
              <w:t xml:space="preserve">Zero-sum, measured</w:t>
            </w:r>
            <w:r>
              <w:t xml:space="preserve"> </w:t>
            </w:r>
            <m:oMath>
              <m:r>
                <m:t>Σ</m:t>
              </m:r>
            </m:oMath>
          </w:p>
        </w:tc>
        <w:tc>
          <w:tcPr>
            <w:tcW w:type="dxa" w:w="2356"/>
          </w:tcPr>
          <w:p>
            <w:pPr>
              <w:pStyle w:val="Compact"/>
              <w:jc w:val="right"/>
            </w:pPr>
            <w:r>
              <w:t xml:space="preserve">20.3 (12.4–28.6)</w:t>
            </w:r>
          </w:p>
        </w:tc>
        <w:tc>
          <w:tcPr>
            <w:tcW w:type="dxa" w:w="840"/>
          </w:tcPr>
          <w:p>
            <w:pPr>
              <w:pStyle w:val="Compact"/>
              <w:jc w:val="right"/>
            </w:pPr>
            <w:r>
              <w:t xml:space="preserve">18.0</w:t>
            </w:r>
          </w:p>
        </w:tc>
        <w:tc>
          <w:tcPr>
            <w:tcW w:type="dxa" w:w="1592"/>
          </w:tcPr>
          <w:p>
            <w:pPr>
              <w:pStyle w:val="Compact"/>
              <w:jc w:val="right"/>
            </w:pPr>
            <w:r>
              <w:t xml:space="preserve">6.0 (2.9–9.3)</w:t>
            </w:r>
          </w:p>
        </w:tc>
        <w:tc>
          <w:tcPr>
            <w:tcW w:type="dxa" w:w="1987"/>
          </w:tcPr>
          <w:p>
            <w:pPr>
              <w:pStyle w:val="Compact"/>
              <w:jc w:val="right"/>
            </w:pPr>
            <w:r>
              <w:t xml:space="preserve">8.3 (3.9–13.4)</w:t>
            </w:r>
          </w:p>
        </w:tc>
      </w:tr>
      <w:tr>
        <w:trPr>
          <w:cantSplit/>
        </w:trP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right"/>
            </w:pPr>
            <w:r>
              <w:t xml:space="preserve">12.3 (6.1–20.2)</w:t>
            </w:r>
          </w:p>
        </w:tc>
        <w:tc>
          <w:tcPr>
            <w:tcW w:type="dxa" w:w="840"/>
          </w:tcPr>
          <w:p>
            <w:pPr>
              <w:pStyle w:val="Compact"/>
              <w:jc w:val="right"/>
            </w:pPr>
            <w:r>
              <w:t xml:space="preserve">10.8</w:t>
            </w:r>
          </w:p>
        </w:tc>
        <w:tc>
          <w:tcPr>
            <w:tcW w:type="dxa" w:w="1592"/>
          </w:tcPr>
          <w:p>
            <w:pPr>
              <w:pStyle w:val="Compact"/>
              <w:jc w:val="right"/>
            </w:pPr>
            <w:r>
              <w:t xml:space="preserve">13.0 (7.1–19.0)</w:t>
            </w:r>
          </w:p>
        </w:tc>
        <w:tc>
          <w:tcPr>
            <w:tcW w:type="dxa" w:w="1987"/>
          </w:tcPr>
          <w:p>
            <w:pPr>
              <w:pStyle w:val="Compact"/>
              <w:jc w:val="right"/>
            </w:pPr>
            <w:r>
              <w:t xml:space="preserve">8.4 (4.6–12.9)</w:t>
            </w:r>
          </w:p>
        </w:tc>
      </w:tr>
      <w:tr>
        <w:trPr>
          <w:cantSplit/>
        </w:trPr>
        <w:tc>
          <w:tcPr>
            <w:tcW w:type="dxa" w:w="2292"/>
          </w:tcPr>
          <w:p>
            <w:pPr>
              <w:pStyle w:val="Compact"/>
              <w:jc w:val="left"/>
            </w:pPr>
            <w:r>
              <w:t xml:space="preserve">Mean-weight predictor (mean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pPr>
      <w:r>
        <w:rPr>
          <w:bCs/>
          <w:b/>
        </w:rPr>
        <w:t xml:space="preserve">Table S9.</w:t>
      </w:r>
      <w:r>
        <w:t xml:space="preserve"> </w:t>
      </w:r>
      <w:r>
        <w:t xml:space="preserve">Correlation between gauges of the integrated strain: means over gauge pairs, with 95 % bootstrap CIs in parentheses.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right"/>
            </w:pPr>
            <w:r>
              <w:t xml:space="preserve">Day 2, 4 gauges</w:t>
            </w:r>
          </w:p>
        </w:tc>
        <w:tc>
          <w:tcPr>
            <w:tcW w:type="dxa" w:w="2636"/>
            <w:tcBorders>
              <w:top w:val="nil"/>
              <w:left w:val="nil"/>
              <w:bottom w:val="single" w:sz="6" w:space="0" w:color="000000"/>
              <w:right w:val="nil"/>
            </w:tcBorders>
          </w:tcPr>
          <w:p>
            <w:pPr>
              <w:pStyle w:val="Compact"/>
              <w:jc w:val="right"/>
            </w:pPr>
            <w:r>
              <w:t xml:space="preserve">Day 1, 12 gauges</w:t>
            </w:r>
          </w:p>
        </w:tc>
      </w:tr>
      <w:tr>
        <w:trPr>
          <w:cantSplit/>
        </w:trPr>
        <w:tc>
          <w:tcPr>
            <w:tcW w:type="dxa" w:w="3796"/>
          </w:tcPr>
          <w:p>
            <w:pPr>
              <w:pStyle w:val="Compact"/>
              <w:jc w:val="left"/>
            </w:pPr>
            <w:r>
              <w:t xml:space="preserve">vehicle-free noise, non-overlapping windows</w:t>
            </w:r>
          </w:p>
        </w:tc>
        <w:tc>
          <w:tcPr>
            <w:tcW w:type="dxa" w:w="2636"/>
          </w:tcPr>
          <w:p>
            <w:pPr>
              <w:pStyle w:val="Compact"/>
              <w:jc w:val="right"/>
            </w:pPr>
            <w:r>
              <w:t xml:space="preserve">0.92 (0.83–0.96)</w:t>
            </w:r>
          </w:p>
        </w:tc>
        <w:tc>
          <w:tcPr>
            <w:tcW w:type="dxa" w:w="2636"/>
          </w:tcPr>
          <w:p>
            <w:pPr>
              <w:pStyle w:val="Compact"/>
              <w:jc w:val="right"/>
            </w:pPr>
            <w:r>
              <w:t xml:space="preserve">0.42 (0.26–0.54)</w:t>
            </w:r>
          </w:p>
        </w:tc>
      </w:tr>
      <w:tr>
        <w:trPr>
          <w:cantSplit/>
        </w:trPr>
        <w:tc>
          <w:tcPr>
            <w:tcW w:type="dxa" w:w="3796"/>
          </w:tcPr>
          <w:p>
            <w:pPr>
              <w:pStyle w:val="Compact"/>
              <w:jc w:val="left"/>
            </w:pPr>
            <w:r>
              <w:t xml:space="preserve">vehicle-free noise, window length of each crossing</w:t>
            </w:r>
          </w:p>
        </w:tc>
        <w:tc>
          <w:tcPr>
            <w:tcW w:type="dxa" w:w="2636"/>
          </w:tcPr>
          <w:p>
            <w:pPr>
              <w:pStyle w:val="Compact"/>
              <w:jc w:val="right"/>
            </w:pPr>
            <w:r>
              <w:t xml:space="preserve">0.90</w:t>
            </w:r>
          </w:p>
        </w:tc>
        <w:tc>
          <w:tcPr>
            <w:tcW w:type="dxa" w:w="2636"/>
          </w:tcPr>
          <w:p>
            <w:pPr>
              <w:pStyle w:val="Compact"/>
              <w:jc w:val="right"/>
            </w:pPr>
            <w:r>
              <w:t xml:space="preserve">–</w:t>
            </w:r>
          </w:p>
        </w:tc>
      </w:tr>
      <w:tr>
        <w:trPr>
          <w:cantSplit/>
        </w:trPr>
        <w:tc>
          <w:tcPr>
            <w:tcW w:type="dxa" w:w="3796"/>
          </w:tcPr>
          <w:p>
            <w:pPr>
              <w:pStyle w:val="Compact"/>
              <w:jc w:val="left"/>
            </w:pPr>
            <w:r>
              <w:t xml:space="preserve">crossing residuals</w:t>
            </w:r>
          </w:p>
        </w:tc>
        <w:tc>
          <w:tcPr>
            <w:tcW w:type="dxa" w:w="2636"/>
          </w:tcPr>
          <w:p>
            <w:pPr>
              <w:pStyle w:val="Compact"/>
              <w:jc w:val="right"/>
            </w:pPr>
            <w:r>
              <w:t xml:space="preserve">0.63</w:t>
            </w:r>
          </w:p>
        </w:tc>
        <w:tc>
          <w:tcPr>
            <w:tcW w:type="dxa" w:w="2636"/>
          </w:tcPr>
          <w:p>
            <w:pPr>
              <w:pStyle w:val="Compact"/>
              <w:jc w:val="right"/>
            </w:pPr>
            <w:r>
              <w:t xml:space="preserve">–</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pPr>
      <w:r>
        <w:rPr>
          <w:bCs/>
          <w:b/>
        </w:rPr>
        <w:t xml:space="preserve">Table S10.</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 Row 1 is the mean of the leave-one-run-out predictions; on the all-run basis of row 2, the vehicle-free value for GLS is 12.8.</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right"/>
            </w:pPr>
            <w:r>
              <w:t xml:space="preserve">Gauge average</w:t>
            </w:r>
          </w:p>
        </w:tc>
      </w:tr>
      <w:tr>
        <w:trPr>
          <w:cantSplit/>
        </w:trPr>
        <w:tc>
          <w:tcPr>
            <w:tcW w:type="dxa" w:w="4597"/>
          </w:tcPr>
          <w:p>
            <w:pPr>
              <w:pStyle w:val="Compact"/>
              <w:jc w:val="left"/>
            </w:pPr>
            <w:r>
              <w:t xml:space="preserve">SD predicted from the vehicle-free covariance</w:t>
            </w:r>
          </w:p>
        </w:tc>
        <w:tc>
          <w:tcPr>
            <w:tcW w:type="dxa" w:w="2360"/>
          </w:tcPr>
          <w:p>
            <w:pPr>
              <w:pStyle w:val="Compact"/>
              <w:jc w:val="right"/>
            </w:pPr>
            <w:r>
              <w:t xml:space="preserve">12.7</w:t>
            </w:r>
          </w:p>
        </w:tc>
        <w:tc>
          <w:tcPr>
            <w:tcW w:type="dxa" w:w="2112"/>
          </w:tcPr>
          <w:p>
            <w:pPr>
              <w:pStyle w:val="Compact"/>
              <w:jc w:val="right"/>
            </w:pPr>
            <w:r>
              <w:t xml:space="preserve">19.8</w:t>
            </w:r>
          </w:p>
        </w:tc>
      </w:tr>
      <w:tr>
        <w:trPr>
          <w:cantSplit/>
        </w:trPr>
        <w:tc>
          <w:tcPr>
            <w:tcW w:type="dxa" w:w="4597"/>
          </w:tcPr>
          <w:p>
            <w:pPr>
              <w:pStyle w:val="Compact"/>
              <w:jc w:val="left"/>
            </w:pPr>
            <w:r>
              <w:t xml:space="preserve">SD predicted from the covariance of the crossing residuals</w:t>
            </w:r>
          </w:p>
        </w:tc>
        <w:tc>
          <w:tcPr>
            <w:tcW w:type="dxa" w:w="2360"/>
          </w:tcPr>
          <w:p>
            <w:pPr>
              <w:pStyle w:val="Compact"/>
              <w:jc w:val="right"/>
            </w:pPr>
            <w:r>
              <w:t xml:space="preserve">21.0</w:t>
            </w:r>
          </w:p>
        </w:tc>
        <w:tc>
          <w:tcPr>
            <w:tcW w:type="dxa" w:w="2112"/>
          </w:tcPr>
          <w:p>
            <w:pPr>
              <w:pStyle w:val="Compact"/>
              <w:jc w:val="right"/>
            </w:pPr>
            <w:r>
              <w:t xml:space="preserve">14.6</w:t>
            </w:r>
          </w:p>
        </w:tc>
      </w:tr>
      <w:tr>
        <w:trPr>
          <w:cantSplit/>
        </w:trPr>
        <w:tc>
          <w:tcPr>
            <w:tcW w:type="dxa" w:w="4597"/>
          </w:tcPr>
          <w:p>
            <w:pPr>
              <w:pStyle w:val="Compact"/>
              <w:jc w:val="left"/>
            </w:pPr>
            <w:r>
              <w:t xml:space="preserve">Observed MAE, leave-one-run-out (main 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mây-bridge"/>
    <w:p>
      <w:pPr>
        <w:pStyle w:val="Heading2"/>
      </w:pPr>
      <w:r>
        <w:t xml:space="preserve">S8.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S11). Mitutoyo dial gauges, mounted on independent frames fixed to the ground, read the peak deflection under central and eccentric transverse positions at three measuring points across each section (Table S12).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Tolerance. The six readings of each section have a standard deviation of 4.7–5.0 % about their mean (Table S12), so the standard error of the mean is 1.9–2.0 %. Dividing the six-reading SD by</w:t>
      </w:r>
      <w:r>
        <w:t xml:space="preserve"> </w:t>
      </w:r>
      <m:oMath>
        <m:rad>
          <m:radPr>
            <m:degHide m:val="on"/>
          </m:radPr>
          <m:deg/>
          <m:e>
            <m:r>
              <m:t>6</m:t>
            </m:r>
          </m:e>
        </m:rad>
      </m:oMath>
      <w:r>
        <w:t xml:space="preserve"> </w:t>
      </w:r>
      <w:r>
        <w:t xml:space="preserve">treats the transverse readings as independent samples; this is an assumption, because the scatter comes from the transverse positions and the readings are not replicates. The model-form standard uncertainty of 1.75 % is half the spread of</w:t>
      </w:r>
      <w:r>
        <w:t xml:space="preserve"> </w:t>
      </w:r>
      <m:oMath>
        <m:r>
          <m:rPr>
            <m:sty m:val="p"/>
          </m:rPr>
          <m:t>ln</m:t>
        </m:r>
      </m:oMath>
      <w:r>
        <w:t xml:space="preserve"> </w:t>
      </w:r>
      <w:r>
        <w:t xml:space="preserve">of the predicted N8-to-N7 ratio across the model-form variants at the minimum of the misfit ratio (</w:t>
      </w:r>
      <m:oMath>
        <m:r>
          <m:t>κ</m:t>
        </m:r>
      </m:oMath>
      <w:r>
        <w:t xml:space="preserve"> </w:t>
      </w:r>
      <w:r>
        <w:t xml:space="preserve">= 1.68 × 10⁸ kN m/rad), divided by</w:t>
      </w:r>
      <w:r>
        <w:t xml:space="preserve"> </w:t>
      </w:r>
      <m:oMath>
        <m:rad>
          <m:radPr>
            <m:degHide m:val="on"/>
          </m:radPr>
          <m:deg/>
          <m:e>
            <m:r>
              <m:t>2</m:t>
            </m:r>
          </m:e>
        </m:rad>
      </m:oMath>
      <w:r>
        <w:t xml:space="preserve"> </w:t>
      </w:r>
      <w:r>
        <w:t xml:space="preserve">to give a per-gauge value (script</w:t>
      </w:r>
      <w:r>
        <w:t xml:space="preserve"> </w:t>
      </w:r>
      <w:r>
        <w:rPr>
          <w:rStyle w:val="VerbatimChar"/>
        </w:rPr>
        <w:t xml:space="preserve">ident_static.py</w:t>
      </w:r>
      <w:r>
        <w:t xml:space="preserve">). Combined in quadrature with the pooled standard error of the mean, it gives 2.64 % for each section mean and</w:t>
      </w:r>
      <w:r>
        <w:t xml:space="preserve"> </w:t>
      </w:r>
      <m:oMath>
        <m:r>
          <m:t>τ</m:t>
        </m:r>
      </m:oMath>
      <w:r>
        <w:t xml:space="preserve"> </w:t>
      </w:r>
      <w:r>
        <w:t xml:space="preserve">= 5.3 % at two standard deviations.</w:t>
      </w:r>
    </w:p>
    <w:p>
      <w:pPr>
        <w:pStyle w:val="BodyText"/>
      </w:pPr>
      <w:r>
        <w:t xml:space="preserve">Admissible sets (Table S13). The conclusions depend on the tolerance, so Table S13 gives the admissible set at</w:t>
      </w:r>
      <w:r>
        <w:t xml:space="preserve"> </w:t>
      </w:r>
      <m:oMath>
        <m:r>
          <m:t>τ</m:t>
        </m:r>
      </m:oMath>
      <w:r>
        <w:t xml:space="preserve"> </w:t>
      </w:r>
      <w:r>
        <w:t xml:space="preserve">= 3, 4 and 5.3 %.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 The ratio of the largest to the smallest</w:t>
      </w:r>
      <w:r>
        <w:t xml:space="preserve"> </w:t>
      </w:r>
      <m:oMath>
        <m:sSub>
          <m:e>
            <m:r>
              <m:t>C</m:t>
            </m:r>
          </m:e>
          <m:sub>
            <m:r>
              <m:t>8</m:t>
            </m:r>
          </m:sub>
        </m:sSub>
      </m:oMath>
      <w:r>
        <w:t xml:space="preserve"> </w:t>
      </w:r>
      <w:r>
        <w:t xml:space="preserve">over the admissible set is 1.5 at</w:t>
      </w:r>
      <w:r>
        <w:t xml:space="preserve"> </w:t>
      </w:r>
      <m:oMath>
        <m:r>
          <m:t>τ</m:t>
        </m:r>
      </m:oMath>
      <w:r>
        <w:t xml:space="preserve"> </w:t>
      </w:r>
      <w:r>
        <w:t xml:space="preserve">= 3 %, 3.4 at 4 % and 6.6 at 5.3 %, and 2.4 at 5.3 % with the prior</w:t>
      </w:r>
      <w:r>
        <w:t xml:space="preserve"> </w:t>
      </w:r>
      <m:oMath>
        <m:r>
          <m:t>α</m:t>
        </m:r>
      </m:oMath>
      <w:r>
        <w:t xml:space="preserve"> </w:t>
      </w:r>
      <w:r>
        <w:t xml:space="preserve">= 0.9–1.3; for</w:t>
      </w:r>
      <w:r>
        <w:t xml:space="preserve"> </w:t>
      </w:r>
      <m:oMath>
        <m:sSub>
          <m:e>
            <m:r>
              <m:t>C</m:t>
            </m:r>
          </m:e>
          <m:sub>
            <m:r>
              <m:t>7</m:t>
            </m:r>
          </m:sub>
        </m:sSub>
      </m:oMath>
      <w:r>
        <w:t xml:space="preserve"> </w:t>
      </w:r>
      <w:r>
        <w:t xml:space="preserve">the same ratios are 1.1, 1.4, 1.5 and 1.1. The upper end of</w:t>
      </w:r>
      <w:r>
        <w:t xml:space="preserve"> </w:t>
      </w:r>
      <m:oMath>
        <m:sSub>
          <m:e>
            <m:r>
              <m:t>C</m:t>
            </m:r>
          </m:e>
          <m:sub>
            <m:r>
              <m:t>8</m:t>
            </m:r>
          </m:sub>
        </m:sSub>
      </m:oMath>
      <w:r>
        <w:t xml:space="preserve"> </w:t>
      </w:r>
      <w:r>
        <w:t xml:space="preserve">at 5.3 %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w:t>
      </w:r>
    </w:p>
    <w:p>
      <w:pPr>
        <w:pStyle w:val="BodyText"/>
      </w:pPr>
      <w:r>
        <w:t xml:space="preserve">Frequencies. The measured vertical frequencies (3.43–3.64 Hz; Table S14)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on the standard deviation of</w:t>
      </w:r>
      <w:r>
        <w:t xml:space="preserve"> </w:t>
      </w:r>
      <m:oMath>
        <m:r>
          <m:rPr>
            <m:sty m:val="p"/>
          </m:rPr>
          <m:t>ln</m:t>
        </m:r>
        <m:sSub>
          <m:e>
            <m:r>
              <m:t>C</m:t>
            </m:r>
          </m:e>
          <m:sub>
            <m:r>
              <m:t>8</m:t>
            </m:r>
          </m:sub>
        </m:sSub>
      </m:oMath>
      <w:r>
        <w:t xml:space="preserve"> </w:t>
      </w:r>
      <w:r>
        <w:t xml:space="preserve">that the first and third frequencies would give assumes a measurement that was not made. The bounds of Section 5.3 are evaluated at the design pier stiffness,</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w:t>
      </w:r>
      <w:r>
        <w:t xml:space="preserve"> </w:t>
      </w:r>
      <m:oMath>
        <m:sSup>
          <m:e>
            <m:r>
              <m:t>α</m:t>
            </m:r>
          </m:e>
          <m:sup>
            <m:r>
              <m:rPr>
                <m:nor/>
              </m:rPr>
              <m:t>*</m:t>
            </m:r>
          </m:sup>
        </m:sSup>
        <m:r>
          <m:rPr>
            <m:sty m:val="p"/>
          </m:rPr>
          <m:t>=</m:t>
        </m:r>
        <m:r>
          <m:t>1.07</m:t>
        </m:r>
      </m:oMath>
      <w:r>
        <w:t xml:space="preserve"> </w:t>
      </w:r>
      <w:r>
        <w:t xml:space="preserve">(Fig. 7b).</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pPr>
      <w:r>
        <w:rPr>
          <w:bCs/>
          <w:b/>
        </w:rPr>
        <w:t xml:space="preserve">Figure S14.</w:t>
      </w:r>
      <w:r>
        <w:t xml:space="preserve"> </w:t>
      </w:r>
      <w:r>
        <w:t xml:space="preserve">Mây Bridge: first, second and third vertical frequencies against the scaled pier stiffness</w:t>
      </w:r>
      <w:r>
        <w:t xml:space="preserve"> </w:t>
      </w:r>
      <m:oMath>
        <m:r>
          <m:t>κ</m:t>
        </m:r>
      </m:oMath>
      <w:r>
        <w:t xml:space="preserve">, for low, base and high mass, with the measured band. Curves for</w:t>
      </w:r>
      <w:r>
        <w:t xml:space="preserve"> </w:t>
      </w:r>
      <m:oMath>
        <m:r>
          <m:t>α</m:t>
        </m:r>
        <m:r>
          <m:rPr>
            <m:sty m:val="p"/>
          </m:rPr>
          <m:t>=</m:t>
        </m:r>
        <m:r>
          <m:t>1</m:t>
        </m:r>
      </m:oMath>
      <w:r>
        <w:t xml:space="preserve"> </w:t>
      </w:r>
      <w:r>
        <w:t xml:space="preserve">with the dynamic modulus equal to the static modulus; frequencies scale with</w:t>
      </w:r>
      <w:r>
        <w:t xml:space="preserve"> </w:t>
      </w:r>
      <m:oMath>
        <m:rad>
          <m:radPr>
            <m:degHide m:val="on"/>
          </m:radPr>
          <m:deg/>
          <m:e>
            <m:r>
              <m:t>α</m:t>
            </m:r>
          </m:e>
        </m:rad>
      </m:oMath>
      <w:r>
        <w:t xml:space="preserve">.</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pPr>
      <w:r>
        <w:rPr>
          <w:bCs/>
          <w:b/>
        </w:rPr>
        <w:t xml:space="preserve">Figure S15.</w:t>
      </w:r>
      <w:r>
        <w:t xml:space="preserve"> </w:t>
      </w:r>
      <w:r>
        <w:t xml:space="preserve">Mây Bridge: static misfit over the rigidity factor</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 dashed 3.43 Hz, solid 3.64 Hz; green, red and blue for low, base and high mass. Yellow: first-frequency contours (base mass). White dotted line: best static fit</w:t>
      </w:r>
      <w:r>
        <w:t xml:space="preserve"> </w:t>
      </w:r>
      <m:oMath>
        <m:sSup>
          <m:e>
            <m:r>
              <m:t>α</m:t>
            </m:r>
          </m:e>
          <m:sup>
            <m:r>
              <m:rPr>
                <m:nor/>
              </m:rPr>
              <m:t>*</m:t>
            </m:r>
          </m:sup>
        </m:sSup>
        <m:d>
          <m:dPr>
            <m:begChr m:val="("/>
            <m:endChr m:val=")"/>
            <m:sepChr m:val=""/>
            <m:grow/>
          </m:dPr>
          <m:e>
            <m:r>
              <m:t>κ</m:t>
            </m:r>
          </m:e>
        </m:d>
      </m:oMath>
      <w:r>
        <w:t xml:space="preserve">. Open circle A: calibration A; filled circle A′: best static</w:t>
      </w:r>
      <w:r>
        <w:t xml:space="preserve"> </w:t>
      </w:r>
      <m:oMath>
        <m:r>
          <m:t>α</m:t>
        </m:r>
      </m:oMath>
      <w:r>
        <w:t xml:space="preserve"> </w:t>
      </w:r>
      <w:r>
        <w:t xml:space="preserve">at the design</w:t>
      </w:r>
      <w:r>
        <w:t xml:space="preserve"> </w:t>
      </w:r>
      <m:oMath>
        <m:r>
          <m:t>k</m:t>
        </m:r>
      </m:oMath>
      <w:r>
        <w:t xml:space="preserve">; square B: calibration B. Gray scale: maximum static misfit; the 5.27 % level is</w:t>
      </w:r>
      <w:r>
        <w:t xml:space="preserve"> </w:t>
      </w:r>
      <m:oMath>
        <m:r>
          <m:t>τ</m:t>
        </m:r>
      </m:oMath>
      <w:r>
        <w:t xml:space="preserve">.</w:t>
      </w:r>
    </w:p>
    <w:p>
      <w:pPr>
        <w:pStyle w:val="BodyText"/>
      </w:pPr>
      <w:r>
        <w:t xml:space="preserve">Indicators and channels (Table S15). In the base model,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 A rotation reading at the end bearing T8 adds little, because its sensitivity duplicates that of N8. At calibration B the two-reading Fisher matrix is singular, so the deflections alone cannot bound</w:t>
      </w:r>
      <w:r>
        <w:t xml:space="preserve"> </w:t>
      </w:r>
      <m:oMath>
        <m:r>
          <m:rPr>
            <m:sty m:val="p"/>
          </m:rPr>
          <m:t>ln</m:t>
        </m:r>
        <m:sSub>
          <m:e>
            <m:r>
              <m:t>C</m:t>
            </m:r>
          </m:e>
          <m:sub>
            <m:r>
              <m:t>8</m:t>
            </m:r>
          </m:sub>
        </m:sSub>
      </m:oMath>
      <w:r>
        <w:t xml:space="preserve"> </w:t>
      </w:r>
      <w:r>
        <w:t xml:space="preserve">(Section S5); with the pier tiltmeter the bound is 0.04.</w:t>
      </w:r>
    </w:p>
    <w:p>
      <w:pPr>
        <w:pStyle w:val="BodyText"/>
      </w:pPr>
      <w:r>
        <w:t xml:space="preserve">Strain and end-reaction channels.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would change sign with pinned piers. At mid main span the small strain indicator reflects restraint (</w:t>
      </w:r>
      <m:oMath>
        <m:sSub>
          <m:e>
            <m:r>
              <m:t>R</m:t>
            </m:r>
          </m:e>
          <m:sub>
            <m:r>
              <m:t>ε</m:t>
            </m:r>
          </m:sub>
        </m:sSub>
      </m:oMath>
      <w:r>
        <w:t xml:space="preserve"> </w:t>
      </w:r>
      <w:r>
        <w:t xml:space="preserve">= 0.65–1.00).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their gain</w:t>
      </w:r>
      <w:r>
        <w:t xml:space="preserve"> </w:t>
      </w:r>
      <m:oMath>
        <m:r>
          <m:t>c</m:t>
        </m:r>
        <m:r>
          <m:rPr>
            <m:sty m:val="p"/>
          </m:rPr>
          <m:t>/</m:t>
        </m:r>
        <m:r>
          <m:t>E</m:t>
        </m:r>
        <m:r>
          <m:t>I</m:t>
        </m:r>
      </m:oMath>
      <w:r>
        <w:t xml:space="preserve"> </w:t>
      </w:r>
      <w:r>
        <w:t xml:space="preserve">is about one quarter to one third of that at mid-span, and one fifth at the pier face (main-text Fig. 6c).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Test-load positions. The longitudinal axle positions of the static test load, taken from the test plan (the test report gives them as drawings), are listed in Table S16 (script</w:t>
      </w:r>
      <w:r>
        <w:t xml:space="preserve"> </w:t>
      </w:r>
      <w:r>
        <w:rPr>
          <w:rStyle w:val="VerbatimChar"/>
        </w:rPr>
        <w:t xml:space="preserve">wp3_run.py</w:t>
      </w:r>
      <w:r>
        <w:t xml:space="preserve">).</w:t>
      </w:r>
    </w:p>
    <w:p>
      <w:pPr>
        <w:pStyle w:val="BodyText"/>
        <w:keepNext/>
      </w:pPr>
      <w:r>
        <w:rPr>
          <w:bCs/>
          <w:b/>
        </w:rPr>
        <w:t xml:space="preserve">Table S11.</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pStyle w:val="Compact"/>
              <w:jc w:val="right"/>
            </w:pPr>
            <w:r>
              <w:t xml:space="preserve">Truck</w:t>
            </w:r>
          </w:p>
        </w:tc>
        <w:tc>
          <w:tcPr>
            <w:tcW w:type="dxa" w:w="1799"/>
            <w:tcBorders>
              <w:top w:val="nil"/>
              <w:left w:val="nil"/>
              <w:bottom w:val="single" w:sz="6" w:space="0" w:color="000000"/>
              <w:right w:val="nil"/>
            </w:tcBorders>
          </w:tcPr>
          <w:p>
            <w:pPr>
              <w:pStyle w:val="Compact"/>
              <w:jc w:val="right"/>
            </w:pPr>
            <w:r>
              <w:t xml:space="preserve">Gross weight (t)</w:t>
            </w:r>
          </w:p>
        </w:tc>
        <w:tc>
          <w:tcPr>
            <w:tcW w:type="dxa" w:w="2473"/>
            <w:tcBorders>
              <w:top w:val="nil"/>
              <w:left w:val="nil"/>
              <w:bottom w:val="single" w:sz="6" w:space="0" w:color="000000"/>
              <w:right w:val="nil"/>
            </w:tcBorders>
          </w:tcPr>
          <w:p>
            <w:pPr>
              <w:pStyle w:val="Compact"/>
              <w:jc w:val="right"/>
            </w:pPr>
            <w:r>
              <w:t xml:space="preserve">Front axle spacing (m)</w:t>
            </w:r>
          </w:p>
        </w:tc>
        <w:tc>
          <w:tcPr>
            <w:tcW w:type="dxa" w:w="2361"/>
            <w:tcBorders>
              <w:top w:val="nil"/>
              <w:left w:val="nil"/>
              <w:bottom w:val="single" w:sz="6" w:space="0" w:color="000000"/>
              <w:right w:val="nil"/>
            </w:tcBorders>
          </w:tcPr>
          <w:p>
            <w:pPr>
              <w:pStyle w:val="Compact"/>
              <w:jc w:val="right"/>
            </w:pPr>
            <w:r>
              <w:t xml:space="preserve">Rear axle spacing (m)</w:t>
            </w:r>
          </w:p>
        </w:tc>
        <w:tc>
          <w:tcPr>
            <w:tcW w:type="dxa" w:w="1218"/>
            <w:tcBorders>
              <w:top w:val="nil"/>
              <w:left w:val="nil"/>
              <w:bottom w:val="single" w:sz="6" w:space="0" w:color="000000"/>
              <w:right w:val="nil"/>
            </w:tcBorders>
          </w:tcPr>
          <w:p>
            <w:pPr>
              <w:pStyle w:val="Compact"/>
              <w:jc w:val="right"/>
            </w:pPr>
            <w:r>
              <w:t xml:space="preserve">Track (m)</w:t>
            </w:r>
          </w:p>
        </w:tc>
      </w:tr>
      <w:tr>
        <w:trPr>
          <w:cantSplit/>
        </w:trPr>
        <w:tc>
          <w:tcPr>
            <w:tcW w:type="dxa" w:w="1218"/>
          </w:tcPr>
          <w:p>
            <w:pPr>
              <w:pStyle w:val="Compact"/>
              <w:jc w:val="right"/>
            </w:pPr>
            <w:r>
              <w:t xml:space="preserve">1</w:t>
            </w:r>
          </w:p>
        </w:tc>
        <w:tc>
          <w:tcPr>
            <w:tcW w:type="dxa" w:w="1799"/>
          </w:tcPr>
          <w:p>
            <w:pPr>
              <w:pStyle w:val="Compact"/>
              <w:jc w:val="right"/>
            </w:pPr>
            <w:r>
              <w:t xml:space="preserve">24.7</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1.9</w:t>
            </w:r>
          </w:p>
        </w:tc>
      </w:tr>
      <w:tr>
        <w:trPr>
          <w:cantSplit/>
        </w:trPr>
        <w:tc>
          <w:tcPr>
            <w:tcW w:type="dxa" w:w="1218"/>
          </w:tcPr>
          <w:p>
            <w:pPr>
              <w:pStyle w:val="Compact"/>
              <w:jc w:val="right"/>
            </w:pPr>
            <w:r>
              <w:t xml:space="preserve">2</w:t>
            </w:r>
          </w:p>
        </w:tc>
        <w:tc>
          <w:tcPr>
            <w:tcW w:type="dxa" w:w="1799"/>
          </w:tcPr>
          <w:p>
            <w:pPr>
              <w:pStyle w:val="Compact"/>
              <w:jc w:val="right"/>
            </w:pPr>
            <w:r>
              <w:t xml:space="preserve">25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3</w:t>
            </w:r>
          </w:p>
        </w:tc>
        <w:tc>
          <w:tcPr>
            <w:tcW w:type="dxa" w:w="1799"/>
          </w:tcPr>
          <w:p>
            <w:pPr>
              <w:pStyle w:val="Compact"/>
              <w:jc w:val="right"/>
            </w:pPr>
            <w:r>
              <w:t xml:space="preserve">25.66</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4</w:t>
            </w:r>
          </w:p>
        </w:tc>
        <w:tc>
          <w:tcPr>
            <w:tcW w:type="dxa" w:w="1799"/>
          </w:tcPr>
          <w:p>
            <w:pPr>
              <w:pStyle w:val="Compact"/>
              <w:jc w:val="right"/>
            </w:pPr>
            <w:r>
              <w:t xml:space="preserve">25.06</w:t>
            </w:r>
          </w:p>
        </w:tc>
        <w:tc>
          <w:tcPr>
            <w:tcW w:type="dxa" w:w="2473"/>
          </w:tcPr>
          <w:p>
            <w:pPr>
              <w:pStyle w:val="Compact"/>
              <w:jc w:val="right"/>
            </w:pPr>
            <w:r>
              <w:t xml:space="preserve">3.85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5</w:t>
            </w:r>
          </w:p>
        </w:tc>
        <w:tc>
          <w:tcPr>
            <w:tcW w:type="dxa" w:w="1799"/>
          </w:tcPr>
          <w:p>
            <w:pPr>
              <w:pStyle w:val="Compact"/>
              <w:jc w:val="right"/>
            </w:pPr>
            <w:r>
              <w:t xml:space="preserve">25.05</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6</w:t>
            </w:r>
          </w:p>
        </w:tc>
        <w:tc>
          <w:tcPr>
            <w:tcW w:type="dxa" w:w="1799"/>
          </w:tcPr>
          <w:p>
            <w:pPr>
              <w:pStyle w:val="Compact"/>
              <w:jc w:val="right"/>
            </w:pPr>
            <w:r>
              <w:t xml:space="preserve">25.3</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7</w:t>
            </w:r>
          </w:p>
        </w:tc>
        <w:tc>
          <w:tcPr>
            <w:tcW w:type="dxa" w:w="1799"/>
          </w:tcPr>
          <w:p>
            <w:pPr>
              <w:pStyle w:val="Compact"/>
              <w:jc w:val="right"/>
            </w:pPr>
            <w:r>
              <w:t xml:space="preserve">25.1</w:t>
            </w:r>
          </w:p>
        </w:tc>
        <w:tc>
          <w:tcPr>
            <w:tcW w:type="dxa" w:w="2473"/>
          </w:tcPr>
          <w:p>
            <w:pPr>
              <w:pStyle w:val="Compact"/>
              <w:jc w:val="right"/>
            </w:pPr>
            <w:r>
              <w:t xml:space="preserve">3.7</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8</w:t>
            </w:r>
          </w:p>
        </w:tc>
        <w:tc>
          <w:tcPr>
            <w:tcW w:type="dxa" w:w="1799"/>
          </w:tcPr>
          <w:p>
            <w:pPr>
              <w:pStyle w:val="Compact"/>
              <w:jc w:val="right"/>
            </w:pPr>
            <w:r>
              <w:t xml:space="preserve">25.5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9</w:t>
            </w:r>
          </w:p>
        </w:tc>
        <w:tc>
          <w:tcPr>
            <w:tcW w:type="dxa" w:w="1799"/>
          </w:tcPr>
          <w:p>
            <w:pPr>
              <w:pStyle w:val="Compact"/>
              <w:jc w:val="right"/>
            </w:pPr>
            <w:r>
              <w:t xml:space="preserve">24.6</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pPr>
      <w:r>
        <w:rPr>
          <w:bCs/>
          <w:b/>
        </w:rPr>
        <w:t xml:space="preserve">Table S12.</w:t>
      </w:r>
      <w:r>
        <w:t xml:space="preserve"> </w:t>
      </w:r>
      <w:r>
        <w:t xml:space="preserve">Mây Bridge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pStyle w:val="Compact"/>
              <w:jc w:val="left"/>
            </w:pPr>
            <w:r>
              <w:t xml:space="preserve">Section</w:t>
            </w:r>
          </w:p>
        </w:tc>
        <w:tc>
          <w:tcPr>
            <w:tcW w:type="dxa" w:w="2233"/>
            <w:tcBorders>
              <w:top w:val="nil"/>
              <w:left w:val="nil"/>
              <w:bottom w:val="single" w:sz="6" w:space="0" w:color="000000"/>
              <w:right w:val="nil"/>
            </w:tcBorders>
          </w:tcPr>
          <w:p>
            <w:pPr>
              <w:pStyle w:val="Compact"/>
              <w:jc w:val="left"/>
            </w:pPr>
            <w:r>
              <w:t xml:space="preserve">Measuring point</w:t>
            </w:r>
          </w:p>
        </w:tc>
        <w:tc>
          <w:tcPr>
            <w:tcW w:type="dxa" w:w="1650"/>
            <w:tcBorders>
              <w:top w:val="nil"/>
              <w:left w:val="nil"/>
              <w:bottom w:val="single" w:sz="6" w:space="0" w:color="000000"/>
              <w:right w:val="nil"/>
            </w:tcBorders>
          </w:tcPr>
          <w:p>
            <w:pPr>
              <w:pStyle w:val="Compact"/>
              <w:jc w:val="right"/>
            </w:pPr>
            <w:r>
              <w:t xml:space="preserve">Central</w:t>
            </w:r>
          </w:p>
        </w:tc>
        <w:tc>
          <w:tcPr>
            <w:tcW w:type="dxa" w:w="2039"/>
            <w:tcBorders>
              <w:top w:val="nil"/>
              <w:left w:val="nil"/>
              <w:bottom w:val="single" w:sz="6" w:space="0" w:color="000000"/>
              <w:right w:val="nil"/>
            </w:tcBorders>
          </w:tcPr>
          <w:p>
            <w:pPr>
              <w:pStyle w:val="Compact"/>
              <w:jc w:val="right"/>
            </w:pPr>
            <w:r>
              <w:t xml:space="preserve">Eccentric</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right edge</w:t>
            </w:r>
          </w:p>
        </w:tc>
        <w:tc>
          <w:tcPr>
            <w:tcW w:type="dxa" w:w="1650"/>
          </w:tcPr>
          <w:p>
            <w:pPr>
              <w:pStyle w:val="Compact"/>
              <w:jc w:val="right"/>
            </w:pPr>
            <w:r>
              <w:t xml:space="preserve">5.32</w:t>
            </w:r>
          </w:p>
        </w:tc>
        <w:tc>
          <w:tcPr>
            <w:tcW w:type="dxa" w:w="2039"/>
          </w:tcPr>
          <w:p>
            <w:pPr>
              <w:pStyle w:val="Compact"/>
              <w:jc w:val="right"/>
            </w:pPr>
            <w:r>
              <w:t xml:space="preserve">5.91</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centerline</w:t>
            </w:r>
          </w:p>
        </w:tc>
        <w:tc>
          <w:tcPr>
            <w:tcW w:type="dxa" w:w="1650"/>
          </w:tcPr>
          <w:p>
            <w:pPr>
              <w:pStyle w:val="Compact"/>
              <w:jc w:val="right"/>
            </w:pPr>
            <w:r>
              <w:t xml:space="preserve">5.56</w:t>
            </w:r>
          </w:p>
        </w:tc>
        <w:tc>
          <w:tcPr>
            <w:tcW w:type="dxa" w:w="2039"/>
          </w:tcPr>
          <w:p>
            <w:pPr>
              <w:pStyle w:val="Compact"/>
              <w:jc w:val="right"/>
            </w:pPr>
            <w:r>
              <w:t xml:space="preserve">5.55</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left edge</w:t>
            </w:r>
          </w:p>
        </w:tc>
        <w:tc>
          <w:tcPr>
            <w:tcW w:type="dxa" w:w="1650"/>
          </w:tcPr>
          <w:p>
            <w:pPr>
              <w:pStyle w:val="Compact"/>
              <w:jc w:val="right"/>
            </w:pPr>
            <w:r>
              <w:t xml:space="preserve">5.76</w:t>
            </w:r>
          </w:p>
        </w:tc>
        <w:tc>
          <w:tcPr>
            <w:tcW w:type="dxa" w:w="2039"/>
          </w:tcPr>
          <w:p>
            <w:pPr>
              <w:pStyle w:val="Compact"/>
              <w:jc w:val="right"/>
            </w:pPr>
            <w:r>
              <w:t xml:space="preserve">5.22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right edge</w:t>
            </w:r>
          </w:p>
        </w:tc>
        <w:tc>
          <w:tcPr>
            <w:tcW w:type="dxa" w:w="1650"/>
          </w:tcPr>
          <w:p>
            <w:pPr>
              <w:pStyle w:val="Compact"/>
              <w:jc w:val="right"/>
            </w:pPr>
            <w:r>
              <w:t xml:space="preserve">14.68</w:t>
            </w:r>
          </w:p>
        </w:tc>
        <w:tc>
          <w:tcPr>
            <w:tcW w:type="dxa" w:w="2039"/>
          </w:tcPr>
          <w:p>
            <w:pPr>
              <w:pStyle w:val="Compact"/>
              <w:jc w:val="right"/>
            </w:pPr>
            <w:r>
              <w:t xml:space="preserve">14.62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centerline</w:t>
            </w:r>
          </w:p>
        </w:tc>
        <w:tc>
          <w:tcPr>
            <w:tcW w:type="dxa" w:w="1650"/>
          </w:tcPr>
          <w:p>
            <w:pPr>
              <w:pStyle w:val="Compact"/>
              <w:jc w:val="right"/>
            </w:pPr>
            <w:r>
              <w:t xml:space="preserve">15.24</w:t>
            </w:r>
          </w:p>
        </w:tc>
        <w:tc>
          <w:tcPr>
            <w:tcW w:type="dxa" w:w="2039"/>
          </w:tcPr>
          <w:p>
            <w:pPr>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pPr>
      <w:r>
        <w:rPr>
          <w:bCs/>
          <w:b/>
        </w:rPr>
        <w:t xml:space="preserve">Table S13.</w:t>
      </w:r>
      <w:r>
        <w:t xml:space="preserve"> </w:t>
      </w:r>
      <w:r>
        <w:t xml:space="preserve">Admissible set of the Mây Bridge model (base model,</w:t>
      </w:r>
      <w:r>
        <w:t xml:space="preserve"> </w:t>
      </w:r>
      <m:oMath>
        <m:sSub>
          <m:e>
            <m:r>
              <m:t>L</m:t>
            </m:r>
          </m:e>
          <m:sub>
            <m:r>
              <m:rPr>
                <m:sty m:val="p"/>
              </m:rPr>
              <m:t>v</m:t>
            </m:r>
          </m:sub>
        </m:sSub>
      </m:oMath>
      <w:r>
        <w:t xml:space="preserve"> </w:t>
      </w:r>
      <w:r>
        <w:t xml:space="preserve">= 44 m) against the tolerance</w:t>
      </w:r>
      <w:r>
        <w:t xml:space="preserve"> </w:t>
      </w:r>
      <m:oMath>
        <m:r>
          <m:t>τ</m:t>
        </m:r>
      </m:oMath>
      <w:r>
        <w:t xml:space="preserve"> </w:t>
      </w:r>
      <w:r>
        <w:t xml:space="preserve">on the misfit of each gauge. Max/min: ratio of the largest to the smallest constant in the set.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46"/>
        <w:gridCol w:w="979"/>
        <w:gridCol w:w="901"/>
        <w:gridCol w:w="1030"/>
        <w:gridCol w:w="1339"/>
        <w:gridCol w:w="1082"/>
        <w:gridCol w:w="730"/>
        <w:gridCol w:w="730"/>
        <w:gridCol w:w="730"/>
      </w:tblGrid>
      <w:tr>
        <w:trPr>
          <w:tblHeader w:val="true"/>
          <w:tblHeader w:val="true"/>
          <w:cantSplit/>
        </w:trPr>
        <w:tc>
          <w:tcPr>
            <w:tcW w:type="dxa" w:w="1546"/>
            <w:tcBorders>
              <w:top w:val="nil"/>
              <w:left w:val="nil"/>
              <w:bottom w:val="single" w:sz="6" w:space="0" w:color="000000"/>
              <w:right w:val="nil"/>
            </w:tcBorders>
          </w:tcPr>
          <w:p>
            <w:pPr>
              <w:pStyle w:val="Compact"/>
              <w:jc w:val="left"/>
            </w:pPr>
            <w:r>
              <w:t xml:space="preserve">Tolerance, prior</w:t>
            </w:r>
          </w:p>
        </w:tc>
        <w:tc>
          <w:tcPr>
            <w:tcW w:type="dxa" w:w="979"/>
            <w:tcBorders>
              <w:top w:val="nil"/>
              <w:left w:val="nil"/>
              <w:bottom w:val="single" w:sz="6" w:space="0" w:color="000000"/>
              <w:right w:val="nil"/>
            </w:tcBorders>
          </w:tcPr>
          <w:p>
            <w:pPr>
              <w:pStyle w:val="Compact"/>
              <w:jc w:val="right"/>
            </w:pPr>
            <m:oMath>
              <m:r>
                <m:t>κ</m:t>
              </m:r>
            </m:oMath>
            <w:r>
              <w:t xml:space="preserve"> </w:t>
            </w:r>
            <w:r>
              <w:t xml:space="preserve">(kN m/rad)</w:t>
            </w:r>
          </w:p>
        </w:tc>
        <w:tc>
          <w:tcPr>
            <w:tcW w:type="dxa" w:w="901"/>
            <w:tcBorders>
              <w:top w:val="nil"/>
              <w:left w:val="nil"/>
              <w:bottom w:val="single" w:sz="6" w:space="0" w:color="000000"/>
              <w:right w:val="nil"/>
            </w:tcBorders>
          </w:tcPr>
          <w:p>
            <w:pPr>
              <w:pStyle w:val="Compact"/>
              <w:jc w:val="right"/>
            </w:pPr>
            <m:oMath>
              <m:r>
                <m:t>α</m:t>
              </m:r>
            </m:oMath>
          </w:p>
        </w:tc>
        <w:tc>
          <w:tcPr>
            <w:tcW w:type="dxa" w:w="1030"/>
            <w:tcBorders>
              <w:top w:val="nil"/>
              <w:left w:val="nil"/>
              <w:bottom w:val="single" w:sz="6" w:space="0" w:color="000000"/>
              <w:right w:val="nil"/>
            </w:tcBorders>
          </w:tcPr>
          <w:p>
            <w:pPr>
              <w:pStyle w:val="Compact"/>
              <w:jc w:val="right"/>
            </w:pPr>
            <w:r>
              <w:t xml:space="preserve">N8 indicator,</w:t>
            </w:r>
            <w:r>
              <w:t xml:space="preserve"> </w:t>
            </w:r>
            <m:oMath>
              <m:r>
                <m:t>α</m:t>
              </m:r>
              <m:r>
                <m:t>E</m:t>
              </m:r>
              <m:sSub>
                <m:e>
                  <m:r>
                    <m:t>I</m:t>
                  </m:r>
                </m:e>
                <m:sub>
                  <m:r>
                    <m:rPr>
                      <m:sty m:val="p"/>
                    </m:rPr>
                    <m:t>mid</m:t>
                  </m:r>
                </m:sub>
              </m:sSub>
            </m:oMath>
          </w:p>
        </w:tc>
        <w:tc>
          <w:tcPr>
            <w:tcW w:type="dxa" w:w="1339"/>
            <w:tcBorders>
              <w:top w:val="nil"/>
              <w:left w:val="nil"/>
              <w:bottom w:val="single" w:sz="6" w:space="0" w:color="000000"/>
              <w:right w:val="nil"/>
            </w:tcBorders>
          </w:tcPr>
          <w:p>
            <w:pPr>
              <w:pStyle w:val="Compact"/>
              <w:jc w:val="right"/>
            </w:pPr>
            <w:r>
              <w:t xml:space="preserve">N8 indicator, design</w:t>
            </w:r>
            <w:r>
              <w:t xml:space="preserve"> </w:t>
            </w:r>
            <m:oMath>
              <m:r>
                <m:t>E</m:t>
              </m:r>
              <m:sSub>
                <m:e>
                  <m:r>
                    <m:t>I</m:t>
                  </m:r>
                </m:e>
                <m:sub>
                  <m:r>
                    <m:rPr>
                      <m:sty m:val="p"/>
                    </m:rPr>
                    <m:t>mid</m:t>
                  </m:r>
                </m:sub>
              </m:sSub>
            </m:oMath>
          </w:p>
        </w:tc>
        <w:tc>
          <w:tcPr>
            <w:tcW w:type="dxa" w:w="1082"/>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(m²/kN)</w:t>
            </w:r>
          </w:p>
        </w:tc>
        <w:tc>
          <w:tcPr>
            <w:tcW w:type="dxa" w:w="730"/>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max/min</w:t>
            </w:r>
          </w:p>
        </w:tc>
        <w:tc>
          <w:tcPr>
            <w:tcW w:type="dxa" w:w="730"/>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(m²/kN)</w:t>
            </w:r>
          </w:p>
        </w:tc>
        <w:tc>
          <w:tcPr>
            <w:tcW w:type="dxa" w:w="730"/>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max/min</w:t>
            </w:r>
          </w:p>
        </w:tc>
      </w:tr>
      <w:tr>
        <w:trPr>
          <w:cantSplit/>
        </w:trPr>
        <w:tc>
          <w:tcPr>
            <w:tcW w:type="dxa" w:w="1546"/>
          </w:tcPr>
          <w:p>
            <w:pPr>
              <w:pStyle w:val="Compact"/>
              <w:jc w:val="left"/>
            </w:pPr>
            <m:oMath>
              <m:r>
                <m:t>τ</m:t>
              </m:r>
            </m:oMath>
            <w:r>
              <w:t xml:space="preserve"> </w:t>
            </w:r>
            <w:r>
              <w:t xml:space="preserve">= 3 %</w:t>
            </w:r>
          </w:p>
        </w:tc>
        <w:tc>
          <w:tcPr>
            <w:tcW w:type="dxa" w:w="979"/>
          </w:tcPr>
          <w:p>
            <w:pPr>
              <w:pStyle w:val="Compact"/>
              <w:jc w:val="right"/>
            </w:pPr>
            <w:r>
              <w:t xml:space="preserve">1.0–3.0 × 10⁸</w:t>
            </w:r>
          </w:p>
        </w:tc>
        <w:tc>
          <w:tcPr>
            <w:tcW w:type="dxa" w:w="901"/>
          </w:tcPr>
          <w:p>
            <w:pPr>
              <w:pStyle w:val="Compact"/>
              <w:jc w:val="right"/>
            </w:pPr>
            <w:r>
              <w:t xml:space="preserve">0.64–0.80</w:t>
            </w:r>
          </w:p>
        </w:tc>
        <w:tc>
          <w:tcPr>
            <w:tcW w:type="dxa" w:w="1030"/>
          </w:tcPr>
          <w:p>
            <w:pPr>
              <w:pStyle w:val="Compact"/>
              <w:jc w:val="right"/>
            </w:pPr>
            <w:r>
              <w:t xml:space="preserve">0.30–0.37</w:t>
            </w:r>
          </w:p>
        </w:tc>
        <w:tc>
          <w:tcPr>
            <w:tcW w:type="dxa" w:w="1339"/>
          </w:tcPr>
          <w:p>
            <w:pPr>
              <w:pStyle w:val="Compact"/>
              <w:jc w:val="right"/>
            </w:pPr>
            <w:r>
              <w:t xml:space="preserve">0.38–0.58</w:t>
            </w:r>
          </w:p>
        </w:tc>
        <w:tc>
          <w:tcPr>
            <w:tcW w:type="dxa" w:w="1082"/>
          </w:tcPr>
          <w:p>
            <w:pPr>
              <w:pStyle w:val="Compact"/>
              <w:jc w:val="right"/>
            </w:pPr>
            <w:r>
              <w:t xml:space="preserve">9.1 × 10⁻⁵–1.4 × 10⁻⁴</w:t>
            </w:r>
          </w:p>
        </w:tc>
        <w:tc>
          <w:tcPr>
            <w:tcW w:type="dxa" w:w="730"/>
          </w:tcPr>
          <w:p>
            <w:pPr>
              <w:pStyle w:val="Compact"/>
              <w:jc w:val="right"/>
            </w:pPr>
            <w:r>
              <w:t xml:space="preserve">1.5</w:t>
            </w:r>
          </w:p>
        </w:tc>
        <w:tc>
          <w:tcPr>
            <w:tcW w:type="dxa" w:w="730"/>
          </w:tcPr>
          <w:p>
            <w:pPr>
              <w:pStyle w:val="Compact"/>
              <w:jc w:val="right"/>
            </w:pPr>
            <w:r>
              <w:t xml:space="preserve">3.8–4.3 × 10⁻⁴</w:t>
            </w:r>
          </w:p>
        </w:tc>
        <w:tc>
          <w:tcPr>
            <w:tcW w:type="dxa" w:w="730"/>
          </w:tcPr>
          <w:p>
            <w:pPr>
              <w:pStyle w:val="Compact"/>
              <w:jc w:val="right"/>
            </w:pPr>
            <w:r>
              <w:t xml:space="preserve">1.1</w:t>
            </w:r>
          </w:p>
        </w:tc>
      </w:tr>
      <w:tr>
        <w:trPr>
          <w:cantSplit/>
        </w:trPr>
        <w:tc>
          <w:tcPr>
            <w:tcW w:type="dxa" w:w="1546"/>
          </w:tcPr>
          <w:p>
            <w:pPr>
              <w:pStyle w:val="Compact"/>
              <w:jc w:val="left"/>
            </w:pPr>
            <m:oMath>
              <m:r>
                <m:t>τ</m:t>
              </m:r>
            </m:oMath>
            <w:r>
              <w:t xml:space="preserve"> </w:t>
            </w:r>
            <w:r>
              <w:t xml:space="preserve">= 4 %</w:t>
            </w:r>
          </w:p>
        </w:tc>
        <w:tc>
          <w:tcPr>
            <w:tcW w:type="dxa" w:w="979"/>
          </w:tcPr>
          <w:p>
            <w:pPr>
              <w:pStyle w:val="Compact"/>
              <w:jc w:val="right"/>
            </w:pPr>
            <w:r>
              <w:t xml:space="preserve">4.2 × 10⁷–2.0 × 10⁹</w:t>
            </w:r>
          </w:p>
        </w:tc>
        <w:tc>
          <w:tcPr>
            <w:tcW w:type="dxa" w:w="901"/>
          </w:tcPr>
          <w:p>
            <w:pPr>
              <w:pStyle w:val="Compact"/>
              <w:jc w:val="right"/>
            </w:pPr>
            <w:r>
              <w:t xml:space="preserve">0.54–0.98</w:t>
            </w:r>
          </w:p>
        </w:tc>
        <w:tc>
          <w:tcPr>
            <w:tcW w:type="dxa" w:w="1030"/>
          </w:tcPr>
          <w:p>
            <w:pPr>
              <w:pStyle w:val="Compact"/>
              <w:jc w:val="right"/>
            </w:pPr>
            <w:r>
              <w:t xml:space="preserve">0.22–0.41</w:t>
            </w:r>
          </w:p>
        </w:tc>
        <w:tc>
          <w:tcPr>
            <w:tcW w:type="dxa" w:w="1339"/>
          </w:tcPr>
          <w:p>
            <w:pPr>
              <w:pStyle w:val="Compact"/>
              <w:jc w:val="right"/>
            </w:pPr>
            <w:r>
              <w:t xml:space="preserve">0.23–0.77</w:t>
            </w:r>
          </w:p>
        </w:tc>
        <w:tc>
          <w:tcPr>
            <w:tcW w:type="dxa" w:w="1082"/>
          </w:tcPr>
          <w:p>
            <w:pPr>
              <w:pStyle w:val="Compact"/>
              <w:jc w:val="right"/>
            </w:pPr>
            <w:r>
              <w:t xml:space="preserve">5.5 × 10⁻⁵–1.9 × 10⁻⁴</w:t>
            </w:r>
          </w:p>
        </w:tc>
        <w:tc>
          <w:tcPr>
            <w:tcW w:type="dxa" w:w="730"/>
          </w:tcPr>
          <w:p>
            <w:pPr>
              <w:pStyle w:val="Compact"/>
              <w:jc w:val="right"/>
            </w:pPr>
            <w:r>
              <w:t xml:space="preserve">3.4</w:t>
            </w:r>
          </w:p>
        </w:tc>
        <w:tc>
          <w:tcPr>
            <w:tcW w:type="dxa" w:w="730"/>
          </w:tcPr>
          <w:p>
            <w:pPr>
              <w:pStyle w:val="Compact"/>
              <w:jc w:val="right"/>
            </w:pPr>
            <w:r>
              <w:t xml:space="preserve">3.5–4.8 × 10⁻⁴</w:t>
            </w:r>
          </w:p>
        </w:tc>
        <w:tc>
          <w:tcPr>
            <w:tcW w:type="dxa" w:w="730"/>
          </w:tcPr>
          <w:p>
            <w:pPr>
              <w:pStyle w:val="Compact"/>
              <w:jc w:val="right"/>
            </w:pPr>
            <w:r>
              <w:t xml:space="preserve">1.4</w:t>
            </w:r>
          </w:p>
        </w:tc>
      </w:tr>
      <w:tr>
        <w:trPr>
          <w:cantSplit/>
        </w:trPr>
        <w:tc>
          <w:tcPr>
            <w:tcW w:type="dxa" w:w="1546"/>
          </w:tcPr>
          <w:p>
            <w:pPr>
              <w:pStyle w:val="Compact"/>
              <w:jc w:val="left"/>
            </w:pPr>
            <m:oMath>
              <m:r>
                <m:t>τ</m:t>
              </m:r>
            </m:oMath>
            <w:r>
              <w:t xml:space="preserve"> </w:t>
            </w:r>
            <w:r>
              <w:t xml:space="preserve">= 5.3 %</w:t>
            </w:r>
          </w:p>
        </w:tc>
        <w:tc>
          <w:tcPr>
            <w:tcW w:type="dxa" w:w="979"/>
          </w:tcPr>
          <w:p>
            <w:pPr>
              <w:pStyle w:val="Compact"/>
              <w:jc w:val="right"/>
            </w:pPr>
            <w:r>
              <w:t xml:space="preserve">≥ 1.8 × 10⁷</w:t>
            </w:r>
          </w:p>
        </w:tc>
        <w:tc>
          <w:tcPr>
            <w:tcW w:type="dxa" w:w="901"/>
          </w:tcPr>
          <w:p>
            <w:pPr>
              <w:pStyle w:val="Compact"/>
              <w:jc w:val="right"/>
            </w:pPr>
            <w:r>
              <w:t xml:space="preserve">0.51–1.15</w:t>
            </w:r>
          </w:p>
        </w:tc>
        <w:tc>
          <w:tcPr>
            <w:tcW w:type="dxa" w:w="1030"/>
          </w:tcPr>
          <w:p>
            <w:pPr>
              <w:pStyle w:val="Compact"/>
              <w:jc w:val="right"/>
            </w:pPr>
            <w:r>
              <w:t xml:space="preserve">0.14–0.42</w:t>
            </w:r>
          </w:p>
        </w:tc>
        <w:tc>
          <w:tcPr>
            <w:tcW w:type="dxa" w:w="1339"/>
          </w:tcPr>
          <w:p>
            <w:pPr>
              <w:pStyle w:val="Compact"/>
              <w:jc w:val="right"/>
            </w:pPr>
            <w:r>
              <w:t xml:space="preserve">0.12–0.82</w:t>
            </w:r>
          </w:p>
        </w:tc>
        <w:tc>
          <w:tcPr>
            <w:tcW w:type="dxa" w:w="1082"/>
          </w:tcPr>
          <w:p>
            <w:pPr>
              <w:pStyle w:val="Compact"/>
              <w:jc w:val="right"/>
            </w:pPr>
            <w:r>
              <w:t xml:space="preserve">3.0 × 10⁻⁵–2.0 × 10⁻⁴</w:t>
            </w:r>
          </w:p>
        </w:tc>
        <w:tc>
          <w:tcPr>
            <w:tcW w:type="dxa" w:w="730"/>
          </w:tcPr>
          <w:p>
            <w:pPr>
              <w:pStyle w:val="Compact"/>
              <w:jc w:val="right"/>
            </w:pPr>
            <w:r>
              <w:t xml:space="preserve">6.6</w:t>
            </w:r>
          </w:p>
        </w:tc>
        <w:tc>
          <w:tcPr>
            <w:tcW w:type="dxa" w:w="730"/>
          </w:tcPr>
          <w:p>
            <w:pPr>
              <w:pStyle w:val="Compact"/>
              <w:jc w:val="right"/>
            </w:pPr>
            <w:r>
              <w:t xml:space="preserve">3.3–5.0 × 10⁻⁴</w:t>
            </w:r>
          </w:p>
        </w:tc>
        <w:tc>
          <w:tcPr>
            <w:tcW w:type="dxa" w:w="730"/>
          </w:tcPr>
          <w:p>
            <w:pPr>
              <w:pStyle w:val="Compact"/>
              <w:jc w:val="right"/>
            </w:pPr>
            <w:r>
              <w:t xml:space="preserve">1.5</w:t>
            </w:r>
          </w:p>
        </w:tc>
      </w:tr>
      <w:tr>
        <w:trPr>
          <w:cantSplit/>
        </w:trPr>
        <w:tc>
          <w:tcPr>
            <w:tcW w:type="dxa" w:w="1546"/>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979"/>
          </w:tcPr>
          <w:p>
            <w:pPr>
              <w:pStyle w:val="Compact"/>
              <w:jc w:val="right"/>
            </w:pPr>
            <w:r>
              <w:t xml:space="preserve">1.8–6.7 × 10⁷</w:t>
            </w:r>
          </w:p>
        </w:tc>
        <w:tc>
          <w:tcPr>
            <w:tcW w:type="dxa" w:w="901"/>
          </w:tcPr>
          <w:p>
            <w:pPr>
              <w:pStyle w:val="Compact"/>
              <w:jc w:val="right"/>
            </w:pPr>
            <w:r>
              <w:t xml:space="preserve">0.90–1.15</w:t>
            </w:r>
          </w:p>
        </w:tc>
        <w:tc>
          <w:tcPr>
            <w:tcW w:type="dxa" w:w="1030"/>
          </w:tcPr>
          <w:p>
            <w:pPr>
              <w:pStyle w:val="Compact"/>
              <w:jc w:val="right"/>
            </w:pPr>
            <w:r>
              <w:t xml:space="preserve">0.14–0.27</w:t>
            </w:r>
          </w:p>
        </w:tc>
        <w:tc>
          <w:tcPr>
            <w:tcW w:type="dxa" w:w="1339"/>
          </w:tcPr>
          <w:p>
            <w:pPr>
              <w:pStyle w:val="Compact"/>
              <w:jc w:val="right"/>
            </w:pPr>
            <w:r>
              <w:t xml:space="preserve">0.12–0.30</w:t>
            </w:r>
          </w:p>
        </w:tc>
        <w:tc>
          <w:tcPr>
            <w:tcW w:type="dxa" w:w="1082"/>
          </w:tcPr>
          <w:p>
            <w:pPr>
              <w:pStyle w:val="Compact"/>
              <w:jc w:val="right"/>
            </w:pPr>
            <w:r>
              <w:t xml:space="preserve">3.0 × 10⁻⁵–7.2 × 10⁻⁵</w:t>
            </w:r>
          </w:p>
        </w:tc>
        <w:tc>
          <w:tcPr>
            <w:tcW w:type="dxa" w:w="730"/>
          </w:tcPr>
          <w:p>
            <w:pPr>
              <w:pStyle w:val="Compact"/>
              <w:jc w:val="right"/>
            </w:pPr>
            <w:r>
              <w:t xml:space="preserve">2.4</w:t>
            </w:r>
          </w:p>
        </w:tc>
        <w:tc>
          <w:tcPr>
            <w:tcW w:type="dxa" w:w="730"/>
          </w:tcPr>
          <w:p>
            <w:pPr>
              <w:pStyle w:val="Compact"/>
              <w:jc w:val="right"/>
            </w:pPr>
            <w:r>
              <w:t xml:space="preserve">3.3–3.6 × 10⁻⁴</w:t>
            </w:r>
          </w:p>
        </w:tc>
        <w:tc>
          <w:tcPr>
            <w:tcW w:type="dxa" w:w="730"/>
          </w:tcPr>
          <w:p>
            <w:pPr>
              <w:pStyle w:val="Compact"/>
              <w:jc w:val="right"/>
            </w:pPr>
            <w:r>
              <w:t xml:space="preserve">1.1</w:t>
            </w:r>
          </w:p>
        </w:tc>
      </w:tr>
    </w:tbl>
    <w:p>
      <w:pPr>
        <w:pStyle w:val="BodyText"/>
        <w:keepNext/>
      </w:pPr>
      <w:r>
        <w:rPr>
          <w:bCs/>
          <w:b/>
        </w:rPr>
        <w:t xml:space="preserve">Table S14.</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pStyle w:val="Compact"/>
              <w:jc w:val="left"/>
            </w:pPr>
            <w:r>
              <w:t xml:space="preserve">Span</w:t>
            </w:r>
          </w:p>
        </w:tc>
        <w:tc>
          <w:tcPr>
            <w:tcW w:type="dxa" w:w="3936"/>
            <w:tcBorders>
              <w:top w:val="nil"/>
              <w:left w:val="nil"/>
              <w:bottom w:val="single" w:sz="6" w:space="0" w:color="000000"/>
              <w:right w:val="nil"/>
            </w:tcBorders>
          </w:tcPr>
          <w:p>
            <w:pPr>
              <w:pStyle w:val="Compact"/>
              <w:jc w:val="right"/>
            </w:pPr>
            <w:r>
              <w:t xml:space="preserve">Vertical frequency (Hz)</w:t>
            </w:r>
          </w:p>
        </w:tc>
      </w:tr>
      <w:tr>
        <w:trPr>
          <w:cantSplit/>
        </w:trPr>
        <w:tc>
          <w:tcPr>
            <w:tcW w:type="dxa" w:w="5133"/>
          </w:tcPr>
          <w:p>
            <w:pPr>
              <w:pStyle w:val="Compact"/>
              <w:jc w:val="left"/>
            </w:pPr>
            <w:r>
              <w:t xml:space="preserve">Side span T5–T6 (55 m; T6 is the other inner pier)</w:t>
            </w:r>
          </w:p>
        </w:tc>
        <w:tc>
          <w:tcPr>
            <w:tcW w:type="dxa" w:w="3936"/>
          </w:tcPr>
          <w:p>
            <w:pPr>
              <w:pStyle w:val="Compact"/>
              <w:jc w:val="right"/>
            </w:pPr>
            <w:r>
              <w:t xml:space="preserve">3.43</w:t>
            </w:r>
          </w:p>
        </w:tc>
      </w:tr>
      <w:tr>
        <w:trPr>
          <w:cantSplit/>
        </w:trPr>
        <w:tc>
          <w:tcPr>
            <w:tcW w:type="dxa" w:w="5133"/>
          </w:tcPr>
          <w:p>
            <w:pPr>
              <w:pStyle w:val="Compact"/>
              <w:jc w:val="left"/>
            </w:pPr>
            <w:r>
              <w:t xml:space="preserve">Main span T6–T7 (90 m)</w:t>
            </w:r>
          </w:p>
        </w:tc>
        <w:tc>
          <w:tcPr>
            <w:tcW w:type="dxa" w:w="3936"/>
          </w:tcPr>
          <w:p>
            <w:pPr>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pPr>
      <w:r>
        <w:rPr>
          <w:bCs/>
          <w:b/>
        </w:rPr>
        <w:t xml:space="preserve">Table S15.</w:t>
      </w:r>
      <w:r>
        <w:t xml:space="preserve"> </w:t>
      </w:r>
      <w:r>
        <w:t xml:space="preserve">Deflection indicator</w:t>
      </w:r>
      <w:r>
        <w:t xml:space="preserve"> </w:t>
      </w:r>
      <m:oMath>
        <m:sSub>
          <m:e>
            <m:r>
              <m:t>N</m:t>
            </m:r>
          </m:e>
          <m:sub>
            <m:r>
              <m:t>w</m:t>
            </m:r>
          </m:sub>
        </m:sSub>
      </m:oMath>
      <w:r>
        <w:t xml:space="preserve"> </w:t>
      </w:r>
      <w:r>
        <w:t xml:space="preserve">(Eq. (8)), cancellation ratio</w:t>
      </w:r>
      <w:r>
        <w:t xml:space="preserve"> </w:t>
      </w:r>
      <m:oMath>
        <m:r>
          <m:t>R</m:t>
        </m:r>
      </m:oMath>
      <w:r>
        <w:t xml:space="preserve"> </w:t>
      </w:r>
      <w:r>
        <w:t xml:space="preserve">(Eq. (9)) and boundary sensitivity</w:t>
      </w:r>
      <w:r>
        <w:t xml:space="preserve"> </w:t>
      </w:r>
      <m:oMath>
        <m:sSub>
          <m:e>
            <m:r>
              <m:t>B</m:t>
            </m:r>
          </m:e>
          <m:sub>
            <m:r>
              <m:t>m</m:t>
            </m:r>
          </m:sub>
        </m:sSub>
      </m:oMath>
      <w:r>
        <w:t xml:space="preserve"> </w:t>
      </w:r>
      <w:r>
        <w:t xml:space="preserve">of the Mây Bridge gauges, including the mid side-span position.</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pinned-pier and fixed-pier rows give the extreme values over the haunch-length variants (</w:t>
      </w:r>
      <m:oMath>
        <m:sSub>
          <m:e>
            <m:r>
              <m:t>L</m:t>
            </m:r>
          </m:e>
          <m:sub>
            <m:r>
              <m:rPr>
                <m:sty m:val="p"/>
              </m:rPr>
              <m:t>v</m:t>
            </m:r>
          </m:sub>
        </m:sSub>
      </m:oMath>
      <w:r>
        <w:t xml:space="preserve"> </w:t>
      </w:r>
      <w:r>
        <w:t xml:space="preserve">= 40–45 m).</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r>
              <w:t xml:space="preserve"> </w:t>
            </w:r>
            <w:r>
              <w:t xml:space="preserve">(installed)</w:t>
            </w:r>
          </w:p>
        </w:tc>
        <w:tc>
          <w:tcPr>
            <w:tcW w:type="dxa" w:w="1330"/>
            <w:tcBorders>
              <w:top w:val="nil"/>
              <w:left w:val="nil"/>
              <w:bottom w:val="single" w:sz="6" w:space="0" w:color="000000"/>
              <w:right w:val="nil"/>
            </w:tcBorders>
          </w:tcPr>
          <w:p>
            <w:pPr>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272"/>
            <w:tcBorders>
              <w:top w:val="nil"/>
              <w:left w:val="nil"/>
              <w:bottom w:val="single" w:sz="6" w:space="0" w:color="000000"/>
              <w:right w:val="nil"/>
            </w:tcBorders>
          </w:tcPr>
          <w:p>
            <w:pPr>
              <w:pStyle w:val="Compact"/>
              <w:jc w:val="right"/>
            </w:pPr>
            <m:oMath>
              <m:r>
                <m:t>R</m:t>
              </m:r>
            </m:oMath>
            <w:r>
              <w:t xml:space="preserve">, N8 at mid side span</w:t>
            </w:r>
          </w:p>
        </w:tc>
        <w:tc>
          <w:tcPr>
            <w:tcW w:type="dxa" w:w="101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1734"/>
          </w:tcPr>
          <w:p>
            <w:pPr>
              <w:pStyle w:val="Compact"/>
              <w:jc w:val="left"/>
            </w:pPr>
            <w:r>
              <w:t xml:space="preserve">Prismatic beam, pinned piers</w:t>
            </w:r>
          </w:p>
        </w:tc>
        <w:tc>
          <w:tcPr>
            <w:tcW w:type="dxa" w:w="1503"/>
          </w:tcPr>
          <w:p>
            <w:pPr>
              <w:pStyle w:val="Compact"/>
              <w:jc w:val="right"/>
            </w:pPr>
            <w:r>
              <w:t xml:space="preserve">0.287</w:t>
            </w:r>
          </w:p>
        </w:tc>
        <w:tc>
          <w:tcPr>
            <w:tcW w:type="dxa" w:w="1330"/>
          </w:tcPr>
          <w:p>
            <w:pPr>
              <w:pStyle w:val="Compact"/>
              <w:jc w:val="right"/>
            </w:pPr>
            <w:r>
              <w:t xml:space="preserve">0.163</w:t>
            </w:r>
          </w:p>
        </w:tc>
        <w:tc>
          <w:tcPr>
            <w:tcW w:type="dxa" w:w="1204"/>
          </w:tcPr>
          <w:p>
            <w:pPr>
              <w:pStyle w:val="Compact"/>
              <w:jc w:val="right"/>
            </w:pPr>
            <w:r>
              <w:t xml:space="preserve">0.755</w:t>
            </w:r>
          </w:p>
        </w:tc>
        <w:tc>
          <w:tcPr>
            <w:tcW w:type="dxa" w:w="1012"/>
          </w:tcPr>
          <w:p>
            <w:pPr>
              <w:pStyle w:val="Compact"/>
              <w:jc w:val="right"/>
            </w:pPr>
            <w:r>
              <w:t xml:space="preserve">0.14</w:t>
            </w:r>
          </w:p>
        </w:tc>
        <w:tc>
          <w:tcPr>
            <w:tcW w:type="dxa" w:w="1272"/>
          </w:tcPr>
          <w:p>
            <w:pPr>
              <w:pStyle w:val="Compact"/>
              <w:jc w:val="right"/>
            </w:pPr>
            <w:r>
              <w:t xml:space="preserve">0.08</w:t>
            </w:r>
          </w:p>
        </w:tc>
        <w:tc>
          <w:tcPr>
            <w:tcW w:type="dxa" w:w="1012"/>
          </w:tcPr>
          <w:p>
            <w:pPr>
              <w:pStyle w:val="Compact"/>
              <w:jc w:val="right"/>
            </w:pPr>
            <w:r>
              <w:t xml:space="preserve">0.70</w:t>
            </w:r>
          </w:p>
        </w:tc>
      </w:tr>
      <w:tr>
        <w:trPr>
          <w:cantSplit/>
        </w:trPr>
        <w:tc>
          <w:tcPr>
            <w:tcW w:type="dxa" w:w="1734"/>
          </w:tcPr>
          <w:p>
            <w:pPr>
              <w:pStyle w:val="Compact"/>
              <w:jc w:val="left"/>
            </w:pPr>
            <w:r>
              <w:t xml:space="preserve">Haunched, calibration A</w:t>
            </w:r>
          </w:p>
        </w:tc>
        <w:tc>
          <w:tcPr>
            <w:tcW w:type="dxa" w:w="1503"/>
          </w:tcPr>
          <w:p>
            <w:pPr>
              <w:pStyle w:val="Compact"/>
              <w:jc w:val="right"/>
            </w:pPr>
            <w:r>
              <w:t xml:space="preserve">0.181</w:t>
            </w:r>
          </w:p>
        </w:tc>
        <w:tc>
          <w:tcPr>
            <w:tcW w:type="dxa" w:w="1330"/>
          </w:tcPr>
          <w:p>
            <w:pPr>
              <w:pStyle w:val="Compact"/>
              <w:jc w:val="right"/>
            </w:pPr>
            <w:r>
              <w:t xml:space="preserve">0.105</w:t>
            </w:r>
          </w:p>
        </w:tc>
        <w:tc>
          <w:tcPr>
            <w:tcW w:type="dxa" w:w="1204"/>
          </w:tcPr>
          <w:p>
            <w:pPr>
              <w:pStyle w:val="Compact"/>
              <w:jc w:val="right"/>
            </w:pPr>
            <w:r>
              <w:t xml:space="preserve">0.209</w:t>
            </w:r>
          </w:p>
        </w:tc>
        <w:tc>
          <w:tcPr>
            <w:tcW w:type="dxa" w:w="1012"/>
          </w:tcPr>
          <w:p>
            <w:pPr>
              <w:pStyle w:val="Compact"/>
              <w:jc w:val="right"/>
            </w:pPr>
            <w:r>
              <w:t xml:space="preserve">0.18</w:t>
            </w:r>
          </w:p>
        </w:tc>
        <w:tc>
          <w:tcPr>
            <w:tcW w:type="dxa" w:w="1272"/>
          </w:tcPr>
          <w:p>
            <w:pPr>
              <w:pStyle w:val="Compact"/>
              <w:jc w:val="right"/>
            </w:pPr>
            <w:r>
              <w:t xml:space="preserve">0.11</w:t>
            </w:r>
          </w:p>
        </w:tc>
        <w:tc>
          <w:tcPr>
            <w:tcW w:type="dxa" w:w="1012"/>
          </w:tcPr>
          <w:p>
            <w:pPr>
              <w:pStyle w:val="Compact"/>
              <w:jc w:val="right"/>
            </w:pPr>
            <w:r>
              <w:t xml:space="preserve">0.59</w:t>
            </w:r>
          </w:p>
        </w:tc>
      </w:tr>
      <w:tr>
        <w:trPr>
          <w:cantSplit/>
        </w:trPr>
        <w:tc>
          <w:tcPr>
            <w:tcW w:type="dxa" w:w="1734"/>
          </w:tcPr>
          <w:p>
            <w:pPr>
              <w:pStyle w:val="Compact"/>
              <w:jc w:val="left"/>
            </w:pPr>
            <w:r>
              <w:t xml:space="preserve">Haunched, calibration B</w:t>
            </w:r>
          </w:p>
        </w:tc>
        <w:tc>
          <w:tcPr>
            <w:tcW w:type="dxa" w:w="1503"/>
          </w:tcPr>
          <w:p>
            <w:pPr>
              <w:pStyle w:val="Compact"/>
              <w:jc w:val="right"/>
            </w:pPr>
            <w:r>
              <w:t xml:space="preserve">0.476ᵃ</w:t>
            </w:r>
          </w:p>
        </w:tc>
        <w:tc>
          <w:tcPr>
            <w:tcW w:type="dxa" w:w="1330"/>
          </w:tcPr>
          <w:p>
            <w:pPr>
              <w:pStyle w:val="Compact"/>
              <w:jc w:val="right"/>
            </w:pPr>
            <w:r>
              <w:t xml:space="preserve">0.377</w:t>
            </w:r>
          </w:p>
        </w:tc>
        <w:tc>
          <w:tcPr>
            <w:tcW w:type="dxa" w:w="1204"/>
          </w:tcPr>
          <w:p>
            <w:pPr>
              <w:pStyle w:val="Compact"/>
              <w:jc w:val="right"/>
            </w:pPr>
            <w:r>
              <w:t xml:space="preserve">0.234</w:t>
            </w:r>
          </w:p>
        </w:tc>
        <w:tc>
          <w:tcPr>
            <w:tcW w:type="dxa" w:w="1012"/>
          </w:tcPr>
          <w:p>
            <w:pPr>
              <w:pStyle w:val="Compact"/>
              <w:jc w:val="right"/>
            </w:pPr>
            <w:r>
              <w:t xml:space="preserve">0.56</w:t>
            </w:r>
          </w:p>
        </w:tc>
        <w:tc>
          <w:tcPr>
            <w:tcW w:type="dxa" w:w="1272"/>
          </w:tcPr>
          <w:p>
            <w:pPr>
              <w:pStyle w:val="Compact"/>
              <w:jc w:val="right"/>
            </w:pPr>
            <w:r>
              <w:t xml:space="preserve">0.49</w:t>
            </w:r>
          </w:p>
        </w:tc>
        <w:tc>
          <w:tcPr>
            <w:tcW w:type="dxa" w:w="1012"/>
          </w:tcPr>
          <w:p>
            <w:pPr>
              <w:pStyle w:val="Compact"/>
              <w:jc w:val="right"/>
            </w:pPr>
            <w:r>
              <w:t xml:space="preserve">0.77</w:t>
            </w:r>
          </w:p>
        </w:tc>
      </w:tr>
      <w:tr>
        <w:trPr>
          <w:cantSplit/>
        </w:trP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right"/>
            </w:pPr>
            <w:r>
              <w:t xml:space="preserve">0.124–0.822ᵇ</w:t>
            </w:r>
          </w:p>
        </w:tc>
        <w:tc>
          <w:tcPr>
            <w:tcW w:type="dxa" w:w="1330"/>
          </w:tcPr>
          <w:p>
            <w:pPr>
              <w:pStyle w:val="Compact"/>
              <w:jc w:val="right"/>
            </w:pPr>
            <w:r>
              <w:t xml:space="preserve">–</w:t>
            </w:r>
          </w:p>
        </w:tc>
        <w:tc>
          <w:tcPr>
            <w:tcW w:type="dxa" w:w="1204"/>
          </w:tcPr>
          <w:p>
            <w:pPr>
              <w:pStyle w:val="Compact"/>
              <w:jc w:val="right"/>
            </w:pPr>
            <w:r>
              <w:t xml:space="preserve">0.190–0.286</w:t>
            </w:r>
          </w:p>
        </w:tc>
        <w:tc>
          <w:tcPr>
            <w:tcW w:type="dxa" w:w="1012"/>
          </w:tcPr>
          <w:p>
            <w:pPr>
              <w:pStyle w:val="Compact"/>
              <w:jc w:val="right"/>
            </w:pPr>
            <w:r>
              <w:t xml:space="preserve">0.13–1.00</w:t>
            </w:r>
          </w:p>
        </w:tc>
        <w:tc>
          <w:tcPr>
            <w:tcW w:type="dxa" w:w="1272"/>
          </w:tcPr>
          <w:p>
            <w:pPr>
              <w:pStyle w:val="Compact"/>
              <w:jc w:val="right"/>
            </w:pPr>
            <w:r>
              <w:t xml:space="preserve">–</w:t>
            </w:r>
          </w:p>
        </w:tc>
        <w:tc>
          <w:tcPr>
            <w:tcW w:type="dxa" w:w="1012"/>
          </w:tcPr>
          <w:p>
            <w:pPr>
              <w:pStyle w:val="Compact"/>
              <w:jc w:val="right"/>
            </w:pPr>
            <w:r>
              <w:t xml:space="preserve">0.56–1.00</w:t>
            </w:r>
          </w:p>
        </w:tc>
      </w:tr>
      <w:tr>
        <w:trPr>
          <w:cantSplit/>
        </w:trPr>
        <w:tc>
          <w:tcPr>
            <w:tcW w:type="dxa" w:w="1734"/>
          </w:tcPr>
          <w:p>
            <w:pPr>
              <w:pStyle w:val="Compact"/>
              <w:jc w:val="left"/>
            </w:pPr>
            <w:r>
              <w:t xml:space="preserve">Haunched, pinned piers</w:t>
            </w:r>
          </w:p>
        </w:tc>
        <w:tc>
          <w:tcPr>
            <w:tcW w:type="dxa" w:w="1503"/>
          </w:tcPr>
          <w:p>
            <w:pPr>
              <w:pStyle w:val="Compact"/>
              <w:jc w:val="right"/>
            </w:pPr>
            <w:r>
              <w:t xml:space="preserve">0.023</w:t>
            </w:r>
          </w:p>
        </w:tc>
        <w:tc>
          <w:tcPr>
            <w:tcW w:type="dxa" w:w="1330"/>
          </w:tcPr>
          <w:p>
            <w:pPr>
              <w:pStyle w:val="Compact"/>
              <w:jc w:val="right"/>
            </w:pPr>
            <w:r>
              <w:t xml:space="preserve">−0.066</w:t>
            </w:r>
          </w:p>
        </w:tc>
        <w:tc>
          <w:tcPr>
            <w:tcW w:type="dxa" w:w="1204"/>
          </w:tcPr>
          <w:p>
            <w:pPr>
              <w:pStyle w:val="Compact"/>
              <w:jc w:val="right"/>
            </w:pPr>
            <w:r>
              <w:t xml:space="preserve">0.263</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r>
        <w:trPr>
          <w:cantSplit/>
        </w:trPr>
        <w:tc>
          <w:tcPr>
            <w:tcW w:type="dxa" w:w="1734"/>
          </w:tcPr>
          <w:p>
            <w:pPr>
              <w:pStyle w:val="Compact"/>
              <w:jc w:val="left"/>
            </w:pPr>
            <w:r>
              <w:t xml:space="preserve">Haunched, fixed piers</w:t>
            </w:r>
          </w:p>
        </w:tc>
        <w:tc>
          <w:tcPr>
            <w:tcW w:type="dxa" w:w="1503"/>
          </w:tcPr>
          <w:p>
            <w:pPr>
              <w:pStyle w:val="Compact"/>
              <w:jc w:val="right"/>
            </w:pPr>
            <w:r>
              <w:t xml:space="preserve">0.446</w:t>
            </w:r>
          </w:p>
        </w:tc>
        <w:tc>
          <w:tcPr>
            <w:tcW w:type="dxa" w:w="1330"/>
          </w:tcPr>
          <w:p>
            <w:pPr>
              <w:pStyle w:val="Compact"/>
              <w:jc w:val="right"/>
            </w:pPr>
            <w:r>
              <w:t xml:space="preserve">0.375</w:t>
            </w:r>
          </w:p>
        </w:tc>
        <w:tc>
          <w:tcPr>
            <w:tcW w:type="dxa" w:w="1204"/>
          </w:tcPr>
          <w:p>
            <w:pPr>
              <w:pStyle w:val="Compact"/>
              <w:jc w:val="right"/>
            </w:pPr>
            <w:r>
              <w:t xml:space="preserve">0.145</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r>
        <w:trPr>
          <w:cantSplit/>
        </w:trP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right"/>
            </w:pPr>
            <w:r>
              <w:t xml:space="preserve">0.51</w:t>
            </w:r>
          </w:p>
        </w:tc>
        <w:tc>
          <w:tcPr>
            <w:tcW w:type="dxa" w:w="1330"/>
          </w:tcPr>
          <w:p>
            <w:pPr>
              <w:pStyle w:val="Compact"/>
              <w:jc w:val="right"/>
            </w:pPr>
            <w:r>
              <w:t xml:space="preserve">–</w:t>
            </w:r>
          </w:p>
        </w:tc>
        <w:tc>
          <w:tcPr>
            <w:tcW w:type="dxa" w:w="1204"/>
          </w:tcPr>
          <w:p>
            <w:pPr>
              <w:pStyle w:val="Compact"/>
              <w:jc w:val="right"/>
            </w:pPr>
            <w:r>
              <w:t xml:space="preserve">0.12</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rPr>
              <m:t>mid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p>
      <w:pPr>
        <w:pStyle w:val="BodyText"/>
        <w:keepNext/>
      </w:pPr>
      <w:r>
        <w:rPr>
          <w:bCs/>
          <w:b/>
        </w:rPr>
        <w:t xml:space="preserve">Table S16.</w:t>
      </w:r>
      <w:r>
        <w:t xml:space="preserve"> </w:t>
      </w:r>
      <w:r>
        <w:t xml:space="preserve">Longitudinal axle positions of the static test load (model positions from the test plan). Each longitudinal row consists of two 3-axle trucks side by side, so the axle loads per row are 10, 20 and 20 t (5, 10 and 10 t per truck).</w:t>
      </w:r>
      <w:r>
        <w:t xml:space="preserve"> </w:t>
      </w:r>
      <m:oMath>
        <m:r>
          <m:t>x</m:t>
        </m:r>
      </m:oMath>
      <w:r>
        <w:t xml:space="preserve"> </w:t>
      </w:r>
      <w:r>
        <w:t xml:space="preserve">is measured from T5, with T8 at</w:t>
      </w:r>
      <w:r>
        <w:t xml:space="preserve"> </w:t>
      </w:r>
      <m:oMath>
        <m:r>
          <m:t>x</m:t>
        </m:r>
      </m:oMath>
      <w:r>
        <w:t xml:space="preserve"> </w:t>
      </w:r>
      <w:r>
        <w:t xml:space="preserve">= 200 m.</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433"/>
        <w:gridCol w:w="3318"/>
        <w:gridCol w:w="3318"/>
      </w:tblGrid>
      <w:tr>
        <w:trPr>
          <w:tblHeader w:val="true"/>
          <w:tblHeader w:val="true"/>
          <w:cantSplit/>
        </w:trPr>
        <w:tc>
          <w:tcPr>
            <w:tcW w:type="dxa" w:w="2433"/>
            <w:tcBorders>
              <w:top w:val="nil"/>
              <w:left w:val="nil"/>
              <w:bottom w:val="single" w:sz="6" w:space="0" w:color="000000"/>
              <w:right w:val="nil"/>
            </w:tcBorders>
          </w:tcPr>
          <w:p>
            <w:pPr>
              <w:pStyle w:val="Compact"/>
              <w:jc w:val="left"/>
            </w:pPr>
            <w:r>
              <w:t xml:space="preserve">Scheme</w:t>
            </w:r>
          </w:p>
        </w:tc>
        <w:tc>
          <w:tcPr>
            <w:tcW w:type="dxa" w:w="3318"/>
            <w:tcBorders>
              <w:top w:val="nil"/>
              <w:left w:val="nil"/>
              <w:bottom w:val="single" w:sz="6" w:space="0" w:color="000000"/>
              <w:right w:val="nil"/>
            </w:tcBorders>
          </w:tcPr>
          <w:p>
            <w:pPr>
              <w:pStyle w:val="Compact"/>
              <w:jc w:val="left"/>
            </w:pPr>
            <w:r>
              <w:t xml:space="preserve">Axle positions</w:t>
            </w:r>
            <w:r>
              <w:t xml:space="preserve"> </w:t>
            </w:r>
            <m:oMath>
              <m:r>
                <m:t>x</m:t>
              </m:r>
            </m:oMath>
            <w:r>
              <w:t xml:space="preserve"> </w:t>
            </w:r>
            <w:r>
              <w:t xml:space="preserve">(m), with axle load per row (t)</w:t>
            </w:r>
          </w:p>
        </w:tc>
        <w:tc>
          <w:tcPr>
            <w:tcW w:type="dxa" w:w="3318"/>
            <w:tcBorders>
              <w:top w:val="nil"/>
              <w:left w:val="nil"/>
              <w:bottom w:val="single" w:sz="6" w:space="0" w:color="000000"/>
              <w:right w:val="nil"/>
            </w:tcBorders>
          </w:tcPr>
          <w:p>
            <w:pPr>
              <w:pStyle w:val="Compact"/>
              <w:jc w:val="left"/>
            </w:pPr>
            <w:r>
              <w:t xml:space="preserve">Distance from T8 (m)</w:t>
            </w:r>
          </w:p>
        </w:tc>
      </w:tr>
      <w:tr>
        <w:trPr>
          <w:cantSplit/>
        </w:trPr>
        <w:tc>
          <w:tcPr>
            <w:tcW w:type="dxa" w:w="2433"/>
          </w:tcPr>
          <w:p>
            <w:pPr>
              <w:pStyle w:val="Compact"/>
              <w:jc w:val="left"/>
            </w:pPr>
            <w:r>
              <w:t xml:space="preserve">N8, side span (2 rows)</w:t>
            </w:r>
          </w:p>
        </w:tc>
        <w:tc>
          <w:tcPr>
            <w:tcW w:type="dxa" w:w="3318"/>
          </w:tcPr>
          <w:p>
            <w:pPr>
              <w:pStyle w:val="Compact"/>
              <w:jc w:val="left"/>
            </w:pPr>
            <w:r>
              <w:t xml:space="preserve">163.45 (10), 167.05 (20), 168.40 (20); 174.40 (10), 178.00 (20), 179.35 (20)</w:t>
            </w:r>
          </w:p>
        </w:tc>
        <w:tc>
          <w:tcPr>
            <w:tcW w:type="dxa" w:w="3318"/>
          </w:tcPr>
          <w:p>
            <w:pPr>
              <w:pStyle w:val="Compact"/>
              <w:jc w:val="left"/>
            </w:pPr>
            <w:r>
              <w:t xml:space="preserve">36.55, 32.95, 31.60; 25.60, 22.00, 20.65</w:t>
            </w:r>
          </w:p>
        </w:tc>
      </w:tr>
      <w:tr>
        <w:trPr>
          <w:cantSplit/>
        </w:trPr>
        <w:tc>
          <w:tcPr>
            <w:tcW w:type="dxa" w:w="2433"/>
          </w:tcPr>
          <w:p>
            <w:pPr>
              <w:pStyle w:val="Compact"/>
              <w:jc w:val="left"/>
            </w:pPr>
            <w:r>
              <w:t xml:space="preserve">N7, main span (3 rows)</w:t>
            </w:r>
          </w:p>
        </w:tc>
        <w:tc>
          <w:tcPr>
            <w:tcW w:type="dxa" w:w="3318"/>
          </w:tcPr>
          <w:p>
            <w:pPr>
              <w:pStyle w:val="Compact"/>
              <w:jc w:val="left"/>
            </w:pPr>
            <w:r>
              <w:t xml:space="preserve">87.70 (20), 89.05 (20), 92.65 (10); 98.65 (20), 100.00 (20), 103.60 (10); 109.60 (20), 110.95 (20), 114.55 (10)</w:t>
            </w:r>
          </w:p>
        </w:tc>
        <w:tc>
          <w:tcPr>
            <w:tcW w:type="dxa" w:w="3318"/>
          </w:tcPr>
          <w:p>
            <w:pPr>
              <w:pStyle w:val="Compact"/>
              <w:jc w:val="left"/>
            </w:pPr>
            <w:r>
              <w:t xml:space="preserve">–</w:t>
            </w:r>
          </w:p>
        </w:tc>
      </w:tr>
    </w:tbl>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Figures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pPr>
      <w:r>
        <w:rPr>
          <w:bCs/>
          <w:b/>
        </w:rPr>
        <w:t xml:space="preserve">Figure S16.</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(10), plus four times the relative error of the span length for deflection (two times for strain).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S17 evaluates Eq. (10) for the Mây Bridge gauges over the admissible set, with</w:t>
      </w:r>
      <w:r>
        <w:t xml:space="preserve"> </w:t>
      </w:r>
      <m:oMath>
        <m:sSub>
          <m:e>
            <m:r>
              <m:t>L</m:t>
            </m:r>
          </m:e>
          <m:sub>
            <m:r>
              <m:rPr>
                <m:sty m:val="p"/>
              </m:rPr>
              <m:t>tot</m:t>
            </m:r>
          </m:sub>
        </m:sSub>
        <m:r>
          <m:rPr>
            <m:sty m:val="p"/>
          </m:rPr>
          <m:t>=</m:t>
        </m:r>
        <m:r>
          <m:t>200</m:t>
        </m:r>
      </m:oMath>
      <w:r>
        <w:t xml:space="preserve"> </w:t>
      </w:r>
      <w:r>
        <w:t xml:space="preserve">m and a truck of the mean weighed gross weight, 25.06 t. The smaller offsets in Table S17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S18 collects all terms. On the five-span girder the far-lane constant was 0.79 of the near-lane value. At the Mây Bridge the readings across one section differ by up to 2.05 mm in the eccentric N7 case, about 13 % of the mean reading. Several vehicles on the structure return their combined weight; on the five-span girder the two-truck events gave 0.92 of the prediction. A crossing of the 200 m Mây Bridge unit, plus the wheelbase,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pPr>
      <w:r>
        <w:rPr>
          <w:bCs/>
          <w:b/>
        </w:rPr>
        <w:t xml:space="preserve">Table S17.</w:t>
      </w:r>
      <w:r>
        <w:t xml:space="preserve"> </w:t>
      </w:r>
      <w:r>
        <w:t xml:space="preserve">Bias of a single-channel estimate caused by a residual offset</w:t>
      </w:r>
      <w:r>
        <w:t xml:space="preserve"> </w:t>
      </w:r>
      <m:oMath>
        <m:sSub>
          <m:e>
            <m:r>
              <m:t>δ</m:t>
            </m:r>
          </m:e>
          <m:sub>
            <m:r>
              <m:t>0</m:t>
            </m:r>
          </m:sub>
        </m:sSub>
      </m:oMath>
      <w:r>
        <w:t xml:space="preserve">, Eq. (10), for a 25.06 t truck;</w:t>
      </w:r>
      <w:r>
        <w:t xml:space="preserve"> </w:t>
      </w:r>
      <m:oMath>
        <m:sSub>
          <m:e>
            <m:r>
              <m:t>L</m:t>
            </m:r>
          </m:e>
          <m:sub>
            <m:r>
              <m:rPr>
                <m:sty m:val="p"/>
              </m:rPr>
              <m:t>tot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right"/>
            </w:pPr>
            <w:r>
              <w:t xml:space="preserve">0.02 mm</w:t>
            </w:r>
          </w:p>
        </w:tc>
        <w:tc>
          <w:tcPr>
            <w:tcW w:type="dxa" w:w="1074"/>
            <w:tcBorders>
              <w:top w:val="nil"/>
              <w:left w:val="nil"/>
              <w:bottom w:val="single" w:sz="6" w:space="0" w:color="000000"/>
              <w:right w:val="nil"/>
            </w:tcBorders>
          </w:tcPr>
          <w:p>
            <w:pPr>
              <w:pStyle w:val="Compact"/>
              <w:jc w:val="right"/>
            </w:pPr>
            <w:r>
              <w:t xml:space="preserve">0.05 mm</w:t>
            </w:r>
          </w:p>
        </w:tc>
        <w:tc>
          <w:tcPr>
            <w:tcW w:type="dxa" w:w="1074"/>
            <w:tcBorders>
              <w:top w:val="nil"/>
              <w:left w:val="nil"/>
              <w:bottom w:val="single" w:sz="6" w:space="0" w:color="000000"/>
              <w:right w:val="nil"/>
            </w:tcBorders>
          </w:tcPr>
          <w:p>
            <w:pPr>
              <w:pStyle w:val="Compact"/>
              <w:jc w:val="right"/>
            </w:pPr>
            <w:r>
              <w:t xml:space="preserve">0.1 mm</w:t>
            </w:r>
          </w:p>
        </w:tc>
        <w:tc>
          <w:tcPr>
            <w:tcW w:type="dxa" w:w="1074"/>
            <w:tcBorders>
              <w:top w:val="nil"/>
              <w:left w:val="nil"/>
              <w:bottom w:val="single" w:sz="6" w:space="0" w:color="000000"/>
              <w:right w:val="nil"/>
            </w:tcBorders>
          </w:tcPr>
          <w:p>
            <w:pPr>
              <w:pStyle w:val="Compact"/>
              <w:jc w:val="right"/>
            </w:pPr>
            <w:r>
              <w:t xml:space="preserve">0.2 mm</w:t>
            </w:r>
          </w:p>
        </w:tc>
        <w:tc>
          <w:tcPr>
            <w:tcW w:type="dxa" w:w="1361"/>
            <w:tcBorders>
              <w:top w:val="nil"/>
              <w:left w:val="nil"/>
              <w:bottom w:val="single" w:sz="6" w:space="0" w:color="000000"/>
              <w:right w:val="nil"/>
            </w:tcBorders>
          </w:tcPr>
          <w:p>
            <w:pPr>
              <w:pStyle w:val="Compact"/>
              <w:jc w:val="right"/>
            </w:pPr>
            <w:r>
              <w:t xml:space="preserve">0.5 mm</w:t>
            </w:r>
          </w:p>
        </w:tc>
      </w:tr>
      <w:tr>
        <w:trPr>
          <w:cantSplit/>
        </w:trPr>
        <w:tc>
          <w:tcPr>
            <w:tcW w:type="dxa" w:w="1461"/>
          </w:tcPr>
          <w:p>
            <w:pPr>
              <w:pStyle w:val="Compact"/>
              <w:jc w:val="left"/>
            </w:pPr>
            <w:r>
              <w:t xml:space="preserve">N7, mid main span</w:t>
            </w:r>
          </w:p>
        </w:tc>
        <w:tc>
          <w:tcPr>
            <w:tcW w:type="dxa" w:w="1805"/>
          </w:tcPr>
          <w:p>
            <w:pPr>
              <w:pStyle w:val="Compact"/>
              <w:jc w:val="right"/>
            </w:pPr>
            <w:r>
              <w:t xml:space="preserve">3.3–5.0 × 10⁻⁴</w:t>
            </w:r>
          </w:p>
        </w:tc>
        <w:tc>
          <w:tcPr>
            <w:tcW w:type="dxa" w:w="1217"/>
          </w:tcPr>
          <w:p>
            <w:pPr>
              <w:pStyle w:val="Compact"/>
              <w:jc w:val="right"/>
            </w:pPr>
            <w:r>
              <w:t xml:space="preserve">3.3–5.0 %</w:t>
            </w:r>
          </w:p>
        </w:tc>
        <w:tc>
          <w:tcPr>
            <w:tcW w:type="dxa" w:w="1074"/>
          </w:tcPr>
          <w:p>
            <w:pPr>
              <w:pStyle w:val="Compact"/>
              <w:jc w:val="right"/>
            </w:pPr>
            <w:r>
              <w:t xml:space="preserve">8–12 %</w:t>
            </w:r>
          </w:p>
        </w:tc>
        <w:tc>
          <w:tcPr>
            <w:tcW w:type="dxa" w:w="1074"/>
          </w:tcPr>
          <w:p>
            <w:pPr>
              <w:pStyle w:val="Compact"/>
              <w:jc w:val="right"/>
            </w:pPr>
            <w:r>
              <w:t xml:space="preserve">16–25 %</w:t>
            </w:r>
          </w:p>
        </w:tc>
        <w:tc>
          <w:tcPr>
            <w:tcW w:type="dxa" w:w="1074"/>
          </w:tcPr>
          <w:p>
            <w:pPr>
              <w:pStyle w:val="Compact"/>
              <w:jc w:val="right"/>
            </w:pPr>
            <w:r>
              <w:t xml:space="preserve">33–50 %</w:t>
            </w:r>
          </w:p>
        </w:tc>
        <w:tc>
          <w:tcPr>
            <w:tcW w:type="dxa" w:w="1361"/>
          </w:tcPr>
          <w:p>
            <w:pPr>
              <w:pStyle w:val="Compact"/>
              <w:jc w:val="right"/>
            </w:pPr>
            <w:r>
              <w:t xml:space="preserve">82–124 %</w:t>
            </w:r>
          </w:p>
        </w:tc>
      </w:tr>
      <w:tr>
        <w:trPr>
          <w:cantSplit/>
        </w:trPr>
        <w:tc>
          <w:tcPr>
            <w:tcW w:type="dxa" w:w="1461"/>
          </w:tcPr>
          <w:p>
            <w:pPr>
              <w:pStyle w:val="Compact"/>
              <w:jc w:val="left"/>
            </w:pPr>
            <w:r>
              <w:t xml:space="preserve">N8, 0.4</w:t>
            </w:r>
            <m:oMath>
              <m:r>
                <m:t>L</m:t>
              </m:r>
            </m:oMath>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82–543 %</w:t>
            </w:r>
          </w:p>
        </w:tc>
        <w:tc>
          <w:tcPr>
            <w:tcW w:type="dxa" w:w="1361"/>
          </w:tcPr>
          <w:p>
            <w:pPr>
              <w:pStyle w:val="Compact"/>
              <w:jc w:val="right"/>
            </w:pPr>
            <w:r>
              <w:t xml:space="preserve">206–1356 %</w:t>
            </w:r>
          </w:p>
        </w:tc>
      </w:tr>
    </w:tbl>
    <w:p>
      <w:pPr>
        <w:pStyle w:val="BodyText"/>
        <w:keepNext/>
      </w:pPr>
      <w:r>
        <w:rPr>
          <w:bCs/>
          <w:b/>
        </w:rPr>
        <w:t xml:space="preserve">Table S18.</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2"/>
        <w:gridCol w:w="2124"/>
        <w:gridCol w:w="2451"/>
        <w:gridCol w:w="2451"/>
      </w:tblGrid>
      <w:tr>
        <w:trPr>
          <w:tblHeader w:val="true"/>
          <w:tblHeader w:val="true"/>
          <w:cantSplit/>
        </w:trPr>
        <w:tc>
          <w:tcPr>
            <w:tcW w:type="dxa" w:w="2042"/>
            <w:tcBorders>
              <w:top w:val="nil"/>
              <w:left w:val="nil"/>
              <w:bottom w:val="single" w:sz="6" w:space="0" w:color="000000"/>
              <w:right w:val="nil"/>
            </w:tcBorders>
          </w:tcPr>
          <w:p>
            <w:pPr>
              <w:pStyle w:val="Compact"/>
              <w:jc w:val="left"/>
            </w:pPr>
            <w:r>
              <w:t xml:space="preserve">Term</w:t>
            </w:r>
          </w:p>
        </w:tc>
        <w:tc>
          <w:tcPr>
            <w:tcW w:type="dxa" w:w="2124"/>
            <w:tcBorders>
              <w:top w:val="nil"/>
              <w:left w:val="nil"/>
              <w:bottom w:val="single" w:sz="6" w:space="0" w:color="000000"/>
              <w:right w:val="nil"/>
            </w:tcBorders>
          </w:tcPr>
          <w:p>
            <w:pPr>
              <w:pStyle w:val="Compact"/>
              <w:jc w:val="left"/>
            </w:pPr>
            <w:r>
              <w:t xml:space="preserve">Sensitivity</w:t>
            </w:r>
          </w:p>
        </w:tc>
        <w:tc>
          <w:tcPr>
            <w:tcW w:type="dxa" w:w="2451"/>
            <w:tcBorders>
              <w:top w:val="nil"/>
              <w:left w:val="nil"/>
              <w:bottom w:val="single" w:sz="6" w:space="0" w:color="000000"/>
              <w:right w:val="nil"/>
            </w:tcBorders>
          </w:tcPr>
          <w:p>
            <w:pPr>
              <w:pStyle w:val="Compact"/>
              <w:jc w:val="left"/>
            </w:pPr>
            <w:r>
              <w:t xml:space="preserve">Cancels in SLM?</w:t>
            </w:r>
          </w:p>
        </w:tc>
        <w:tc>
          <w:tcPr>
            <w:tcW w:type="dxa" w:w="2451"/>
            <w:tcBorders>
              <w:top w:val="nil"/>
              <w:left w:val="nil"/>
              <w:bottom w:val="single" w:sz="6" w:space="0" w:color="000000"/>
              <w:right w:val="nil"/>
            </w:tcBorders>
          </w:tcPr>
          <w:p>
            <w:pPr>
              <w:pStyle w:val="Compact"/>
              <w:jc w:val="left"/>
            </w:pPr>
            <w:r>
              <w:t xml:space="preserve">Value in this study</w:t>
            </w:r>
          </w:p>
        </w:tc>
      </w:tr>
      <w:tr>
        <w:trPr>
          <w:cantSplit/>
        </w:trPr>
        <w:tc>
          <w:tcPr>
            <w:tcW w:type="dxa" w:w="2042"/>
          </w:tcPr>
          <w:p>
            <w:pPr>
              <w:pStyle w:val="Compact"/>
              <w:jc w:val="left"/>
            </w:pPr>
            <w:r>
              <w:t xml:space="preserve">Flexural rigidity</w:t>
            </w:r>
            <w:r>
              <w:t xml:space="preserve"> </w:t>
            </w:r>
            <m:oMath>
              <m:r>
                <m:t>E</m:t>
              </m:r>
              <m:r>
                <m:t>I</m:t>
              </m:r>
            </m:oMath>
          </w:p>
        </w:tc>
        <w:tc>
          <w:tcPr>
            <w:tcW w:type="dxa" w:w="2124"/>
          </w:tcPr>
          <w:p>
            <w:pPr>
              <w:pStyle w:val="Compact"/>
              <w:jc w:val="left"/>
            </w:pPr>
            <w:r>
              <w:t xml:space="preserve">1</w:t>
            </w:r>
          </w:p>
        </w:tc>
        <w:tc>
          <w:tcPr>
            <w:tcW w:type="dxa" w:w="2451"/>
          </w:tcPr>
          <w:p>
            <w:pPr>
              <w:pStyle w:val="Compact"/>
              <w:jc w:val="left"/>
            </w:pPr>
            <w:r>
              <w:t xml:space="preserve">yes</w:t>
            </w:r>
          </w:p>
        </w:tc>
        <w:tc>
          <w:tcPr>
            <w:tcW w:type="dxa" w:w="2451"/>
          </w:tcPr>
          <w:p>
            <w:pPr>
              <w:pStyle w:val="Compact"/>
              <w:jc w:val="left"/>
            </w:pPr>
            <w:r>
              <w:t xml:space="preserve">BPM only; Mây Bridge N8 constant varies 6.6-fold over the admissible set</w:t>
            </w:r>
          </w:p>
        </w:tc>
      </w:tr>
      <w:tr>
        <w:trPr>
          <w:cantSplit/>
        </w:trPr>
        <w:tc>
          <w:tcPr>
            <w:tcW w:type="dxa" w:w="2042"/>
          </w:tcPr>
          <w:p>
            <w:pPr>
              <w:pStyle w:val="Compact"/>
              <w:jc w:val="left"/>
            </w:pPr>
            <w:r>
              <w:t xml:space="preserve">Span length</w:t>
            </w:r>
          </w:p>
        </w:tc>
        <w:tc>
          <w:tcPr>
            <w:tcW w:type="dxa" w:w="2124"/>
          </w:tcPr>
          <w:p>
            <w:pPr>
              <w:pStyle w:val="Compact"/>
              <w:jc w:val="left"/>
            </w:pPr>
            <w:r>
              <w:t xml:space="preserve">4 (deflection), 2 (strain)</w:t>
            </w:r>
          </w:p>
        </w:tc>
        <w:tc>
          <w:tcPr>
            <w:tcW w:type="dxa" w:w="2451"/>
          </w:tcPr>
          <w:p>
            <w:pPr>
              <w:pStyle w:val="Compact"/>
              <w:jc w:val="left"/>
            </w:pPr>
            <w:r>
              <w:t xml:space="preserve">yes</w:t>
            </w:r>
          </w:p>
        </w:tc>
        <w:tc>
          <w:tcPr>
            <w:tcW w:type="dxa" w:w="2451"/>
          </w:tcPr>
          <w:p>
            <w:pPr>
              <w:pStyle w:val="Compact"/>
              <w:jc w:val="left"/>
            </w:pPr>
            <w:r>
              <w:t xml:space="preserve">BPM only</w:t>
            </w:r>
          </w:p>
        </w:tc>
      </w:tr>
      <w:tr>
        <w:trPr>
          <w:cantSplit/>
        </w:trPr>
        <w:tc>
          <w:tcPr>
            <w:tcW w:type="dxa" w:w="2042"/>
          </w:tcPr>
          <w:p>
            <w:pPr>
              <w:pStyle w:val="Compact"/>
              <w:jc w:val="left"/>
            </w:pPr>
            <w:r>
              <w:t xml:space="preserve">Gain</w:t>
            </w:r>
          </w:p>
        </w:tc>
        <w:tc>
          <w:tcPr>
            <w:tcW w:type="dxa" w:w="2124"/>
          </w:tcPr>
          <w:p>
            <w:pPr>
              <w:pStyle w:val="Compact"/>
              <w:jc w:val="left"/>
            </w:pPr>
            <w:r>
              <w:t xml:space="preserve">1</w:t>
            </w:r>
          </w:p>
        </w:tc>
        <w:tc>
          <w:tcPr>
            <w:tcW w:type="dxa" w:w="2451"/>
          </w:tcPr>
          <w:p>
            <w:pPr>
              <w:pStyle w:val="Compact"/>
              <w:jc w:val="left"/>
            </w:pPr>
            <w:r>
              <w:t xml:space="preserve">if not recalibrated between crossings</w:t>
            </w:r>
          </w:p>
        </w:tc>
        <w:tc>
          <w:tcPr>
            <w:tcW w:type="dxa" w:w="2451"/>
          </w:tcPr>
          <w:p>
            <w:pPr>
              <w:pStyle w:val="Compact"/>
              <w:jc w:val="left"/>
            </w:pPr>
            <w:r>
              <w:t xml:space="preserve">not evaluated</w:t>
            </w:r>
          </w:p>
        </w:tc>
      </w:tr>
      <w:tr>
        <w:trPr>
          <w:cantSplit/>
        </w:trPr>
        <w:tc>
          <w:tcPr>
            <w:tcW w:type="dxa" w:w="2042"/>
          </w:tcPr>
          <w:p>
            <w:pPr>
              <w:pStyle w:val="Compact"/>
              <w:jc w:val="left"/>
            </w:pPr>
            <w:r>
              <w:t xml:space="preserve">Reference weighing</w:t>
            </w:r>
            <w:r>
              <w:t xml:space="preserve"> </w:t>
            </w:r>
            <m:oMath>
              <m:sSub>
                <m:e>
                  <m:r>
                    <m:t>P</m:t>
                  </m:r>
                </m:e>
                <m:sub>
                  <m:r>
                    <m:t>0</m:t>
                  </m:r>
                </m:sub>
              </m:sSub>
            </m:oMath>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International Organization of Legal Metrology (OIML) class M1 weights; field: day-1 weights driver-reported</w:t>
            </w:r>
          </w:p>
        </w:tc>
      </w:tr>
      <w:tr>
        <w:trPr>
          <w:cantSplit/>
        </w:trPr>
        <w:tc>
          <w:tcPr>
            <w:tcW w:type="dxa" w:w="2042"/>
          </w:tcPr>
          <w:p>
            <w:pPr>
              <w:pStyle w:val="Compact"/>
              <w:jc w:val="left"/>
            </w:pPr>
            <w:r>
              <w:t xml:space="preserve">Residual offset, drift</w:t>
            </w:r>
            <w:r>
              <w:t xml:space="preserve"> </w:t>
            </w:r>
            <m:oMath>
              <m:sSub>
                <m:e>
                  <m:r>
                    <m:t>δ</m:t>
                  </m:r>
                </m:e>
                <m:sub>
                  <m:r>
                    <m:t>0</m:t>
                  </m:r>
                </m:sub>
              </m:sSub>
            </m:oMath>
          </w:p>
        </w:tc>
        <w:tc>
          <w:tcPr>
            <w:tcW w:type="dxa" w:w="2124"/>
          </w:tcPr>
          <w:p>
            <w:pPr>
              <w:pStyle w:val="Compact"/>
              <w:jc w:val="left"/>
            </w:pPr>
            <m:oMath>
              <m:sSub>
                <m:e>
                  <m:r>
                    <m:t>L</m:t>
                  </m:r>
                </m:e>
                <m:sub>
                  <m:r>
                    <m:rPr>
                      <m:sty m:val="p"/>
                    </m:rPr>
                    <m:t>tot</m:t>
                  </m:r>
                </m:sub>
              </m:sSub>
              <m:r>
                <m:rPr>
                  <m:sty m:val="p"/>
                </m:rPr>
                <m:t>/</m:t>
              </m:r>
              <m:r>
                <m:t>J</m:t>
              </m:r>
            </m:oMath>
            <w:r>
              <w:t xml:space="preserve"> </w:t>
            </w:r>
            <w:r>
              <w:t xml:space="preserve">per unit offset</w:t>
            </w:r>
          </w:p>
        </w:tc>
        <w:tc>
          <w:tcPr>
            <w:tcW w:type="dxa" w:w="2451"/>
          </w:tcPr>
          <w:p>
            <w:pPr>
              <w:pStyle w:val="Compact"/>
              <w:jc w:val="left"/>
            </w:pPr>
            <w:r>
              <w:t xml:space="preserve">only if common-mode during crossings</w:t>
            </w:r>
          </w:p>
        </w:tc>
        <w:tc>
          <w:tcPr>
            <w:tcW w:type="dxa" w:w="2451"/>
          </w:tcPr>
          <w:p>
            <w:pPr>
              <w:pStyle w:val="Compact"/>
              <w:jc w:val="left"/>
            </w:pPr>
            <w:r>
              <w:t xml:space="preserve">Table S17; field per-crossing SD of the gauge average predicted 19.8 % (day 2), 5.3 % (day 1)</w:t>
            </w:r>
          </w:p>
        </w:tc>
      </w:tr>
      <w:tr>
        <w:trPr>
          <w:cantSplit/>
        </w:trPr>
        <w:tc>
          <w:tcPr>
            <w:tcW w:type="dxa" w:w="2042"/>
          </w:tcPr>
          <w:p>
            <w:pPr>
              <w:pStyle w:val="Compact"/>
              <w:jc w:val="left"/>
            </w:pPr>
            <w:r>
              <w:t xml:space="preserve">Speed effect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day 2: +6 % per 10 m/s (95 % CI −23 to +35 %), not resolved</w:t>
            </w:r>
          </w:p>
        </w:tc>
      </w:tr>
      <w:tr>
        <w:trPr>
          <w:cantSplit/>
        </w:trPr>
        <w:tc>
          <w:tcPr>
            <w:tcW w:type="dxa" w:w="2042"/>
          </w:tcPr>
          <w:p>
            <w:pPr>
              <w:pStyle w:val="Compact"/>
              <w:jc w:val="left"/>
            </w:pPr>
            <w:r>
              <w:t xml:space="preserve">Speed measurement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1.4 % on average (at most 4.6 %) against the dataset speeds; a second estimator differs by a factor of 1.139 (SD 0.124)</w:t>
            </w:r>
          </w:p>
        </w:tc>
      </w:tr>
      <w:tr>
        <w:trPr>
          <w:cantSplit/>
        </w:trPr>
        <w:tc>
          <w:tcPr>
            <w:tcW w:type="dxa" w:w="2042"/>
          </w:tcPr>
          <w:p>
            <w:pPr>
              <w:pStyle w:val="Compact"/>
              <w:jc w:val="left"/>
            </w:pPr>
            <w:r>
              <w:t xml:space="preserve">Dynamics</w:t>
            </w:r>
          </w:p>
        </w:tc>
        <w:tc>
          <w:tcPr>
            <w:tcW w:type="dxa" w:w="2124"/>
          </w:tcPr>
          <w:p>
            <w:pPr>
              <w:pStyle w:val="Compact"/>
              <w:jc w:val="left"/>
            </w:pPr>
            <w:r>
              <w:t xml:space="preserve">1</w:t>
            </w:r>
          </w:p>
        </w:tc>
        <w:tc>
          <w:tcPr>
            <w:tcW w:type="dxa" w:w="2451"/>
          </w:tcPr>
          <w:p>
            <w:pPr>
              <w:pStyle w:val="Compact"/>
              <w:jc w:val="left"/>
            </w:pPr>
            <w:r>
              <w:t xml:space="preserve">partly</w:t>
            </w:r>
          </w:p>
        </w:tc>
        <w:tc>
          <w:tcPr>
            <w:tcW w:type="dxa" w:w="2451"/>
          </w:tcPr>
          <w:p>
            <w:pPr>
              <w:pStyle w:val="Compact"/>
              <w:jc w:val="left"/>
            </w:pPr>
            <w:r>
              <w:t xml:space="preserve">≤ 1 % for</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2"/>
          </w:tcPr>
          <w:p>
            <w:pPr>
              <w:pStyle w:val="Compact"/>
              <w:jc w:val="left"/>
            </w:pPr>
            <w:r>
              <w:t xml:space="preserve">Transverse position</w:t>
            </w:r>
          </w:p>
        </w:tc>
        <w:tc>
          <w:tcPr>
            <w:tcW w:type="dxa" w:w="2124"/>
          </w:tcPr>
          <w:p>
            <w:pPr>
              <w:pStyle w:val="Compact"/>
              <w:jc w:val="left"/>
            </w:pPr>
            <w:r>
              <w:t xml:space="preserve">lane-dependent</w:t>
            </w:r>
            <w:r>
              <w:t xml:space="preserve"> </w:t>
            </w:r>
            <m:oMath>
              <m:r>
                <m:t>C</m:t>
              </m:r>
            </m:oMath>
          </w:p>
        </w:tc>
        <w:tc>
          <w:tcPr>
            <w:tcW w:type="dxa" w:w="2451"/>
          </w:tcPr>
          <w:p>
            <w:pPr>
              <w:pStyle w:val="Compact"/>
              <w:jc w:val="left"/>
            </w:pPr>
            <w:r>
              <w:t xml:space="preserve">no, unless lane-specific</w:t>
            </w:r>
          </w:p>
        </w:tc>
        <w:tc>
          <w:tcPr>
            <w:tcW w:type="dxa" w:w="2451"/>
          </w:tcPr>
          <w:p>
            <w:pPr>
              <w:pStyle w:val="Compact"/>
              <w:jc w:val="left"/>
            </w:pPr>
            <w:r>
              <w:t xml:space="preserve">field lane ratio 0.79; Mây Bridge range 2.05 mm across a section</w:t>
            </w:r>
          </w:p>
        </w:tc>
      </w:tr>
      <w:tr>
        <w:trPr>
          <w:cantSplit/>
        </w:trPr>
        <w:tc>
          <w:tcPr>
            <w:tcW w:type="dxa" w:w="2042"/>
          </w:tcPr>
          <w:p>
            <w:pPr>
              <w:pStyle w:val="Compact"/>
              <w:jc w:val="left"/>
            </w:pPr>
            <w:r>
              <w:t xml:space="preserve">Multiple presence</w:t>
            </w:r>
          </w:p>
        </w:tc>
        <w:tc>
          <w:tcPr>
            <w:tcW w:type="dxa" w:w="2124"/>
          </w:tcPr>
          <w:p>
            <w:pPr>
              <w:pStyle w:val="Compact"/>
              <w:jc w:val="left"/>
            </w:pPr>
            <w:r>
              <w:t xml:space="preserve">group weight</w:t>
            </w:r>
          </w:p>
        </w:tc>
        <w:tc>
          <w:tcPr>
            <w:tcW w:type="dxa" w:w="2451"/>
          </w:tcPr>
          <w:p>
            <w:pPr>
              <w:pStyle w:val="Compact"/>
              <w:jc w:val="left"/>
            </w:pPr>
            <w:r>
              <w:t xml:space="preserve">–</w:t>
            </w:r>
          </w:p>
        </w:tc>
        <w:tc>
          <w:tcPr>
            <w:tcW w:type="dxa" w:w="2451"/>
          </w:tcPr>
          <w:p>
            <w:pPr>
              <w:pStyle w:val="Compact"/>
              <w:jc w:val="left"/>
            </w:pPr>
            <w:r>
              <w:t xml:space="preserve">two-truck events 0.92 of prediction</w:t>
            </w:r>
          </w:p>
        </w:tc>
      </w:tr>
      <w:tr>
        <w:trPr>
          <w:cantSplit/>
        </w:trPr>
        <w:tc>
          <w:tcPr>
            <w:tcW w:type="dxa" w:w="2042"/>
          </w:tcPr>
          <w:p>
            <w:pPr>
              <w:pStyle w:val="Compact"/>
              <w:jc w:val="left"/>
            </w:pPr>
            <w:r>
              <w:t xml:space="preserve">Linearity, seating</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(4)–(7), (S1) and (S2)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ref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(13)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For GLS or zero-sum weights, vehicle-free windows are not enough to estimate</w:t>
      </w:r>
      <w:r>
        <w:t xml:space="preserve"> </w:t>
      </w:r>
      <m:oMath>
        <m:r>
          <m:t>Σ</m:t>
        </m:r>
      </m:oMath>
      <w:r>
        <w:t xml:space="preserve">; they misled on the field records (Section 4.3). Residuals of calibration crossings are the better basis but were not sufficient on the field records: with eight runs,</w:t>
      </w:r>
      <w:r>
        <w:t xml:space="preserve"> </w:t>
      </w:r>
      <m:oMath>
        <m:r>
          <m:t>Σ</m:t>
        </m:r>
      </m:oMath>
      <w:r>
        <w:t xml:space="preserve"> </w:t>
      </w:r>
      <w:r>
        <w:t xml:space="preserve">estimated from them over-fitted (mean absolute error 8.5 % in sample against 23.4 % out of sample; Section S7). Combine channels only with enough calibration crossings and an out-of-sample check against the gauge average.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(10), for the residual offset that the instrumentation achieves after re-zeroing, and compare it with the lightest vehicle to be screened. Check</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influence-line BWIM or enforcement weighing for the vehicles it flags.</w:t>
      </w:r>
    </w:p>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of the article and this document to a script and a log file.</w:t>
      </w:r>
      <w:r>
        <w:t xml:space="preserve"> </w:t>
      </w:r>
      <w:r>
        <w:rPr>
          <w:rStyle w:val="VerbatimChar"/>
        </w:rPr>
        <w:t xml:space="preserve">run_all.sh --all</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2026-10-20T12:24:33Z</dcterms:created>
  <dcterms:modified xsi:type="dcterms:W3CDTF">2026-10-20T12:24:33Z</dcterms:modified>
</cp:coreProperties>
</file>

<file path=docProps/custom.xml><?xml version="1.0" encoding="utf-8"?>
<Properties xmlns="http://schemas.openxmlformats.org/officeDocument/2006/custom-properties" xmlns:vt="http://schemas.openxmlformats.org/officeDocument/2006/docPropsVTypes"/>
</file>