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continuous and haunched girders; strain gauges are blind at every zero of the uniform-load moment and nearly blind in a band that can contain gauges set back from the piers. Optimal sensors lie at the extremes of the uniform-load response, and the constant follows a linear-fractional (Möbius) law in the pier stiffness. A laboratory test is consistent with the identity. Public moving-truck records are consistent with its assumptions within 10–27 % but vary too little in weight to test weight discrimination; they show that vehicle-free noise covariance misleads multi-channel weighting. On an in-service box girder, two static readings leave the side-span deflection constant uncertain by a factor of 6.6 but determine the main-span constant.</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regularization (OBrien et al., 2009), accuracy improvements (Yu et al., 2016;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two- and three-span and haunched girders, with two indicators that need no reference rigidity. At every prismatic location examined, strain influence lines cancel less than deflection influence lines, yet every continuous girder has strain blind points; at mid-span of two equal spans the cancellation ratio, the net influence area divided by its positive part, is</w:t>
      </w:r>
      <w:r>
        <w:t xml:space="preserve"> </w:t>
      </w:r>
      <m:oMath>
        <m:sSub>
          <m:e>
            <m:r>
              <m:t>R</m:t>
            </m:r>
          </m:e>
          <m:sub>
            <m:r>
              <m:t>ε</m:t>
            </m:r>
          </m:sub>
        </m:sSub>
        <m:r>
          <m:rPr>
            <m:sty m:val="p"/>
          </m:rPr>
          <m:t>=</m:t>
        </m:r>
        <m:r>
          <m:t>0.667</m:t>
        </m:r>
      </m:oMath>
      <w:r>
        <w:t xml:space="preserve"> </w:t>
      </w:r>
      <w:r>
        <w:t xml:space="preserve">for strain against</w:t>
      </w:r>
      <w:r>
        <w:t xml:space="preserve"> </w:t>
      </w:r>
      <m:oMath>
        <m:sSub>
          <m:e>
            <m:r>
              <m:t>R</m:t>
            </m:r>
          </m:e>
          <m:sub>
            <m:r>
              <m:t>w</m:t>
            </m:r>
          </m:sub>
        </m:sSub>
        <m:r>
          <m:rPr>
            <m:sty m:val="p"/>
          </m:rPr>
          <m:t>=</m:t>
        </m:r>
        <m:r>
          <m:t>0.571</m:t>
        </m:r>
      </m:oMath>
      <w:r>
        <w:t xml:space="preserve"> </w:t>
      </w:r>
      <w:r>
        <w:t xml:space="preserve">for deflection.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twelve gauges, but only ch11 shows equal constants for both trucks within ±10 % (Fig. 5a); with twelve tests at the 5 % level, one gauge passing this ±10 % check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bands: ±5 % 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bookmarkEnd w:id="51"/>
    <w:bookmarkStart w:id="55" w:name="what-the-static-data-identify"/>
    <w:p>
      <w:pPr>
        <w:pStyle w:val="Heading3"/>
      </w:pPr>
      <w:r>
        <w:t xml:space="preserve">5.2. What the static data identify</w:t>
      </w:r>
    </w:p>
    <w:p>
      <w:pPr>
        <w:pStyle w:val="FirstParagraph"/>
      </w:pPr>
      <w:r>
        <w:t xml:space="preserve">Because of a model-form misfit and the Möbius law of Eq. (15), the static data leave the constant of the side-span gauge N8 uncertain by a factor of 6.6, whereas that of the main-span gauge N7 is well determined.</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0.4L</w:t>
            </w:r>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0.4L /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Cầu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Cầu Mây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Lobo-Aguilar S and Christenson RE (2021) Sparse sensing bridge weigh-in-motion for single-span bridges. Métodos y Materiales 11: 43–53. DOI: 10.15517/mym.v11i0.46400.</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Fan Y, Zhu J, Pei J and Li Z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and Yang C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Zhu J, Wang C, Qi T and Zhou Y (2022) Vehicle load identification on orthotropic steel box beam bridge based on the strain response area. Applied Sciences 12(23): 12394. DOI: 10.3390/app122312394.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2026-10-19T16:14:37Z</dcterms:created>
  <dcterms:modified xsi:type="dcterms:W3CDTF">2026-10-19T16:14:37Z</dcterms:modified>
</cp:coreProperties>
</file>

<file path=docProps/custom.xml><?xml version="1.0" encoding="utf-8"?>
<Properties xmlns="http://schemas.openxmlformats.org/officeDocument/2006/custom-properties" xmlns:vt="http://schemas.openxmlformats.org/officeDocument/2006/docPropsVTypes"/>
</file>