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Observability and sensor layout for influence-area load monitoring of continuous girder bridges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rPr>
          <w:cantSplit/>
        </w:trP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47894"/>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47894"/>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08826"/>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08826"/>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Figure"/>
      </w:pPr>
      <w:r>
        <w:drawing>
          <wp:inline>
            <wp:extent cx="5039999" cy="273527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73527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Figure"/>
      </w:pPr>
      <w:r>
        <w:drawing>
          <wp:inline>
            <wp:extent cx="5039999" cy="1658220"/>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658220"/>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S4).</w:t>
      </w:r>
    </w:p>
    <w:p>
      <w:pPr>
        <w:pStyle w:val="BodyText"/>
        <w:keepN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32"/>
        <w:gridCol w:w="2386"/>
        <w:gridCol w:w="2004"/>
        <w:gridCol w:w="1623"/>
        <w:gridCol w:w="1623"/>
      </w:tblGrid>
      <w:tr>
        <w:trPr>
          <w:tblHeader w:val="true"/>
          <w:tblHeader w:val="true"/>
          <w:cantSplit/>
        </w:trPr>
        <w:tc>
          <w:tcPr>
            <w:tcW w:type="dxa" w:w="1432"/>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386"/>
            <w:tcBorders>
              <w:top w:val="nil"/>
              <w:left w:val="nil"/>
              <w:bottom w:val="single" w:sz="6" w:space="0" w:color="000000"/>
              <w:right w:val="nil"/>
            </w:tcBorders>
          </w:tcPr>
          <w:p>
            <w:pPr>
              <w:pStyle w:val="Compact"/>
              <w:jc w:val="right"/>
            </w:pPr>
            <w:r>
              <w:t xml:space="preserve">Analytical, single</w:t>
            </w:r>
          </w:p>
        </w:tc>
        <w:tc>
          <w:tcPr>
            <w:tcW w:type="dxa" w:w="2004"/>
            <w:tcBorders>
              <w:top w:val="nil"/>
              <w:left w:val="nil"/>
              <w:bottom w:val="single" w:sz="6" w:space="0" w:color="000000"/>
              <w:right w:val="nil"/>
            </w:tcBorders>
          </w:tcPr>
          <w:p>
            <w:pPr>
              <w:pStyle w:val="Compact"/>
              <w:jc w:val="right"/>
            </w:pPr>
            <w:r>
              <w:t xml:space="preserve">Measured, single</w:t>
            </w:r>
          </w:p>
        </w:tc>
        <w:tc>
          <w:tcPr>
            <w:tcW w:type="dxa" w:w="1623"/>
            <w:tcBorders>
              <w:top w:val="nil"/>
              <w:left w:val="nil"/>
              <w:bottom w:val="single" w:sz="6" w:space="0" w:color="000000"/>
              <w:right w:val="nil"/>
            </w:tcBorders>
          </w:tcPr>
          <w:p>
            <w:pPr>
              <w:pStyle w:val="Compact"/>
              <w:jc w:val="right"/>
            </w:pPr>
            <w:r>
              <w:t xml:space="preserve">Two loads</w:t>
            </w:r>
          </w:p>
        </w:tc>
        <w:tc>
          <w:tcPr>
            <w:tcW w:type="dxa" w:w="1623"/>
            <w:tcBorders>
              <w:top w:val="nil"/>
              <w:left w:val="nil"/>
              <w:bottom w:val="single" w:sz="6" w:space="0" w:color="000000"/>
              <w:right w:val="nil"/>
            </w:tcBorders>
          </w:tcPr>
          <w:p>
            <w:pPr>
              <w:pStyle w:val="Compact"/>
              <w:jc w:val="right"/>
            </w:pPr>
            <w:r>
              <w:t xml:space="preserve">Three loads</w:t>
            </w:r>
          </w:p>
        </w:tc>
      </w:tr>
      <w:tr>
        <w:trPr>
          <w:cantSplit/>
        </w:trPr>
        <w:tc>
          <w:tcPr>
            <w:tcW w:type="dxa" w:w="1432"/>
          </w:tcPr>
          <w:p>
            <w:pPr>
              <w:pStyle w:val="Compact"/>
              <w:jc w:val="right"/>
            </w:pPr>
            <w:r>
              <w:t xml:space="preserve">0.0000</w:t>
            </w:r>
          </w:p>
        </w:tc>
        <w:tc>
          <w:tcPr>
            <w:tcW w:type="dxa" w:w="2386"/>
          </w:tcPr>
          <w:p>
            <w:pPr>
              <w:pStyle w:val="Compact"/>
              <w:jc w:val="right"/>
            </w:pPr>
            <w:r>
              <w:t xml:space="preserve">0.0000</w:t>
            </w:r>
          </w:p>
        </w:tc>
        <w:tc>
          <w:tcPr>
            <w:tcW w:type="dxa" w:w="2004"/>
          </w:tcPr>
          <w:p>
            <w:pPr>
              <w:pStyle w:val="Compact"/>
              <w:jc w:val="right"/>
            </w:pPr>
            <w:r>
              <w:t xml:space="preserve">0.0000</w:t>
            </w:r>
          </w:p>
        </w:tc>
        <w:tc>
          <w:tcPr>
            <w:tcW w:type="dxa" w:w="1623"/>
          </w:tcPr>
          <w:p>
            <w:pPr>
              <w:pStyle w:val="Compact"/>
              <w:jc w:val="right"/>
            </w:pPr>
            <w:r>
              <w:t xml:space="preserve">0.0000</w:t>
            </w:r>
          </w:p>
        </w:tc>
        <w:tc>
          <w:tcPr>
            <w:tcW w:type="dxa" w:w="1623"/>
          </w:tcPr>
          <w:p>
            <w:pPr>
              <w:pStyle w:val="Compact"/>
              <w:jc w:val="right"/>
            </w:pPr>
            <w:r>
              <w:t xml:space="preserve">0.0000</w:t>
            </w:r>
          </w:p>
        </w:tc>
      </w:tr>
      <w:tr>
        <w:trPr>
          <w:cantSplit/>
        </w:trPr>
        <w:tc>
          <w:tcPr>
            <w:tcW w:type="dxa" w:w="1432"/>
          </w:tcPr>
          <w:p>
            <w:pPr>
              <w:pStyle w:val="Compact"/>
              <w:jc w:val="right"/>
            </w:pPr>
            <w:r>
              <w:t xml:space="preserve">250</w:t>
            </w:r>
          </w:p>
        </w:tc>
        <w:tc>
          <w:tcPr>
            <w:tcW w:type="dxa" w:w="2386"/>
          </w:tcPr>
          <w:p>
            <w:pPr>
              <w:pStyle w:val="Compact"/>
              <w:jc w:val="right"/>
            </w:pPr>
            <w:r>
              <w:t xml:space="preserve">0.8874</w:t>
            </w:r>
          </w:p>
        </w:tc>
        <w:tc>
          <w:tcPr>
            <w:tcW w:type="dxa" w:w="2004"/>
          </w:tcPr>
          <w:p>
            <w:pPr>
              <w:pStyle w:val="Compact"/>
              <w:jc w:val="right"/>
            </w:pPr>
            <w:r>
              <w:t xml:space="preserve">0.8844</w:t>
            </w:r>
          </w:p>
        </w:tc>
        <w:tc>
          <w:tcPr>
            <w:tcW w:type="dxa" w:w="1623"/>
          </w:tcPr>
          <w:p>
            <w:pPr>
              <w:pStyle w:val="Compact"/>
              <w:jc w:val="right"/>
            </w:pPr>
            <w:r>
              <w:t xml:space="preserve">0.4625</w:t>
            </w:r>
          </w:p>
        </w:tc>
        <w:tc>
          <w:tcPr>
            <w:tcW w:type="dxa" w:w="1623"/>
          </w:tcPr>
          <w:p>
            <w:pPr>
              <w:pStyle w:val="Compact"/>
              <w:jc w:val="right"/>
            </w:pPr>
            <w:r>
              <w:t xml:space="preserve">0.5525</w:t>
            </w:r>
          </w:p>
        </w:tc>
      </w:tr>
      <w:tr>
        <w:trPr>
          <w:cantSplit/>
        </w:trPr>
        <w:tc>
          <w:tcPr>
            <w:tcW w:type="dxa" w:w="1432"/>
          </w:tcPr>
          <w:p>
            <w:pPr>
              <w:pStyle w:val="Compact"/>
              <w:jc w:val="right"/>
            </w:pPr>
            <w:r>
              <w:t xml:space="preserve">500</w:t>
            </w:r>
          </w:p>
        </w:tc>
        <w:tc>
          <w:tcPr>
            <w:tcW w:type="dxa" w:w="2386"/>
          </w:tcPr>
          <w:p>
            <w:pPr>
              <w:pStyle w:val="Compact"/>
              <w:jc w:val="right"/>
            </w:pPr>
            <w:r>
              <w:t xml:space="preserve">1.6968</w:t>
            </w:r>
          </w:p>
        </w:tc>
        <w:tc>
          <w:tcPr>
            <w:tcW w:type="dxa" w:w="2004"/>
          </w:tcPr>
          <w:p>
            <w:pPr>
              <w:pStyle w:val="Compact"/>
              <w:jc w:val="right"/>
            </w:pPr>
            <w:r>
              <w:t xml:space="preserve">1.6975</w:t>
            </w:r>
          </w:p>
        </w:tc>
        <w:tc>
          <w:tcPr>
            <w:tcW w:type="dxa" w:w="1623"/>
          </w:tcPr>
          <w:p>
            <w:pPr>
              <w:pStyle w:val="Compact"/>
              <w:jc w:val="right"/>
            </w:pPr>
            <w:r>
              <w:t xml:space="preserve">1.8813</w:t>
            </w:r>
          </w:p>
        </w:tc>
        <w:tc>
          <w:tcPr>
            <w:tcW w:type="dxa" w:w="1623"/>
          </w:tcPr>
          <w:p>
            <w:pPr>
              <w:pStyle w:val="Compact"/>
              <w:jc w:val="right"/>
            </w:pPr>
            <w:r>
              <w:t xml:space="preserve">1.0450</w:t>
            </w:r>
          </w:p>
        </w:tc>
      </w:tr>
      <w:tr>
        <w:trPr>
          <w:cantSplit/>
        </w:trPr>
        <w:tc>
          <w:tcPr>
            <w:tcW w:type="dxa" w:w="1432"/>
          </w:tcPr>
          <w:p>
            <w:pPr>
              <w:pStyle w:val="Compact"/>
              <w:jc w:val="right"/>
            </w:pPr>
            <w:r>
              <w:t xml:space="preserve">750</w:t>
            </w:r>
          </w:p>
        </w:tc>
        <w:tc>
          <w:tcPr>
            <w:tcW w:type="dxa" w:w="2386"/>
          </w:tcPr>
          <w:p>
            <w:pPr>
              <w:pStyle w:val="Compact"/>
              <w:jc w:val="right"/>
            </w:pPr>
            <w:r>
              <w:t xml:space="preserve">2.3501</w:t>
            </w:r>
          </w:p>
        </w:tc>
        <w:tc>
          <w:tcPr>
            <w:tcW w:type="dxa" w:w="2004"/>
          </w:tcPr>
          <w:p>
            <w:pPr>
              <w:pStyle w:val="Compact"/>
              <w:jc w:val="right"/>
            </w:pPr>
            <w:r>
              <w:t xml:space="preserve">2.3525</w:t>
            </w:r>
          </w:p>
        </w:tc>
        <w:tc>
          <w:tcPr>
            <w:tcW w:type="dxa" w:w="1623"/>
          </w:tcPr>
          <w:p>
            <w:pPr>
              <w:pStyle w:val="Compact"/>
              <w:jc w:val="right"/>
            </w:pPr>
            <w:r>
              <w:t xml:space="preserve">3.1413</w:t>
            </w:r>
          </w:p>
        </w:tc>
        <w:tc>
          <w:tcPr>
            <w:tcW w:type="dxa" w:w="1623"/>
          </w:tcPr>
          <w:p>
            <w:pPr>
              <w:pStyle w:val="Compact"/>
              <w:jc w:val="right"/>
            </w:pPr>
            <w:r>
              <w:t xml:space="preserve">2.5413</w:t>
            </w:r>
          </w:p>
        </w:tc>
      </w:tr>
      <w:tr>
        <w:trPr>
          <w:cantSplit/>
        </w:trPr>
        <w:tc>
          <w:tcPr>
            <w:tcW w:type="dxa" w:w="1432"/>
          </w:tcPr>
          <w:p>
            <w:pPr>
              <w:pStyle w:val="Compact"/>
              <w:jc w:val="right"/>
            </w:pPr>
            <w:r>
              <w:t xml:space="preserve">1000</w:t>
            </w:r>
          </w:p>
        </w:tc>
        <w:tc>
          <w:tcPr>
            <w:tcW w:type="dxa" w:w="2386"/>
          </w:tcPr>
          <w:p>
            <w:pPr>
              <w:pStyle w:val="Compact"/>
              <w:jc w:val="right"/>
            </w:pPr>
            <w:r>
              <w:t xml:space="preserve">2.7693</w:t>
            </w:r>
          </w:p>
        </w:tc>
        <w:tc>
          <w:tcPr>
            <w:tcW w:type="dxa" w:w="2004"/>
          </w:tcPr>
          <w:p>
            <w:pPr>
              <w:pStyle w:val="Compact"/>
              <w:jc w:val="right"/>
            </w:pPr>
            <w:r>
              <w:t xml:space="preserve">2.7738</w:t>
            </w:r>
          </w:p>
        </w:tc>
        <w:tc>
          <w:tcPr>
            <w:tcW w:type="dxa" w:w="1623"/>
          </w:tcPr>
          <w:p>
            <w:pPr>
              <w:pStyle w:val="Compact"/>
              <w:jc w:val="right"/>
            </w:pPr>
            <w:r>
              <w:t xml:space="preserve">4.0988</w:t>
            </w:r>
          </w:p>
        </w:tc>
        <w:tc>
          <w:tcPr>
            <w:tcW w:type="dxa" w:w="1623"/>
          </w:tcPr>
          <w:p>
            <w:pPr>
              <w:pStyle w:val="Compact"/>
              <w:jc w:val="right"/>
            </w:pPr>
            <w:r>
              <w:t xml:space="preserve">4.8700</w:t>
            </w:r>
          </w:p>
        </w:tc>
      </w:tr>
      <w:tr>
        <w:trPr>
          <w:cantSplit/>
        </w:trPr>
        <w:tc>
          <w:tcPr>
            <w:tcW w:type="dxa" w:w="1432"/>
          </w:tcPr>
          <w:p>
            <w:pPr>
              <w:pStyle w:val="Compact"/>
              <w:jc w:val="right"/>
            </w:pPr>
            <w:r>
              <w:t xml:space="preserve">1250</w:t>
            </w:r>
          </w:p>
        </w:tc>
        <w:tc>
          <w:tcPr>
            <w:tcW w:type="dxa" w:w="2386"/>
          </w:tcPr>
          <w:p>
            <w:pPr>
              <w:pStyle w:val="Compact"/>
              <w:jc w:val="right"/>
            </w:pPr>
            <w:r>
              <w:t xml:space="preserve">2.8764</w:t>
            </w:r>
          </w:p>
        </w:tc>
        <w:tc>
          <w:tcPr>
            <w:tcW w:type="dxa" w:w="2004"/>
          </w:tcPr>
          <w:p>
            <w:pPr>
              <w:pStyle w:val="Compact"/>
              <w:jc w:val="right"/>
            </w:pPr>
            <w:r>
              <w:t xml:space="preserve">2.8827</w:t>
            </w:r>
          </w:p>
        </w:tc>
        <w:tc>
          <w:tcPr>
            <w:tcW w:type="dxa" w:w="1623"/>
          </w:tcPr>
          <w:p>
            <w:pPr>
              <w:pStyle w:val="Compact"/>
              <w:jc w:val="right"/>
            </w:pPr>
            <w:r>
              <w:t xml:space="preserve">4.6350</w:t>
            </w:r>
          </w:p>
        </w:tc>
        <w:tc>
          <w:tcPr>
            <w:tcW w:type="dxa" w:w="1623"/>
          </w:tcPr>
          <w:p>
            <w:pPr>
              <w:pStyle w:val="Compact"/>
              <w:jc w:val="right"/>
            </w:pPr>
            <w:r>
              <w:t xml:space="preserve">6.7588</w:t>
            </w:r>
          </w:p>
        </w:tc>
      </w:tr>
      <w:tr>
        <w:trPr>
          <w:cantSplit/>
        </w:trPr>
        <w:tc>
          <w:tcPr>
            <w:tcW w:type="dxa" w:w="1432"/>
          </w:tcPr>
          <w:p>
            <w:pPr>
              <w:pStyle w:val="Compact"/>
              <w:jc w:val="right"/>
            </w:pPr>
            <w:r>
              <w:t xml:space="preserve">1500</w:t>
            </w:r>
          </w:p>
        </w:tc>
        <w:tc>
          <w:tcPr>
            <w:tcW w:type="dxa" w:w="2386"/>
          </w:tcPr>
          <w:p>
            <w:pPr>
              <w:pStyle w:val="Compact"/>
              <w:jc w:val="right"/>
            </w:pPr>
            <w:r>
              <w:t xml:space="preserve">2.6253</w:t>
            </w:r>
          </w:p>
        </w:tc>
        <w:tc>
          <w:tcPr>
            <w:tcW w:type="dxa" w:w="2004"/>
          </w:tcPr>
          <w:p>
            <w:pPr>
              <w:pStyle w:val="Compact"/>
              <w:jc w:val="right"/>
            </w:pPr>
            <w:r>
              <w:t xml:space="preserve">2.6363</w:t>
            </w:r>
          </w:p>
        </w:tc>
        <w:tc>
          <w:tcPr>
            <w:tcW w:type="dxa" w:w="1623"/>
          </w:tcPr>
          <w:p>
            <w:pPr>
              <w:pStyle w:val="Compact"/>
              <w:jc w:val="right"/>
            </w:pPr>
            <w:r>
              <w:t xml:space="preserve">4.6238</w:t>
            </w:r>
          </w:p>
        </w:tc>
        <w:tc>
          <w:tcPr>
            <w:tcW w:type="dxa" w:w="1623"/>
          </w:tcPr>
          <w:p>
            <w:pPr>
              <w:pStyle w:val="Compact"/>
              <w:jc w:val="right"/>
            </w:pPr>
            <w:r>
              <w:t xml:space="preserve">7.9350</w:t>
            </w:r>
          </w:p>
        </w:tc>
      </w:tr>
      <w:tr>
        <w:trPr>
          <w:cantSplit/>
        </w:trPr>
        <w:tc>
          <w:tcPr>
            <w:tcW w:type="dxa" w:w="1432"/>
          </w:tcPr>
          <w:p>
            <w:pPr>
              <w:pStyle w:val="Compact"/>
              <w:jc w:val="right"/>
            </w:pPr>
            <w:r>
              <w:t xml:space="preserve">1750</w:t>
            </w:r>
          </w:p>
        </w:tc>
        <w:tc>
          <w:tcPr>
            <w:tcW w:type="dxa" w:w="2386"/>
          </w:tcPr>
          <w:p>
            <w:pPr>
              <w:pStyle w:val="Compact"/>
              <w:jc w:val="right"/>
            </w:pPr>
            <w:r>
              <w:t xml:space="preserve">2.0980</w:t>
            </w:r>
          </w:p>
        </w:tc>
        <w:tc>
          <w:tcPr>
            <w:tcW w:type="dxa" w:w="2004"/>
          </w:tcPr>
          <w:p>
            <w:pPr>
              <w:pStyle w:val="Compact"/>
              <w:jc w:val="right"/>
            </w:pPr>
            <w:r>
              <w:t xml:space="preserve">2.1100</w:t>
            </w:r>
          </w:p>
        </w:tc>
        <w:tc>
          <w:tcPr>
            <w:tcW w:type="dxa" w:w="1623"/>
          </w:tcPr>
          <w:p>
            <w:pPr>
              <w:pStyle w:val="Compact"/>
              <w:jc w:val="right"/>
            </w:pPr>
            <w:r>
              <w:t xml:space="preserve">4.0688</w:t>
            </w:r>
          </w:p>
        </w:tc>
        <w:tc>
          <w:tcPr>
            <w:tcW w:type="dxa" w:w="1623"/>
          </w:tcPr>
          <w:p>
            <w:pPr>
              <w:pStyle w:val="Compact"/>
              <w:jc w:val="right"/>
            </w:pPr>
            <w:r>
              <w:t xml:space="preserve">8.2775</w:t>
            </w:r>
          </w:p>
        </w:tc>
      </w:tr>
      <w:tr>
        <w:trPr>
          <w:cantSplit/>
        </w:trPr>
        <w:tc>
          <w:tcPr>
            <w:tcW w:type="dxa" w:w="1432"/>
          </w:tcPr>
          <w:p>
            <w:pPr>
              <w:pStyle w:val="Compact"/>
              <w:jc w:val="right"/>
            </w:pPr>
            <w:r>
              <w:t xml:space="preserve">2000</w:t>
            </w:r>
          </w:p>
        </w:tc>
        <w:tc>
          <w:tcPr>
            <w:tcW w:type="dxa" w:w="2386"/>
          </w:tcPr>
          <w:p>
            <w:pPr>
              <w:pStyle w:val="Compact"/>
              <w:jc w:val="right"/>
            </w:pPr>
            <w:r>
              <w:t xml:space="preserve">1.4087</w:t>
            </w:r>
          </w:p>
        </w:tc>
        <w:tc>
          <w:tcPr>
            <w:tcW w:type="dxa" w:w="2004"/>
          </w:tcPr>
          <w:p>
            <w:pPr>
              <w:pStyle w:val="Compact"/>
              <w:jc w:val="right"/>
            </w:pPr>
            <w:r>
              <w:t xml:space="preserve">1.4213</w:t>
            </w:r>
          </w:p>
        </w:tc>
        <w:tc>
          <w:tcPr>
            <w:tcW w:type="dxa" w:w="1623"/>
          </w:tcPr>
          <w:p>
            <w:pPr>
              <w:pStyle w:val="Compact"/>
              <w:jc w:val="right"/>
            </w:pPr>
            <w:r>
              <w:t xml:space="preserve">3.1375</w:t>
            </w:r>
          </w:p>
        </w:tc>
        <w:tc>
          <w:tcPr>
            <w:tcW w:type="dxa" w:w="1623"/>
          </w:tcPr>
          <w:p>
            <w:pPr>
              <w:pStyle w:val="Compact"/>
              <w:jc w:val="right"/>
            </w:pPr>
            <w:r>
              <w:t xml:space="preserve">7.6825</w:t>
            </w:r>
          </w:p>
        </w:tc>
      </w:tr>
      <w:tr>
        <w:trPr>
          <w:cantSplit/>
        </w:trPr>
        <w:tc>
          <w:tcPr>
            <w:tcW w:type="dxa" w:w="1432"/>
          </w:tcPr>
          <w:p>
            <w:pPr>
              <w:pStyle w:val="Compact"/>
              <w:jc w:val="right"/>
            </w:pPr>
            <w:r>
              <w:t xml:space="preserve">2250</w:t>
            </w:r>
          </w:p>
        </w:tc>
        <w:tc>
          <w:tcPr>
            <w:tcW w:type="dxa" w:w="2386"/>
          </w:tcPr>
          <w:p>
            <w:pPr>
              <w:pStyle w:val="Compact"/>
              <w:jc w:val="right"/>
            </w:pPr>
            <w:r>
              <w:t xml:space="preserve">0.6713</w:t>
            </w:r>
          </w:p>
        </w:tc>
        <w:tc>
          <w:tcPr>
            <w:tcW w:type="dxa" w:w="2004"/>
          </w:tcPr>
          <w:p>
            <w:pPr>
              <w:pStyle w:val="Compact"/>
              <w:jc w:val="right"/>
            </w:pPr>
            <w:r>
              <w:t xml:space="preserve">0.6838</w:t>
            </w:r>
          </w:p>
        </w:tc>
        <w:tc>
          <w:tcPr>
            <w:tcW w:type="dxa" w:w="1623"/>
          </w:tcPr>
          <w:p>
            <w:pPr>
              <w:pStyle w:val="Compact"/>
              <w:jc w:val="right"/>
            </w:pPr>
            <w:r>
              <w:t xml:space="preserve">1.9600</w:t>
            </w:r>
          </w:p>
        </w:tc>
        <w:tc>
          <w:tcPr>
            <w:tcW w:type="dxa" w:w="1623"/>
          </w:tcPr>
          <w:p>
            <w:pPr>
              <w:pStyle w:val="Compact"/>
              <w:jc w:val="right"/>
            </w:pPr>
            <w:r>
              <w:t xml:space="preserve">6.2800</w:t>
            </w:r>
          </w:p>
        </w:tc>
      </w:tr>
      <w:tr>
        <w:trPr>
          <w:cantSplit/>
        </w:trPr>
        <w:tc>
          <w:tcPr>
            <w:tcW w:type="dxa" w:w="1432"/>
          </w:tcPr>
          <w:p>
            <w:pPr>
              <w:pStyle w:val="Compact"/>
              <w:jc w:val="right"/>
            </w:pPr>
            <w:r>
              <w:t xml:space="preserve">2500</w:t>
            </w:r>
          </w:p>
        </w:tc>
        <w:tc>
          <w:tcPr>
            <w:tcW w:type="dxa" w:w="2386"/>
          </w:tcPr>
          <w:p>
            <w:pPr>
              <w:pStyle w:val="Compact"/>
              <w:jc w:val="right"/>
            </w:pPr>
            <w:r>
              <w:t xml:space="preserve">0.0000</w:t>
            </w:r>
          </w:p>
        </w:tc>
        <w:tc>
          <w:tcPr>
            <w:tcW w:type="dxa" w:w="2004"/>
          </w:tcPr>
          <w:p>
            <w:pPr>
              <w:pStyle w:val="Compact"/>
              <w:jc w:val="right"/>
            </w:pPr>
            <w:r>
              <w:t xml:space="preserve">0.0000</w:t>
            </w:r>
          </w:p>
        </w:tc>
        <w:tc>
          <w:tcPr>
            <w:tcW w:type="dxa" w:w="1623"/>
          </w:tcPr>
          <w:p>
            <w:pPr>
              <w:pStyle w:val="Compact"/>
              <w:jc w:val="right"/>
            </w:pPr>
            <w:r>
              <w:t xml:space="preserve">0.7715</w:t>
            </w:r>
          </w:p>
        </w:tc>
        <w:tc>
          <w:tcPr>
            <w:tcW w:type="dxa" w:w="1623"/>
          </w:tcPr>
          <w:p>
            <w:pPr>
              <w:pStyle w:val="Compact"/>
              <w:jc w:val="right"/>
            </w:pPr>
            <w:r>
              <w:t xml:space="preserve">4.3725</w:t>
            </w:r>
          </w:p>
        </w:tc>
      </w:tr>
      <w:tr>
        <w:trPr>
          <w:cantSplit/>
        </w:trPr>
        <w:tc>
          <w:tcPr>
            <w:tcW w:type="dxa" w:w="1432"/>
          </w:tcPr>
          <w:p>
            <w:pPr>
              <w:pStyle w:val="Compact"/>
              <w:jc w:val="right"/>
            </w:pPr>
            <w:r>
              <w:t xml:space="preserve">2750</w:t>
            </w:r>
          </w:p>
        </w:tc>
        <w:tc>
          <w:tcPr>
            <w:tcW w:type="dxa" w:w="2386"/>
          </w:tcPr>
          <w:p>
            <w:pPr>
              <w:pStyle w:val="Compact"/>
              <w:jc w:val="right"/>
            </w:pPr>
            <w:r>
              <w:t xml:space="preserve">−0.5132</w:t>
            </w:r>
          </w:p>
        </w:tc>
        <w:tc>
          <w:tcPr>
            <w:tcW w:type="dxa" w:w="2004"/>
          </w:tcPr>
          <w:p>
            <w:pPr>
              <w:pStyle w:val="Compact"/>
              <w:jc w:val="right"/>
            </w:pPr>
            <w:r>
              <w:t xml:space="preserve">−0.5069</w:t>
            </w:r>
          </w:p>
        </w:tc>
        <w:tc>
          <w:tcPr>
            <w:tcW w:type="dxa" w:w="1623"/>
          </w:tcPr>
          <w:p>
            <w:pPr>
              <w:pStyle w:val="Compact"/>
              <w:jc w:val="right"/>
            </w:pPr>
            <w:r>
              <w:t xml:space="preserve">−0.2689</w:t>
            </w:r>
          </w:p>
        </w:tc>
        <w:tc>
          <w:tcPr>
            <w:tcW w:type="dxa" w:w="1623"/>
          </w:tcPr>
          <w:p>
            <w:pPr>
              <w:pStyle w:val="Compact"/>
              <w:jc w:val="right"/>
            </w:pPr>
            <w:r>
              <w:t xml:space="preserve">2.2975</w:t>
            </w:r>
          </w:p>
        </w:tc>
      </w:tr>
      <w:tr>
        <w:trPr>
          <w:cantSplit/>
        </w:trPr>
        <w:tc>
          <w:tcPr>
            <w:tcW w:type="dxa" w:w="1432"/>
          </w:tcPr>
          <w:p>
            <w:pPr>
              <w:pStyle w:val="Compact"/>
              <w:jc w:val="right"/>
            </w:pPr>
            <w:r>
              <w:t xml:space="preserve">3000</w:t>
            </w:r>
          </w:p>
        </w:tc>
        <w:tc>
          <w:tcPr>
            <w:tcW w:type="dxa" w:w="2386"/>
          </w:tcPr>
          <w:p>
            <w:pPr>
              <w:pStyle w:val="Compact"/>
              <w:jc w:val="right"/>
            </w:pPr>
            <w:r>
              <w:t xml:space="preserve">−0.8644</w:t>
            </w:r>
          </w:p>
        </w:tc>
        <w:tc>
          <w:tcPr>
            <w:tcW w:type="dxa" w:w="2004"/>
          </w:tcPr>
          <w:p>
            <w:pPr>
              <w:pStyle w:val="Compact"/>
              <w:jc w:val="right"/>
            </w:pPr>
            <w:r>
              <w:t xml:space="preserve">−0.8556</w:t>
            </w:r>
          </w:p>
        </w:tc>
        <w:tc>
          <w:tcPr>
            <w:tcW w:type="dxa" w:w="1623"/>
          </w:tcPr>
          <w:p>
            <w:pPr>
              <w:pStyle w:val="Compact"/>
              <w:jc w:val="right"/>
            </w:pPr>
            <w:r>
              <w:t xml:space="preserve">−1.0063</w:t>
            </w:r>
          </w:p>
        </w:tc>
        <w:tc>
          <w:tcPr>
            <w:tcW w:type="dxa" w:w="1623"/>
          </w:tcPr>
          <w:p>
            <w:pPr>
              <w:pStyle w:val="Compact"/>
              <w:jc w:val="right"/>
            </w:pPr>
            <w:r>
              <w:t xml:space="preserve">0.3021</w:t>
            </w:r>
          </w:p>
        </w:tc>
      </w:tr>
      <w:tr>
        <w:trPr>
          <w:cantSplit/>
        </w:trPr>
        <w:tc>
          <w:tcPr>
            <w:tcW w:type="dxa" w:w="1432"/>
          </w:tcPr>
          <w:p>
            <w:pPr>
              <w:pStyle w:val="Compact"/>
              <w:jc w:val="right"/>
            </w:pPr>
            <w:r>
              <w:t xml:space="preserve">3250</w:t>
            </w:r>
          </w:p>
        </w:tc>
        <w:tc>
          <w:tcPr>
            <w:tcW w:type="dxa" w:w="2386"/>
          </w:tcPr>
          <w:p>
            <w:pPr>
              <w:pStyle w:val="Compact"/>
              <w:jc w:val="right"/>
            </w:pPr>
            <w:r>
              <w:t xml:space="preserve">−1.0715</w:t>
            </w:r>
          </w:p>
        </w:tc>
        <w:tc>
          <w:tcPr>
            <w:tcW w:type="dxa" w:w="2004"/>
          </w:tcPr>
          <w:p>
            <w:pPr>
              <w:pStyle w:val="Compact"/>
              <w:jc w:val="right"/>
            </w:pPr>
            <w:r>
              <w:t xml:space="preserve">−1.0600</w:t>
            </w:r>
          </w:p>
        </w:tc>
        <w:tc>
          <w:tcPr>
            <w:tcW w:type="dxa" w:w="1623"/>
          </w:tcPr>
          <w:p>
            <w:pPr>
              <w:pStyle w:val="Compact"/>
              <w:jc w:val="right"/>
            </w:pPr>
            <w:r>
              <w:t xml:space="preserve">−1.4988</w:t>
            </w:r>
          </w:p>
        </w:tc>
        <w:tc>
          <w:tcPr>
            <w:tcW w:type="dxa" w:w="1623"/>
          </w:tcPr>
          <w:p>
            <w:pPr>
              <w:pStyle w:val="Compact"/>
              <w:jc w:val="right"/>
            </w:pPr>
            <w:r>
              <w:t xml:space="preserve">−1.2588</w:t>
            </w:r>
          </w:p>
        </w:tc>
      </w:tr>
      <w:tr>
        <w:trPr>
          <w:cantSplit/>
        </w:trPr>
        <w:tc>
          <w:tcPr>
            <w:tcW w:type="dxa" w:w="1432"/>
          </w:tcPr>
          <w:p>
            <w:pPr>
              <w:pStyle w:val="Compact"/>
              <w:jc w:val="right"/>
            </w:pPr>
            <w:r>
              <w:t xml:space="preserve">3500</w:t>
            </w:r>
          </w:p>
        </w:tc>
        <w:tc>
          <w:tcPr>
            <w:tcW w:type="dxa" w:w="2386"/>
          </w:tcPr>
          <w:p>
            <w:pPr>
              <w:pStyle w:val="Compact"/>
              <w:jc w:val="right"/>
            </w:pPr>
            <w:r>
              <w:t xml:space="preserve">−1.1526</w:t>
            </w:r>
          </w:p>
        </w:tc>
        <w:tc>
          <w:tcPr>
            <w:tcW w:type="dxa" w:w="2004"/>
          </w:tcPr>
          <w:p>
            <w:pPr>
              <w:pStyle w:val="Compact"/>
              <w:jc w:val="right"/>
            </w:pPr>
            <w:r>
              <w:t xml:space="preserve">−1.1438</w:t>
            </w:r>
          </w:p>
        </w:tc>
        <w:tc>
          <w:tcPr>
            <w:tcW w:type="dxa" w:w="1623"/>
          </w:tcPr>
          <w:p>
            <w:pPr>
              <w:pStyle w:val="Compact"/>
              <w:jc w:val="right"/>
            </w:pPr>
            <w:r>
              <w:t xml:space="preserve">−1.7813</w:t>
            </w:r>
          </w:p>
        </w:tc>
        <w:tc>
          <w:tcPr>
            <w:tcW w:type="dxa" w:w="1623"/>
          </w:tcPr>
          <w:p>
            <w:pPr>
              <w:pStyle w:val="Compact"/>
              <w:jc w:val="right"/>
            </w:pPr>
            <w:r>
              <w:t xml:space="preserve">−2.3650</w:t>
            </w:r>
          </w:p>
        </w:tc>
      </w:tr>
      <w:tr>
        <w:trPr>
          <w:cantSplit/>
        </w:trPr>
        <w:tc>
          <w:tcPr>
            <w:tcW w:type="dxa" w:w="1432"/>
          </w:tcPr>
          <w:p>
            <w:pPr>
              <w:pStyle w:val="Compact"/>
              <w:jc w:val="right"/>
            </w:pPr>
            <w:r>
              <w:t xml:space="preserve">3750</w:t>
            </w:r>
          </w:p>
        </w:tc>
        <w:tc>
          <w:tcPr>
            <w:tcW w:type="dxa" w:w="2386"/>
          </w:tcPr>
          <w:p>
            <w:pPr>
              <w:pStyle w:val="Compact"/>
              <w:jc w:val="right"/>
            </w:pPr>
            <w:r>
              <w:t xml:space="preserve">−1.1255</w:t>
            </w:r>
          </w:p>
        </w:tc>
        <w:tc>
          <w:tcPr>
            <w:tcW w:type="dxa" w:w="2004"/>
          </w:tcPr>
          <w:p>
            <w:pPr>
              <w:pStyle w:val="Compact"/>
              <w:jc w:val="right"/>
            </w:pPr>
            <w:r>
              <w:t xml:space="preserve">−1.1200</w:t>
            </w:r>
          </w:p>
        </w:tc>
        <w:tc>
          <w:tcPr>
            <w:tcW w:type="dxa" w:w="1623"/>
          </w:tcPr>
          <w:p>
            <w:pPr>
              <w:pStyle w:val="Compact"/>
              <w:jc w:val="right"/>
            </w:pPr>
            <w:r>
              <w:t xml:space="preserve">−1.8600</w:t>
            </w:r>
          </w:p>
        </w:tc>
        <w:tc>
          <w:tcPr>
            <w:tcW w:type="dxa" w:w="1623"/>
          </w:tcPr>
          <w:p>
            <w:pPr>
              <w:pStyle w:val="Compact"/>
              <w:jc w:val="right"/>
            </w:pPr>
            <w:r>
              <w:t xml:space="preserve">−3.0363</w:t>
            </w:r>
          </w:p>
        </w:tc>
      </w:tr>
      <w:tr>
        <w:trPr>
          <w:cantSplit/>
        </w:trPr>
        <w:tc>
          <w:tcPr>
            <w:tcW w:type="dxa" w:w="1432"/>
          </w:tcPr>
          <w:p>
            <w:pPr>
              <w:pStyle w:val="Compact"/>
              <w:jc w:val="right"/>
            </w:pPr>
            <w:r>
              <w:t xml:space="preserve">4000</w:t>
            </w:r>
          </w:p>
        </w:tc>
        <w:tc>
          <w:tcPr>
            <w:tcW w:type="dxa" w:w="2386"/>
          </w:tcPr>
          <w:p>
            <w:pPr>
              <w:pStyle w:val="Compact"/>
              <w:jc w:val="right"/>
            </w:pPr>
            <w:r>
              <w:t xml:space="preserve">−1.0085</w:t>
            </w:r>
          </w:p>
        </w:tc>
        <w:tc>
          <w:tcPr>
            <w:tcW w:type="dxa" w:w="2004"/>
          </w:tcPr>
          <w:p>
            <w:pPr>
              <w:pStyle w:val="Compact"/>
              <w:jc w:val="right"/>
            </w:pPr>
            <w:r>
              <w:t xml:space="preserve">−1.0013</w:t>
            </w:r>
          </w:p>
        </w:tc>
        <w:tc>
          <w:tcPr>
            <w:tcW w:type="dxa" w:w="1623"/>
          </w:tcPr>
          <w:p>
            <w:pPr>
              <w:pStyle w:val="Compact"/>
              <w:jc w:val="right"/>
            </w:pPr>
            <w:r>
              <w:t xml:space="preserve">−1.7738</w:t>
            </w:r>
          </w:p>
        </w:tc>
        <w:tc>
          <w:tcPr>
            <w:tcW w:type="dxa" w:w="1623"/>
          </w:tcPr>
          <w:p>
            <w:pPr>
              <w:pStyle w:val="Compact"/>
              <w:jc w:val="right"/>
            </w:pPr>
            <w:r>
              <w:t xml:space="preserve">−3.3300</w:t>
            </w:r>
          </w:p>
        </w:tc>
      </w:tr>
      <w:tr>
        <w:trPr>
          <w:cantSplit/>
        </w:trPr>
        <w:tc>
          <w:tcPr>
            <w:tcW w:type="dxa" w:w="1432"/>
          </w:tcPr>
          <w:p>
            <w:pPr>
              <w:pStyle w:val="Compact"/>
              <w:jc w:val="right"/>
            </w:pPr>
            <w:r>
              <w:t xml:space="preserve">4250</w:t>
            </w:r>
          </w:p>
        </w:tc>
        <w:tc>
          <w:tcPr>
            <w:tcW w:type="dxa" w:w="2386"/>
          </w:tcPr>
          <w:p>
            <w:pPr>
              <w:pStyle w:val="Compact"/>
              <w:jc w:val="right"/>
            </w:pPr>
            <w:r>
              <w:t xml:space="preserve">−0.8194</w:t>
            </w:r>
          </w:p>
        </w:tc>
        <w:tc>
          <w:tcPr>
            <w:tcW w:type="dxa" w:w="2004"/>
          </w:tcPr>
          <w:p>
            <w:pPr>
              <w:pStyle w:val="Compact"/>
              <w:jc w:val="right"/>
            </w:pPr>
            <w:r>
              <w:t xml:space="preserve">−0.8175</w:t>
            </w:r>
          </w:p>
        </w:tc>
        <w:tc>
          <w:tcPr>
            <w:tcW w:type="dxa" w:w="1623"/>
          </w:tcPr>
          <w:p>
            <w:pPr>
              <w:pStyle w:val="Compact"/>
              <w:jc w:val="right"/>
            </w:pPr>
            <w:r>
              <w:t xml:space="preserve">−1.5525</w:t>
            </w:r>
          </w:p>
        </w:tc>
        <w:tc>
          <w:tcPr>
            <w:tcW w:type="dxa" w:w="1623"/>
          </w:tcPr>
          <w:p>
            <w:pPr>
              <w:pStyle w:val="Compact"/>
              <w:jc w:val="right"/>
            </w:pPr>
            <w:r>
              <w:t xml:space="preserve">−3.2663</w:t>
            </w:r>
          </w:p>
        </w:tc>
      </w:tr>
      <w:tr>
        <w:trPr>
          <w:cantSplit/>
        </w:trPr>
        <w:tc>
          <w:tcPr>
            <w:tcW w:type="dxa" w:w="1432"/>
          </w:tcPr>
          <w:p>
            <w:pPr>
              <w:pStyle w:val="Compact"/>
              <w:jc w:val="right"/>
            </w:pPr>
            <w:r>
              <w:t xml:space="preserve">4500</w:t>
            </w:r>
          </w:p>
        </w:tc>
        <w:tc>
          <w:tcPr>
            <w:tcW w:type="dxa" w:w="2386"/>
          </w:tcPr>
          <w:p>
            <w:pPr>
              <w:pStyle w:val="Compact"/>
              <w:jc w:val="right"/>
            </w:pPr>
            <w:r>
              <w:t xml:space="preserve">−0.5763</w:t>
            </w:r>
          </w:p>
        </w:tc>
        <w:tc>
          <w:tcPr>
            <w:tcW w:type="dxa" w:w="2004"/>
          </w:tcPr>
          <w:p>
            <w:pPr>
              <w:pStyle w:val="Compact"/>
              <w:jc w:val="right"/>
            </w:pPr>
            <w:r>
              <w:t xml:space="preserve">−0.5816</w:t>
            </w:r>
          </w:p>
        </w:tc>
        <w:tc>
          <w:tcPr>
            <w:tcW w:type="dxa" w:w="1623"/>
          </w:tcPr>
          <w:p>
            <w:pPr>
              <w:pStyle w:val="Compact"/>
              <w:jc w:val="right"/>
            </w:pPr>
            <w:r>
              <w:t xml:space="preserve">−1.2213</w:t>
            </w:r>
          </w:p>
        </w:tc>
        <w:tc>
          <w:tcPr>
            <w:tcW w:type="dxa" w:w="1623"/>
          </w:tcPr>
          <w:p>
            <w:pPr>
              <w:pStyle w:val="Compact"/>
              <w:jc w:val="right"/>
            </w:pPr>
            <w:r>
              <w:t xml:space="preserve">−2.9450</w:t>
            </w:r>
          </w:p>
        </w:tc>
      </w:tr>
      <w:tr>
        <w:trPr>
          <w:cantSplit/>
        </w:trPr>
        <w:tc>
          <w:tcPr>
            <w:tcW w:type="dxa" w:w="1432"/>
          </w:tcPr>
          <w:p>
            <w:pPr>
              <w:pStyle w:val="Compact"/>
              <w:jc w:val="right"/>
            </w:pPr>
            <w:r>
              <w:t xml:space="preserve">4750</w:t>
            </w:r>
          </w:p>
        </w:tc>
        <w:tc>
          <w:tcPr>
            <w:tcW w:type="dxa" w:w="2386"/>
          </w:tcPr>
          <w:p>
            <w:pPr>
              <w:pStyle w:val="Compact"/>
              <w:jc w:val="right"/>
            </w:pPr>
            <w:r>
              <w:t xml:space="preserve">−0.2971</w:t>
            </w:r>
          </w:p>
        </w:tc>
        <w:tc>
          <w:tcPr>
            <w:tcW w:type="dxa" w:w="2004"/>
          </w:tcPr>
          <w:p>
            <w:pPr>
              <w:pStyle w:val="Compact"/>
              <w:jc w:val="right"/>
            </w:pPr>
            <w:r>
              <w:t xml:space="preserve">−0.3019</w:t>
            </w:r>
          </w:p>
        </w:tc>
        <w:tc>
          <w:tcPr>
            <w:tcW w:type="dxa" w:w="1623"/>
          </w:tcPr>
          <w:p>
            <w:pPr>
              <w:pStyle w:val="Compact"/>
              <w:jc w:val="right"/>
            </w:pPr>
            <w:r>
              <w:t xml:space="preserve">−0.8125</w:t>
            </w:r>
          </w:p>
        </w:tc>
        <w:tc>
          <w:tcPr>
            <w:tcW w:type="dxa" w:w="1623"/>
          </w:tcPr>
          <w:p>
            <w:pPr>
              <w:pStyle w:val="Compact"/>
              <w:jc w:val="right"/>
            </w:pPr>
            <w:r>
              <w:t xml:space="preserve">−2.4125</w:t>
            </w:r>
          </w:p>
        </w:tc>
      </w:tr>
      <w:tr>
        <w:trPr>
          <w:cantSplit/>
        </w:trPr>
        <w:tc>
          <w:tcPr>
            <w:tcW w:type="dxa" w:w="1432"/>
          </w:tcPr>
          <w:p>
            <w:pPr>
              <w:pStyle w:val="Compact"/>
              <w:jc w:val="right"/>
            </w:pPr>
            <w:r>
              <w:t xml:space="preserve">5000</w:t>
            </w:r>
          </w:p>
        </w:tc>
        <w:tc>
          <w:tcPr>
            <w:tcW w:type="dxa" w:w="2386"/>
          </w:tcPr>
          <w:p>
            <w:pPr>
              <w:pStyle w:val="Compact"/>
              <w:jc w:val="right"/>
            </w:pPr>
            <w:r>
              <w:t xml:space="preserve">0.0000</w:t>
            </w:r>
          </w:p>
        </w:tc>
        <w:tc>
          <w:tcPr>
            <w:tcW w:type="dxa" w:w="2004"/>
          </w:tcPr>
          <w:p>
            <w:pPr>
              <w:pStyle w:val="Compact"/>
              <w:jc w:val="right"/>
            </w:pPr>
            <w:r>
              <w:t xml:space="preserve">0.0000</w:t>
            </w:r>
          </w:p>
        </w:tc>
        <w:tc>
          <w:tcPr>
            <w:tcW w:type="dxa" w:w="1623"/>
          </w:tcPr>
          <w:p>
            <w:pPr>
              <w:pStyle w:val="Compact"/>
              <w:jc w:val="right"/>
            </w:pPr>
            <w:r>
              <w:t xml:space="preserve">−0.3325</w:t>
            </w:r>
          </w:p>
        </w:tc>
        <w:tc>
          <w:tcPr>
            <w:tcW w:type="dxa" w:w="1623"/>
          </w:tcPr>
          <w:p>
            <w:pPr>
              <w:pStyle w:val="Compact"/>
              <w:jc w:val="right"/>
            </w:pPr>
            <w:r>
              <w:t xml:space="preserve">−1.7088</w:t>
            </w:r>
          </w:p>
        </w:tc>
      </w:tr>
      <w:tr>
        <w:trPr>
          <w:cantSplit/>
        </w:trPr>
        <w:tc>
          <w:tcPr>
            <w:tcW w:type="dxa" w:w="1432"/>
          </w:tcPr>
          <w:p>
            <w:pPr>
              <w:pStyle w:val="Compact"/>
              <w:jc w:val="right"/>
            </w:pPr>
            <w:r>
              <w:t xml:space="preserve">5250</w:t>
            </w:r>
          </w:p>
        </w:tc>
        <w:tc>
          <w:tcPr>
            <w:tcW w:type="dxa" w:w="2386"/>
          </w:tcPr>
          <w:p>
            <w:pPr>
              <w:pStyle w:val="Compact"/>
              <w:jc w:val="right"/>
            </w:pPr>
          </w:p>
        </w:tc>
        <w:tc>
          <w:tcPr>
            <w:tcW w:type="dxa" w:w="2004"/>
          </w:tcPr>
          <w:p>
            <w:pPr>
              <w:pStyle w:val="Compact"/>
              <w:jc w:val="right"/>
            </w:pPr>
          </w:p>
        </w:tc>
        <w:tc>
          <w:tcPr>
            <w:tcW w:type="dxa" w:w="1623"/>
          </w:tcPr>
          <w:p>
            <w:pPr>
              <w:pStyle w:val="Compact"/>
              <w:jc w:val="right"/>
            </w:pPr>
            <w:r>
              <w:t xml:space="preserve">0.0000</w:t>
            </w:r>
          </w:p>
        </w:tc>
        <w:tc>
          <w:tcPr>
            <w:tcW w:type="dxa" w:w="1623"/>
          </w:tcPr>
          <w:p>
            <w:pPr>
              <w:pStyle w:val="Compact"/>
              <w:jc w:val="right"/>
            </w:pPr>
            <w:r>
              <w:t xml:space="preserve">−1.0713</w:t>
            </w:r>
          </w:p>
        </w:tc>
      </w:tr>
      <w:tr>
        <w:trPr>
          <w:cantSplit/>
        </w:trPr>
        <w:tc>
          <w:tcPr>
            <w:tcW w:type="dxa" w:w="1432"/>
          </w:tcPr>
          <w:p>
            <w:pPr>
              <w:pStyle w:val="Compact"/>
              <w:jc w:val="right"/>
            </w:pPr>
            <w:r>
              <w:t xml:space="preserve">5500</w:t>
            </w:r>
          </w:p>
        </w:tc>
        <w:tc>
          <w:tcPr>
            <w:tcW w:type="dxa" w:w="2386"/>
          </w:tcPr>
          <w:p>
            <w:pPr>
              <w:pStyle w:val="Compact"/>
              <w:jc w:val="right"/>
            </w:pPr>
          </w:p>
        </w:tc>
        <w:tc>
          <w:tcPr>
            <w:tcW w:type="dxa" w:w="2004"/>
          </w:tcPr>
          <w:p>
            <w:pPr>
              <w:pStyle w:val="Compact"/>
              <w:jc w:val="right"/>
            </w:pPr>
          </w:p>
        </w:tc>
        <w:tc>
          <w:tcPr>
            <w:tcW w:type="dxa" w:w="1623"/>
          </w:tcPr>
          <w:p>
            <w:pPr>
              <w:pStyle w:val="Compact"/>
              <w:jc w:val="right"/>
            </w:pPr>
          </w:p>
        </w:tc>
        <w:tc>
          <w:tcPr>
            <w:tcW w:type="dxa" w:w="1623"/>
          </w:tcPr>
          <w:p>
            <w:pPr>
              <w:pStyle w:val="Compact"/>
              <w:jc w:val="right"/>
            </w:pPr>
            <w:r>
              <w:t xml:space="preserve">−0.3650</w:t>
            </w:r>
          </w:p>
        </w:tc>
      </w:tr>
      <w:tr>
        <w:trPr>
          <w:cantSplit/>
        </w:trPr>
        <w:tc>
          <w:tcPr>
            <w:tcW w:type="dxa" w:w="1432"/>
          </w:tcPr>
          <w:p>
            <w:pPr>
              <w:pStyle w:val="Compact"/>
              <w:jc w:val="right"/>
            </w:pPr>
            <w:r>
              <w:t xml:space="preserve">5750</w:t>
            </w:r>
          </w:p>
        </w:tc>
        <w:tc>
          <w:tcPr>
            <w:tcW w:type="dxa" w:w="2386"/>
          </w:tcPr>
          <w:p>
            <w:pPr>
              <w:pStyle w:val="Compact"/>
              <w:jc w:val="right"/>
            </w:pPr>
          </w:p>
        </w:tc>
        <w:tc>
          <w:tcPr>
            <w:tcW w:type="dxa" w:w="2004"/>
          </w:tcPr>
          <w:p>
            <w:pPr>
              <w:pStyle w:val="Compact"/>
              <w:jc w:val="right"/>
            </w:pPr>
          </w:p>
        </w:tc>
        <w:tc>
          <w:tcPr>
            <w:tcW w:type="dxa" w:w="1623"/>
          </w:tcPr>
          <w:p>
            <w:pPr>
              <w:pStyle w:val="Compact"/>
              <w:jc w:val="right"/>
            </w:pPr>
          </w:p>
        </w:tc>
        <w:tc>
          <w:tcPr>
            <w:tcW w:type="dxa" w:w="1623"/>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11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the channels that fail the χ² test have CV 31–40 % (χ² p = 0.016–0.027). In lane B, the st36 ratio is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9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correlation matrices of the integrated vehicle-free noise between gauges, for windows of crossing length; day 1 (12 gauges) and day 2 (4 gauges).</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uniform-load moment (top) and strain constant (middle) along the girder, normalized at the gauges, and the single-gauge error expected from the measured noise for a 25 t truck (bottom).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by truck and lane, and for a 3-axle truck against speed.</w:t>
      </w:r>
    </w:p>
    <w:p>
      <w:pPr>
        <w:pStyle w:val="BodyText"/>
        <w:keepN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w:r>
              <w:t xml:space="preserve">χ² p</w:t>
            </w:r>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 χ² test, Table S5)</w:t>
            </w:r>
          </w:p>
        </w:tc>
      </w:tr>
    </w:tbl>
    <w:p>
      <w:pPr>
        <w:pStyle w:val="BodyText"/>
        <w:keepN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S10).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Cầu Mây: first, second and third vertical frequencies against the scaled pier stiffness</w:t>
      </w:r>
      <w:r>
        <w:t xml:space="preserve"> </w:t>
      </w:r>
      <m:oMath>
        <m:r>
          <m:t>κ</m:t>
        </m:r>
      </m:oMath>
      <w:r>
        <w:t xml:space="preserve">, for low, base and high mass, with the measured band.</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Cầu Mây: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keepNext/>
      </w:pPr>
      <w:r>
        <w:rPr>
          <w:bCs/>
          <w:b/>
        </w:rPr>
        <w:t xml:space="preserve">Table S10.</w:t>
      </w:r>
      <w:r>
        <w:t xml:space="preserve"> </w:t>
      </w:r>
      <w:r>
        <w:t xml:space="preserve">Admissible set of the Cầu Mây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blHeader w:val="true"/>
          <w:cantSplit/>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right"/>
            </w:pPr>
            <m:oMath>
              <m:r>
                <m:t>α</m:t>
              </m:r>
            </m:oMath>
          </w:p>
        </w:tc>
        <w:tc>
          <w:tcPr>
            <w:tcW w:type="dxa" w:w="1358"/>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766"/>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426"/>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r>
      <w:tr>
        <w:trPr>
          <w:cantSplit/>
        </w:trP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right"/>
            </w:pPr>
            <w:r>
              <w:t xml:space="preserve">0.64–0.80</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right"/>
            </w:pPr>
            <w:r>
              <w:t xml:space="preserve">0.54–0.98</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right"/>
            </w:pPr>
            <w:r>
              <w:t xml:space="preserve">0.51–1.15</w:t>
            </w:r>
          </w:p>
        </w:tc>
        <w:tc>
          <w:tcPr>
            <w:tcW w:type="dxa" w:w="1358"/>
          </w:tcPr>
          <w:p>
            <w:pPr>
              <w:pStyle w:val="Compact"/>
              <w:jc w:val="right"/>
            </w:pPr>
            <w:r>
              <w:t xml:space="preserve">0.14–0.42</w:t>
            </w:r>
          </w:p>
        </w:tc>
        <w:tc>
          <w:tcPr>
            <w:tcW w:type="dxa" w:w="1766"/>
          </w:tcPr>
          <w:p>
            <w:pPr>
              <w:pStyle w:val="Compact"/>
              <w:jc w:val="right"/>
            </w:pPr>
            <w:r>
              <w:t xml:space="preserve">0.12–0.82</w:t>
            </w:r>
          </w:p>
        </w:tc>
        <w:tc>
          <w:tcPr>
            <w:tcW w:type="dxa" w:w="1426"/>
          </w:tcPr>
          <w:p>
            <w:pPr>
              <w:pStyle w:val="Compact"/>
              <w:jc w:val="right"/>
            </w:pPr>
            <w:r>
              <w:t xml:space="preserve">3.0 × 10⁻⁵–2.0 × 10⁻⁴</w:t>
            </w:r>
          </w:p>
        </w:tc>
      </w:tr>
      <w:tr>
        <w:trPr>
          <w:cantSplit/>
        </w:trP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right"/>
            </w:pPr>
            <w:r>
              <w:t xml:space="preserve">–</w:t>
            </w:r>
          </w:p>
        </w:tc>
        <w:tc>
          <w:tcPr>
            <w:tcW w:type="dxa" w:w="1358"/>
          </w:tcPr>
          <w:p>
            <w:pPr>
              <w:pStyle w:val="Compact"/>
              <w:jc w:val="right"/>
            </w:pPr>
            <w:r>
              <w:t xml:space="preserve">0.14–0.27</w:t>
            </w:r>
          </w:p>
        </w:tc>
        <w:tc>
          <w:tcPr>
            <w:tcW w:type="dxa" w:w="1766"/>
          </w:tcPr>
          <w:p>
            <w:pPr>
              <w:pStyle w:val="Compact"/>
              <w:jc w:val="right"/>
            </w:pPr>
            <w:r>
              <w:t xml:space="preserve">0.12–0.30</w:t>
            </w:r>
          </w:p>
        </w:tc>
        <w:tc>
          <w:tcPr>
            <w:tcW w:type="dxa" w:w="1426"/>
          </w:tcPr>
          <w:p>
            <w:pPr>
              <w:pStyle w:val="Compact"/>
              <w:jc w:val="right"/>
            </w:pPr>
            <w:r>
              <w:t xml:space="preserve">–</w:t>
            </w:r>
          </w:p>
        </w:tc>
      </w:tr>
    </w:tbl>
    <w:p>
      <w:pPr>
        <w:pStyle w:val="BodyText"/>
        <w:keepN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0.4L</w:t>
            </w:r>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0.4L</w:t>
            </w:r>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blHeader w:val="true"/>
          <w:cantSplit/>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righ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rPr>
          <w:cantSplit/>
        </w:trPr>
        <w:tc>
          <w:tcPr>
            <w:tcW w:type="dxa" w:w="2045"/>
          </w:tcPr>
          <w:p>
            <w:pPr>
              <w:pStyle w:val="Compact"/>
              <w:jc w:val="left"/>
            </w:pPr>
            <w:r>
              <w:t xml:space="preserve">Flexural rigidity</w:t>
            </w:r>
            <w:r>
              <w:t xml:space="preserve"> </w:t>
            </w:r>
            <m:oMath>
              <m:r>
                <m:t>E</m:t>
              </m:r>
              <m:r>
                <m:t>I</m:t>
              </m:r>
            </m:oMath>
          </w:p>
        </w:tc>
        <w:tc>
          <w:tcPr>
            <w:tcW w:type="dxa" w:w="2114"/>
          </w:tcPr>
          <w:p>
            <w:pPr>
              <w:pStyle w:val="Compact"/>
              <w:jc w:val="righ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rPr>
          <w:cantSplit/>
        </w:trPr>
        <w:tc>
          <w:tcPr>
            <w:tcW w:type="dxa" w:w="2045"/>
          </w:tcPr>
          <w:p>
            <w:pPr>
              <w:pStyle w:val="Compact"/>
              <w:jc w:val="left"/>
            </w:pPr>
            <w:r>
              <w:t xml:space="preserve">Span length</w:t>
            </w:r>
          </w:p>
        </w:tc>
        <w:tc>
          <w:tcPr>
            <w:tcW w:type="dxa" w:w="2114"/>
          </w:tcPr>
          <w:p>
            <w:pPr>
              <w:pStyle w:val="Compact"/>
              <w:jc w:val="righ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rPr>
          <w:cantSplit/>
        </w:trPr>
        <w:tc>
          <w:tcPr>
            <w:tcW w:type="dxa" w:w="2045"/>
          </w:tcPr>
          <w:p>
            <w:pPr>
              <w:pStyle w:val="Compact"/>
              <w:jc w:val="left"/>
            </w:pPr>
            <w:r>
              <w:t xml:space="preserve">Gain</w:t>
            </w:r>
          </w:p>
        </w:tc>
        <w:tc>
          <w:tcPr>
            <w:tcW w:type="dxa" w:w="2114"/>
          </w:tcPr>
          <w:p>
            <w:pPr>
              <w:pStyle w:val="Compact"/>
              <w:jc w:val="righ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rPr>
          <w:cantSplit/>
        </w:trP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rPr>
          <w:cantSplit/>
        </w:trP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right"/>
            </w:pPr>
            <m:oMath>
              <m:sSub>
                <m:e>
                  <m:r>
                    <m:t>L</m:t>
                  </m:r>
                </m:e>
                <m:sub>
                  <m:r>
                    <m:rPr>
                      <m:sty m:val="p"/>
                    </m:rPr>
                    <m:t>tot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rPr>
          <w:cantSplit/>
        </w:trPr>
        <w:tc>
          <w:tcPr>
            <w:tcW w:type="dxa" w:w="2045"/>
          </w:tcPr>
          <w:p>
            <w:pPr>
              <w:pStyle w:val="Compact"/>
              <w:jc w:val="left"/>
            </w:pPr>
            <w:r>
              <w:t xml:space="preserve">Speed effect</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rPr>
          <w:cantSplit/>
        </w:trPr>
        <w:tc>
          <w:tcPr>
            <w:tcW w:type="dxa" w:w="2045"/>
          </w:tcPr>
          <w:p>
            <w:pPr>
              <w:pStyle w:val="Compact"/>
              <w:jc w:val="left"/>
            </w:pPr>
            <w:r>
              <w:t xml:space="preserve">Speed measurement</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rPr>
          <w:cantSplit/>
        </w:trPr>
        <w:tc>
          <w:tcPr>
            <w:tcW w:type="dxa" w:w="2045"/>
          </w:tcPr>
          <w:p>
            <w:pPr>
              <w:pStyle w:val="Compact"/>
              <w:jc w:val="left"/>
            </w:pPr>
            <w:r>
              <w:t xml:space="preserve">Dynamics</w:t>
            </w:r>
          </w:p>
        </w:tc>
        <w:tc>
          <w:tcPr>
            <w:tcW w:type="dxa" w:w="2114"/>
          </w:tcPr>
          <w:p>
            <w:pPr>
              <w:pStyle w:val="Compact"/>
              <w:jc w:val="righ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5"/>
          </w:tcPr>
          <w:p>
            <w:pPr>
              <w:pStyle w:val="Compact"/>
              <w:jc w:val="left"/>
            </w:pPr>
            <w:r>
              <w:t xml:space="preserve">Transverse position</w:t>
            </w:r>
          </w:p>
        </w:tc>
        <w:tc>
          <w:tcPr>
            <w:tcW w:type="dxa" w:w="2114"/>
          </w:tcPr>
          <w:p>
            <w:pPr>
              <w:pStyle w:val="Compact"/>
              <w:jc w:val="righ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rPr>
          <w:cantSplit/>
        </w:trPr>
        <w:tc>
          <w:tcPr>
            <w:tcW w:type="dxa" w:w="2045"/>
          </w:tcPr>
          <w:p>
            <w:pPr>
              <w:pStyle w:val="Compact"/>
              <w:jc w:val="left"/>
            </w:pPr>
            <w:r>
              <w:t xml:space="preserve">Multiple presence</w:t>
            </w:r>
          </w:p>
        </w:tc>
        <w:tc>
          <w:tcPr>
            <w:tcW w:type="dxa" w:w="2114"/>
          </w:tcPr>
          <w:p>
            <w:pPr>
              <w:pStyle w:val="Compact"/>
              <w:jc w:val="righ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rPr>
          <w:cantSplit/>
        </w:trPr>
        <w:tc>
          <w:tcPr>
            <w:tcW w:type="dxa" w:w="2045"/>
          </w:tcPr>
          <w:p>
            <w:pPr>
              <w:pStyle w:val="Compact"/>
              <w:jc w:val="left"/>
            </w:pPr>
            <w:r>
              <w:t xml:space="preserve">Linearity, seating</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the numbering of the README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0" Type="http://schemas.openxmlformats.org/officeDocument/2006/relationships/image" Target="media/rId50.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2026-10-19T16:14:38Z</dcterms:created>
  <dcterms:modified xsi:type="dcterms:W3CDTF">2026-10-19T16:14:38Z</dcterms:modified>
</cp:coreProperties>
</file>

<file path=docProps/custom.xml><?xml version="1.0" encoding="utf-8"?>
<Properties xmlns="http://schemas.openxmlformats.org/officeDocument/2006/custom-properties" xmlns:vt="http://schemas.openxmlformats.org/officeDocument/2006/docPropsVTypes"/>
</file>