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supplementary-material"/>
    <w:p>
      <w:pPr>
        <w:pStyle w:val="Heading1"/>
      </w:pPr>
      <w:r>
        <w:t xml:space="preserve">Supplementary Material</w:t>
      </w:r>
    </w:p>
    <w:p>
      <w:pPr>
        <w:pStyle w:val="FirstParagraph"/>
      </w:pPr>
      <w:r>
        <w:rPr>
          <w:bCs/>
          <w:b/>
        </w:rPr>
        <w:t xml:space="preserve">Blind loci and design criteria for integral load-monitoring channels on continuous girder bridges, with laboratory verification and an assessment on public field records</w:t>
      </w:r>
    </w:p>
    <w:p>
      <w:pPr>
        <w:pStyle w:val="BodyText"/>
      </w:pPr>
      <w:r>
        <w:t xml:space="preserve">Quoc-Bao Nguyen, Thai-Son Vu, Hung-Son Nguyen</w:t>
      </w:r>
    </w:p>
    <w:p>
      <w:pPr>
        <w:pStyle w:val="BodyText"/>
      </w:pPr>
      <w:r>
        <w:t xml:space="preserve">This document accompanies the main text. Sections S1–S8 follow items (i)–(xi) of the Supplementary Material statement in the main text. Equation, table and figure numbers without the prefix S refer to the main text.</w:t>
      </w:r>
    </w:p>
    <w:bookmarkStart w:id="20" w:name="X0c677c237b44c82fc91bb0fd9f0d9950b955d37"/>
    <w:p>
      <w:pPr>
        <w:pStyle w:val="Heading2"/>
      </w:pPr>
      <w:r>
        <w:t xml:space="preserve">S1. Scripts, console output and derived data (items i–ii)</w:t>
      </w:r>
    </w:p>
    <w:p>
      <w:pPr>
        <w:pStyle w:val="FirstParagraph"/>
      </w:pPr>
      <w:r>
        <w:t xml:space="preserve">The archive</w:t>
      </w:r>
      <w:r>
        <w:t xml:space="preserve"> </w:t>
      </w:r>
      <w:r>
        <w:rPr>
          <w:rStyle w:val="VerbatimChar"/>
        </w:rPr>
        <w:t xml:space="preserve">scripts.zip</w:t>
      </w:r>
      <w:r>
        <w:t xml:space="preserve"> </w:t>
      </w:r>
      <w:r>
        <w:t xml:space="preserve">contains the analysis scripts and the console output of every run.</w:t>
      </w:r>
      <w:r>
        <w:t xml:space="preserve"> </w:t>
      </w:r>
      <w:r>
        <w:rPr>
          <w:rStyle w:val="VerbatimChar"/>
        </w:rPr>
        <w:t xml:space="preserve">README.md</w:t>
      </w:r>
      <w:r>
        <w:t xml:space="preserve"> </w:t>
      </w:r>
      <w:r>
        <w:t xml:space="preserve">in the archive maps every table and figure of the main text and of this document to a script and a log file.</w:t>
      </w:r>
      <w:r>
        <w:t xml:space="preserve"> </w:t>
      </w:r>
      <w:r>
        <w:rPr>
          <w:rStyle w:val="VerbatimChar"/>
        </w:rPr>
        <w:t xml:space="preserve">run_all.sh</w:t>
      </w:r>
      <w:r>
        <w:t xml:space="preserve"> </w:t>
      </w:r>
      <w:r>
        <w:t xml:space="preserve">reruns the closed forms and their FE verification, the multi-channel placement study and Monte Carlo simulation, the identifiability analysis of the in-service girder, the processing of the public field records and the laboratory evaluation. The derived data behind every figure and table are provided as CSV files in the same archive. The raw field records are not redistributed; they are available from the NOR-BWIM dataset (https://doi.org/10.7294/26880898.v1).</w:t>
      </w:r>
    </w:p>
    <w:bookmarkEnd w:id="20"/>
    <w:bookmarkStart w:id="21" w:name="X842e0746ccb27b8e810d9a455b297340c184bb2"/>
    <w:p>
      <w:pPr>
        <w:pStyle w:val="Heading2"/>
      </w:pPr>
      <w:r>
        <w:t xml:space="preserve">S2. Laboratory specimen and data (item iii)</w:t>
      </w:r>
    </w:p>
    <w:p>
      <w:pPr>
        <w:pStyle w:val="FirstParagraph"/>
      </w:pPr>
      <w:r>
        <w:t xml:space="preserve">The specimen is a steel hollow square tube on three supports forming two equal spans of 2500 mm; its measured single-load influence line is shown in Fig. S1. Table S1 lists the mid-span deflection of the first span for all three load configurations; the order of the three-load group is the best-fitting order discussed in Section 3.</w:t>
      </w:r>
    </w:p>
    <w:p>
      <w:pPr>
        <w:pStyle w:val="BodyText"/>
      </w:pPr>
      <w:r>
        <w:rPr>
          <w:bCs/>
          <w:b/>
        </w:rPr>
        <w:t xml:space="preserve">Table S1.</w:t>
      </w:r>
      <w:r>
        <w:t xml:space="preserve"> </w:t>
      </w:r>
      <w:r>
        <w:t xml:space="preserve">Mid-span deflection of the first span (mm), mean of three cycles. Single load 40.64 N; analytical values from the closed-form influence line.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m:oMath>
              <m:r>
                <m:t>x</m:t>
              </m:r>
            </m:oMath>
            <w:r>
              <w:t xml:space="preserve"> </w:t>
            </w:r>
            <w:r>
              <w:t xml:space="preserve">(mm)</w:t>
            </w:r>
          </w:p>
        </w:tc>
        <w:tc>
          <w:tcPr/>
          <w:p>
            <w:pPr>
              <w:pStyle w:val="Compact"/>
              <w:jc w:val="left"/>
            </w:pPr>
            <w:r>
              <w:t xml:space="preserve">Analytical, single</w:t>
            </w:r>
          </w:p>
        </w:tc>
        <w:tc>
          <w:tcPr/>
          <w:p>
            <w:pPr>
              <w:pStyle w:val="Compact"/>
              <w:jc w:val="left"/>
            </w:pPr>
            <w:r>
              <w:t xml:space="preserve">Measured, single</w:t>
            </w:r>
          </w:p>
        </w:tc>
        <w:tc>
          <w:tcPr/>
          <w:p>
            <w:pPr>
              <w:pStyle w:val="Compact"/>
              <w:jc w:val="left"/>
            </w:pPr>
            <w:r>
              <w:t xml:space="preserve">Two loads</w:t>
            </w:r>
          </w:p>
        </w:tc>
        <w:tc>
          <w:tcPr/>
          <w:p>
            <w:pPr>
              <w:pStyle w:val="Compact"/>
              <w:jc w:val="left"/>
            </w:pPr>
            <w:r>
              <w:t xml:space="preserve">Three loads</w:t>
            </w:r>
          </w:p>
        </w:tc>
      </w:tr>
      <w:tr>
        <w:tc>
          <w:tcPr/>
          <w:p>
            <w:pPr>
              <w:pStyle w:val="Compact"/>
              <w:jc w:val="left"/>
            </w:pPr>
            <w:r>
              <w:t xml:space="preserve">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250</w:t>
            </w:r>
          </w:p>
        </w:tc>
        <w:tc>
          <w:tcPr/>
          <w:p>
            <w:pPr>
              <w:pStyle w:val="Compact"/>
              <w:jc w:val="left"/>
            </w:pPr>
            <w:r>
              <w:t xml:space="preserve">0.8874</w:t>
            </w:r>
          </w:p>
        </w:tc>
        <w:tc>
          <w:tcPr/>
          <w:p>
            <w:pPr>
              <w:pStyle w:val="Compact"/>
              <w:jc w:val="left"/>
            </w:pPr>
            <w:r>
              <w:t xml:space="preserve">0.8844</w:t>
            </w:r>
          </w:p>
        </w:tc>
        <w:tc>
          <w:tcPr/>
          <w:p>
            <w:pPr>
              <w:pStyle w:val="Compact"/>
              <w:jc w:val="left"/>
            </w:pPr>
            <w:r>
              <w:t xml:space="preserve">0.4625</w:t>
            </w:r>
          </w:p>
        </w:tc>
        <w:tc>
          <w:tcPr/>
          <w:p>
            <w:pPr>
              <w:pStyle w:val="Compact"/>
              <w:jc w:val="left"/>
            </w:pPr>
            <w:r>
              <w:t xml:space="preserve">0.5525</w:t>
            </w:r>
          </w:p>
        </w:tc>
      </w:tr>
      <w:tr>
        <w:tc>
          <w:tcPr/>
          <w:p>
            <w:pPr>
              <w:pStyle w:val="Compact"/>
              <w:jc w:val="left"/>
            </w:pPr>
            <w:r>
              <w:t xml:space="preserve">500</w:t>
            </w:r>
          </w:p>
        </w:tc>
        <w:tc>
          <w:tcPr/>
          <w:p>
            <w:pPr>
              <w:pStyle w:val="Compact"/>
              <w:jc w:val="left"/>
            </w:pPr>
            <w:r>
              <w:t xml:space="preserve">1.6968</w:t>
            </w:r>
          </w:p>
        </w:tc>
        <w:tc>
          <w:tcPr/>
          <w:p>
            <w:pPr>
              <w:pStyle w:val="Compact"/>
              <w:jc w:val="left"/>
            </w:pPr>
            <w:r>
              <w:t xml:space="preserve">1.6975</w:t>
            </w:r>
          </w:p>
        </w:tc>
        <w:tc>
          <w:tcPr/>
          <w:p>
            <w:pPr>
              <w:pStyle w:val="Compact"/>
              <w:jc w:val="left"/>
            </w:pPr>
            <w:r>
              <w:t xml:space="preserve">1.8813</w:t>
            </w:r>
          </w:p>
        </w:tc>
        <w:tc>
          <w:tcPr/>
          <w:p>
            <w:pPr>
              <w:pStyle w:val="Compact"/>
              <w:jc w:val="left"/>
            </w:pPr>
            <w:r>
              <w:t xml:space="preserve">1.0450</w:t>
            </w:r>
          </w:p>
        </w:tc>
      </w:tr>
      <w:tr>
        <w:tc>
          <w:tcPr/>
          <w:p>
            <w:pPr>
              <w:pStyle w:val="Compact"/>
              <w:jc w:val="left"/>
            </w:pPr>
            <w:r>
              <w:t xml:space="preserve">750</w:t>
            </w:r>
          </w:p>
        </w:tc>
        <w:tc>
          <w:tcPr/>
          <w:p>
            <w:pPr>
              <w:pStyle w:val="Compact"/>
              <w:jc w:val="left"/>
            </w:pPr>
            <w:r>
              <w:t xml:space="preserve">2.3501</w:t>
            </w:r>
          </w:p>
        </w:tc>
        <w:tc>
          <w:tcPr/>
          <w:p>
            <w:pPr>
              <w:pStyle w:val="Compact"/>
              <w:jc w:val="left"/>
            </w:pPr>
            <w:r>
              <w:t xml:space="preserve">2.3525</w:t>
            </w:r>
          </w:p>
        </w:tc>
        <w:tc>
          <w:tcPr/>
          <w:p>
            <w:pPr>
              <w:pStyle w:val="Compact"/>
              <w:jc w:val="left"/>
            </w:pPr>
            <w:r>
              <w:t xml:space="preserve">3.1413</w:t>
            </w:r>
          </w:p>
        </w:tc>
        <w:tc>
          <w:tcPr/>
          <w:p>
            <w:pPr>
              <w:pStyle w:val="Compact"/>
              <w:jc w:val="left"/>
            </w:pPr>
            <w:r>
              <w:t xml:space="preserve">2.5413</w:t>
            </w:r>
          </w:p>
        </w:tc>
      </w:tr>
      <w:tr>
        <w:tc>
          <w:tcPr/>
          <w:p>
            <w:pPr>
              <w:pStyle w:val="Compact"/>
              <w:jc w:val="left"/>
            </w:pPr>
            <w:r>
              <w:t xml:space="preserve">1000</w:t>
            </w:r>
          </w:p>
        </w:tc>
        <w:tc>
          <w:tcPr/>
          <w:p>
            <w:pPr>
              <w:pStyle w:val="Compact"/>
              <w:jc w:val="left"/>
            </w:pPr>
            <w:r>
              <w:t xml:space="preserve">2.7693</w:t>
            </w:r>
          </w:p>
        </w:tc>
        <w:tc>
          <w:tcPr/>
          <w:p>
            <w:pPr>
              <w:pStyle w:val="Compact"/>
              <w:jc w:val="left"/>
            </w:pPr>
            <w:r>
              <w:t xml:space="preserve">2.7738</w:t>
            </w:r>
          </w:p>
        </w:tc>
        <w:tc>
          <w:tcPr/>
          <w:p>
            <w:pPr>
              <w:pStyle w:val="Compact"/>
              <w:jc w:val="left"/>
            </w:pPr>
            <w:r>
              <w:t xml:space="preserve">4.0988</w:t>
            </w:r>
          </w:p>
        </w:tc>
        <w:tc>
          <w:tcPr/>
          <w:p>
            <w:pPr>
              <w:pStyle w:val="Compact"/>
              <w:jc w:val="left"/>
            </w:pPr>
            <w:r>
              <w:t xml:space="preserve">4.8700</w:t>
            </w:r>
          </w:p>
        </w:tc>
      </w:tr>
      <w:tr>
        <w:tc>
          <w:tcPr/>
          <w:p>
            <w:pPr>
              <w:pStyle w:val="Compact"/>
              <w:jc w:val="left"/>
            </w:pPr>
            <w:r>
              <w:t xml:space="preserve">1250</w:t>
            </w:r>
          </w:p>
        </w:tc>
        <w:tc>
          <w:tcPr/>
          <w:p>
            <w:pPr>
              <w:pStyle w:val="Compact"/>
              <w:jc w:val="left"/>
            </w:pPr>
            <w:r>
              <w:t xml:space="preserve">2.8764</w:t>
            </w:r>
          </w:p>
        </w:tc>
        <w:tc>
          <w:tcPr/>
          <w:p>
            <w:pPr>
              <w:pStyle w:val="Compact"/>
              <w:jc w:val="left"/>
            </w:pPr>
            <w:r>
              <w:t xml:space="preserve">2.8827</w:t>
            </w:r>
          </w:p>
        </w:tc>
        <w:tc>
          <w:tcPr/>
          <w:p>
            <w:pPr>
              <w:pStyle w:val="Compact"/>
              <w:jc w:val="left"/>
            </w:pPr>
            <w:r>
              <w:t xml:space="preserve">4.6350</w:t>
            </w:r>
          </w:p>
        </w:tc>
        <w:tc>
          <w:tcPr/>
          <w:p>
            <w:pPr>
              <w:pStyle w:val="Compact"/>
              <w:jc w:val="left"/>
            </w:pPr>
            <w:r>
              <w:t xml:space="preserve">6.7588</w:t>
            </w:r>
          </w:p>
        </w:tc>
      </w:tr>
      <w:tr>
        <w:tc>
          <w:tcPr/>
          <w:p>
            <w:pPr>
              <w:pStyle w:val="Compact"/>
              <w:jc w:val="left"/>
            </w:pPr>
            <w:r>
              <w:t xml:space="preserve">1500</w:t>
            </w:r>
          </w:p>
        </w:tc>
        <w:tc>
          <w:tcPr/>
          <w:p>
            <w:pPr>
              <w:pStyle w:val="Compact"/>
              <w:jc w:val="left"/>
            </w:pPr>
            <w:r>
              <w:t xml:space="preserve">2.6253</w:t>
            </w:r>
          </w:p>
        </w:tc>
        <w:tc>
          <w:tcPr/>
          <w:p>
            <w:pPr>
              <w:pStyle w:val="Compact"/>
              <w:jc w:val="left"/>
            </w:pPr>
            <w:r>
              <w:t xml:space="preserve">2.6363</w:t>
            </w:r>
          </w:p>
        </w:tc>
        <w:tc>
          <w:tcPr/>
          <w:p>
            <w:pPr>
              <w:pStyle w:val="Compact"/>
              <w:jc w:val="left"/>
            </w:pPr>
            <w:r>
              <w:t xml:space="preserve">4.6238</w:t>
            </w:r>
          </w:p>
        </w:tc>
        <w:tc>
          <w:tcPr/>
          <w:p>
            <w:pPr>
              <w:pStyle w:val="Compact"/>
              <w:jc w:val="left"/>
            </w:pPr>
            <w:r>
              <w:t xml:space="preserve">7.9350</w:t>
            </w:r>
          </w:p>
        </w:tc>
      </w:tr>
      <w:tr>
        <w:tc>
          <w:tcPr/>
          <w:p>
            <w:pPr>
              <w:pStyle w:val="Compact"/>
              <w:jc w:val="left"/>
            </w:pPr>
            <w:r>
              <w:t xml:space="preserve">1750</w:t>
            </w:r>
          </w:p>
        </w:tc>
        <w:tc>
          <w:tcPr/>
          <w:p>
            <w:pPr>
              <w:pStyle w:val="Compact"/>
              <w:jc w:val="left"/>
            </w:pPr>
            <w:r>
              <w:t xml:space="preserve">2.0980</w:t>
            </w:r>
          </w:p>
        </w:tc>
        <w:tc>
          <w:tcPr/>
          <w:p>
            <w:pPr>
              <w:pStyle w:val="Compact"/>
              <w:jc w:val="left"/>
            </w:pPr>
            <w:r>
              <w:t xml:space="preserve">2.1100</w:t>
            </w:r>
          </w:p>
        </w:tc>
        <w:tc>
          <w:tcPr/>
          <w:p>
            <w:pPr>
              <w:pStyle w:val="Compact"/>
              <w:jc w:val="left"/>
            </w:pPr>
            <w:r>
              <w:t xml:space="preserve">4.0688</w:t>
            </w:r>
          </w:p>
        </w:tc>
        <w:tc>
          <w:tcPr/>
          <w:p>
            <w:pPr>
              <w:pStyle w:val="Compact"/>
              <w:jc w:val="left"/>
            </w:pPr>
            <w:r>
              <w:t xml:space="preserve">8.2775</w:t>
            </w:r>
          </w:p>
        </w:tc>
      </w:tr>
      <w:tr>
        <w:tc>
          <w:tcPr/>
          <w:p>
            <w:pPr>
              <w:pStyle w:val="Compact"/>
              <w:jc w:val="left"/>
            </w:pPr>
            <w:r>
              <w:t xml:space="preserve">2000</w:t>
            </w:r>
          </w:p>
        </w:tc>
        <w:tc>
          <w:tcPr/>
          <w:p>
            <w:pPr>
              <w:pStyle w:val="Compact"/>
              <w:jc w:val="left"/>
            </w:pPr>
            <w:r>
              <w:t xml:space="preserve">1.4087</w:t>
            </w:r>
          </w:p>
        </w:tc>
        <w:tc>
          <w:tcPr/>
          <w:p>
            <w:pPr>
              <w:pStyle w:val="Compact"/>
              <w:jc w:val="left"/>
            </w:pPr>
            <w:r>
              <w:t xml:space="preserve">1.4213</w:t>
            </w:r>
          </w:p>
        </w:tc>
        <w:tc>
          <w:tcPr/>
          <w:p>
            <w:pPr>
              <w:pStyle w:val="Compact"/>
              <w:jc w:val="left"/>
            </w:pPr>
            <w:r>
              <w:t xml:space="preserve">3.1375</w:t>
            </w:r>
          </w:p>
        </w:tc>
        <w:tc>
          <w:tcPr/>
          <w:p>
            <w:pPr>
              <w:pStyle w:val="Compact"/>
              <w:jc w:val="left"/>
            </w:pPr>
            <w:r>
              <w:t xml:space="preserve">7.6825</w:t>
            </w:r>
          </w:p>
        </w:tc>
      </w:tr>
      <w:tr>
        <w:tc>
          <w:tcPr/>
          <w:p>
            <w:pPr>
              <w:pStyle w:val="Compact"/>
              <w:jc w:val="left"/>
            </w:pPr>
            <w:r>
              <w:t xml:space="preserve">2250</w:t>
            </w:r>
          </w:p>
        </w:tc>
        <w:tc>
          <w:tcPr/>
          <w:p>
            <w:pPr>
              <w:pStyle w:val="Compact"/>
              <w:jc w:val="left"/>
            </w:pPr>
            <w:r>
              <w:t xml:space="preserve">0.6713</w:t>
            </w:r>
          </w:p>
        </w:tc>
        <w:tc>
          <w:tcPr/>
          <w:p>
            <w:pPr>
              <w:pStyle w:val="Compact"/>
              <w:jc w:val="left"/>
            </w:pPr>
            <w:r>
              <w:t xml:space="preserve">0.6838</w:t>
            </w:r>
          </w:p>
        </w:tc>
        <w:tc>
          <w:tcPr/>
          <w:p>
            <w:pPr>
              <w:pStyle w:val="Compact"/>
              <w:jc w:val="left"/>
            </w:pPr>
            <w:r>
              <w:t xml:space="preserve">1.9600</w:t>
            </w:r>
          </w:p>
        </w:tc>
        <w:tc>
          <w:tcPr/>
          <w:p>
            <w:pPr>
              <w:pStyle w:val="Compact"/>
              <w:jc w:val="left"/>
            </w:pPr>
            <w:r>
              <w:t xml:space="preserve">6.2800</w:t>
            </w:r>
          </w:p>
        </w:tc>
      </w:tr>
      <w:tr>
        <w:tc>
          <w:tcPr/>
          <w:p>
            <w:pPr>
              <w:pStyle w:val="Compact"/>
              <w:jc w:val="left"/>
            </w:pPr>
            <w:r>
              <w:t xml:space="preserve">2500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0.7715</w:t>
            </w:r>
          </w:p>
        </w:tc>
        <w:tc>
          <w:tcPr/>
          <w:p>
            <w:pPr>
              <w:pStyle w:val="Compact"/>
              <w:jc w:val="left"/>
            </w:pPr>
            <w:r>
              <w:t xml:space="preserve">4.3725</w:t>
            </w:r>
          </w:p>
        </w:tc>
      </w:tr>
      <w:tr>
        <w:tc>
          <w:tcPr/>
          <w:p>
            <w:pPr>
              <w:pStyle w:val="Compact"/>
              <w:jc w:val="left"/>
            </w:pPr>
            <w:r>
              <w:t xml:space="preserve">2750</w:t>
            </w:r>
          </w:p>
        </w:tc>
        <w:tc>
          <w:tcPr/>
          <w:p>
            <w:pPr>
              <w:pStyle w:val="Compact"/>
              <w:jc w:val="left"/>
            </w:pPr>
            <w:r>
              <w:t xml:space="preserve">−0.5132</w:t>
            </w:r>
          </w:p>
        </w:tc>
        <w:tc>
          <w:tcPr/>
          <w:p>
            <w:pPr>
              <w:pStyle w:val="Compact"/>
              <w:jc w:val="left"/>
            </w:pPr>
            <w:r>
              <w:t xml:space="preserve">−0.5069</w:t>
            </w:r>
          </w:p>
        </w:tc>
        <w:tc>
          <w:tcPr/>
          <w:p>
            <w:pPr>
              <w:pStyle w:val="Compact"/>
              <w:jc w:val="left"/>
            </w:pPr>
            <w:r>
              <w:t xml:space="preserve">−0.2689</w:t>
            </w:r>
          </w:p>
        </w:tc>
        <w:tc>
          <w:tcPr/>
          <w:p>
            <w:pPr>
              <w:pStyle w:val="Compact"/>
              <w:jc w:val="left"/>
            </w:pPr>
            <w:r>
              <w:t xml:space="preserve">2.2975</w:t>
            </w:r>
          </w:p>
        </w:tc>
      </w:tr>
      <w:tr>
        <w:tc>
          <w:tcPr/>
          <w:p>
            <w:pPr>
              <w:pStyle w:val="Compact"/>
              <w:jc w:val="left"/>
            </w:pPr>
            <w:r>
              <w:t xml:space="preserve">3000</w:t>
            </w:r>
          </w:p>
        </w:tc>
        <w:tc>
          <w:tcPr/>
          <w:p>
            <w:pPr>
              <w:pStyle w:val="Compact"/>
              <w:jc w:val="left"/>
            </w:pPr>
            <w:r>
              <w:t xml:space="preserve">−0.8644</w:t>
            </w:r>
          </w:p>
        </w:tc>
        <w:tc>
          <w:tcPr/>
          <w:p>
            <w:pPr>
              <w:pStyle w:val="Compact"/>
              <w:jc w:val="left"/>
            </w:pPr>
            <w:r>
              <w:t xml:space="preserve">−0.8556</w:t>
            </w:r>
          </w:p>
        </w:tc>
        <w:tc>
          <w:tcPr/>
          <w:p>
            <w:pPr>
              <w:pStyle w:val="Compact"/>
              <w:jc w:val="left"/>
            </w:pPr>
            <w:r>
              <w:t xml:space="preserve">−1.0063</w:t>
            </w:r>
          </w:p>
        </w:tc>
        <w:tc>
          <w:tcPr/>
          <w:p>
            <w:pPr>
              <w:pStyle w:val="Compact"/>
              <w:jc w:val="left"/>
            </w:pPr>
            <w:r>
              <w:t xml:space="preserve">0.3021</w:t>
            </w:r>
          </w:p>
        </w:tc>
      </w:tr>
      <w:tr>
        <w:tc>
          <w:tcPr/>
          <w:p>
            <w:pPr>
              <w:pStyle w:val="Compact"/>
              <w:jc w:val="left"/>
            </w:pPr>
            <w:r>
              <w:t xml:space="preserve">3250</w:t>
            </w:r>
          </w:p>
        </w:tc>
        <w:tc>
          <w:tcPr/>
          <w:p>
            <w:pPr>
              <w:pStyle w:val="Compact"/>
              <w:jc w:val="left"/>
            </w:pPr>
            <w:r>
              <w:t xml:space="preserve">−1.0715</w:t>
            </w:r>
          </w:p>
        </w:tc>
        <w:tc>
          <w:tcPr/>
          <w:p>
            <w:pPr>
              <w:pStyle w:val="Compact"/>
              <w:jc w:val="left"/>
            </w:pPr>
            <w:r>
              <w:t xml:space="preserve">−1.0600</w:t>
            </w:r>
          </w:p>
        </w:tc>
        <w:tc>
          <w:tcPr/>
          <w:p>
            <w:pPr>
              <w:pStyle w:val="Compact"/>
              <w:jc w:val="left"/>
            </w:pPr>
            <w:r>
              <w:t xml:space="preserve">−1.4988</w:t>
            </w:r>
          </w:p>
        </w:tc>
        <w:tc>
          <w:tcPr/>
          <w:p>
            <w:pPr>
              <w:pStyle w:val="Compact"/>
              <w:jc w:val="left"/>
            </w:pPr>
            <w:r>
              <w:t xml:space="preserve">−1.2588</w:t>
            </w:r>
          </w:p>
        </w:tc>
      </w:tr>
      <w:tr>
        <w:tc>
          <w:tcPr/>
          <w:p>
            <w:pPr>
              <w:pStyle w:val="Compact"/>
              <w:jc w:val="left"/>
            </w:pPr>
            <w:r>
              <w:t xml:space="preserve">3500</w:t>
            </w:r>
          </w:p>
        </w:tc>
        <w:tc>
          <w:tcPr/>
          <w:p>
            <w:pPr>
              <w:pStyle w:val="Compact"/>
              <w:jc w:val="left"/>
            </w:pPr>
            <w:r>
              <w:t xml:space="preserve">−1.1526</w:t>
            </w:r>
          </w:p>
        </w:tc>
        <w:tc>
          <w:tcPr/>
          <w:p>
            <w:pPr>
              <w:pStyle w:val="Compact"/>
              <w:jc w:val="left"/>
            </w:pPr>
            <w:r>
              <w:t xml:space="preserve">−1.1438</w:t>
            </w:r>
          </w:p>
        </w:tc>
        <w:tc>
          <w:tcPr/>
          <w:p>
            <w:pPr>
              <w:pStyle w:val="Compact"/>
              <w:jc w:val="left"/>
            </w:pPr>
            <w:r>
              <w:t xml:space="preserve">−1.7813</w:t>
            </w:r>
          </w:p>
        </w:tc>
        <w:tc>
          <w:tcPr/>
          <w:p>
            <w:pPr>
              <w:pStyle w:val="Compact"/>
              <w:jc w:val="left"/>
            </w:pPr>
            <w:r>
              <w:t xml:space="preserve">−2.3650</w:t>
            </w:r>
          </w:p>
        </w:tc>
      </w:tr>
      <w:tr>
        <w:tc>
          <w:tcPr/>
          <w:p>
            <w:pPr>
              <w:pStyle w:val="Compact"/>
              <w:jc w:val="left"/>
            </w:pPr>
            <w:r>
              <w:t xml:space="preserve">3750</w:t>
            </w:r>
          </w:p>
        </w:tc>
        <w:tc>
          <w:tcPr/>
          <w:p>
            <w:pPr>
              <w:pStyle w:val="Compact"/>
              <w:jc w:val="left"/>
            </w:pPr>
            <w:r>
              <w:t xml:space="preserve">−1.1255</w:t>
            </w:r>
          </w:p>
        </w:tc>
        <w:tc>
          <w:tcPr/>
          <w:p>
            <w:pPr>
              <w:pStyle w:val="Compact"/>
              <w:jc w:val="left"/>
            </w:pPr>
            <w:r>
              <w:t xml:space="preserve">−1.1200</w:t>
            </w:r>
          </w:p>
        </w:tc>
        <w:tc>
          <w:tcPr/>
          <w:p>
            <w:pPr>
              <w:pStyle w:val="Compact"/>
              <w:jc w:val="left"/>
            </w:pPr>
            <w:r>
              <w:t xml:space="preserve">−1.8600</w:t>
            </w:r>
          </w:p>
        </w:tc>
        <w:tc>
          <w:tcPr/>
          <w:p>
            <w:pPr>
              <w:pStyle w:val="Compact"/>
              <w:jc w:val="left"/>
            </w:pPr>
            <w:r>
              <w:t xml:space="preserve">−3.0363</w:t>
            </w:r>
          </w:p>
        </w:tc>
      </w:tr>
      <w:tr>
        <w:tc>
          <w:tcPr/>
          <w:p>
            <w:pPr>
              <w:pStyle w:val="Compact"/>
              <w:jc w:val="left"/>
            </w:pPr>
            <w:r>
              <w:t xml:space="preserve">4000</w:t>
            </w:r>
          </w:p>
        </w:tc>
        <w:tc>
          <w:tcPr/>
          <w:p>
            <w:pPr>
              <w:pStyle w:val="Compact"/>
              <w:jc w:val="left"/>
            </w:pPr>
            <w:r>
              <w:t xml:space="preserve">−1.0085</w:t>
            </w:r>
          </w:p>
        </w:tc>
        <w:tc>
          <w:tcPr/>
          <w:p>
            <w:pPr>
              <w:pStyle w:val="Compact"/>
              <w:jc w:val="left"/>
            </w:pPr>
            <w:r>
              <w:t xml:space="preserve">−1.0013</w:t>
            </w:r>
          </w:p>
        </w:tc>
        <w:tc>
          <w:tcPr/>
          <w:p>
            <w:pPr>
              <w:pStyle w:val="Compact"/>
              <w:jc w:val="left"/>
            </w:pPr>
            <w:r>
              <w:t xml:space="preserve">−1.7738</w:t>
            </w:r>
          </w:p>
        </w:tc>
        <w:tc>
          <w:tcPr/>
          <w:p>
            <w:pPr>
              <w:pStyle w:val="Compact"/>
              <w:jc w:val="left"/>
            </w:pPr>
            <w:r>
              <w:t xml:space="preserve">−3.3300</w:t>
            </w:r>
          </w:p>
        </w:tc>
      </w:tr>
      <w:tr>
        <w:tc>
          <w:tcPr/>
          <w:p>
            <w:pPr>
              <w:pStyle w:val="Compact"/>
              <w:jc w:val="left"/>
            </w:pPr>
            <w:r>
              <w:t xml:space="preserve">4250</w:t>
            </w:r>
          </w:p>
        </w:tc>
        <w:tc>
          <w:tcPr/>
          <w:p>
            <w:pPr>
              <w:pStyle w:val="Compact"/>
              <w:jc w:val="left"/>
            </w:pPr>
            <w:r>
              <w:t xml:space="preserve">−0.8194</w:t>
            </w:r>
          </w:p>
        </w:tc>
        <w:tc>
          <w:tcPr/>
          <w:p>
            <w:pPr>
              <w:pStyle w:val="Compact"/>
              <w:jc w:val="left"/>
            </w:pPr>
            <w:r>
              <w:t xml:space="preserve">−0.8175</w:t>
            </w:r>
          </w:p>
        </w:tc>
        <w:tc>
          <w:tcPr/>
          <w:p>
            <w:pPr>
              <w:pStyle w:val="Compact"/>
              <w:jc w:val="left"/>
            </w:pPr>
            <w:r>
              <w:t xml:space="preserve">−1.5525</w:t>
            </w:r>
          </w:p>
        </w:tc>
        <w:tc>
          <w:tcPr/>
          <w:p>
            <w:pPr>
              <w:pStyle w:val="Compact"/>
              <w:jc w:val="left"/>
            </w:pPr>
            <w:r>
              <w:t xml:space="preserve">−3.2663</w:t>
            </w:r>
          </w:p>
        </w:tc>
      </w:tr>
      <w:tr>
        <w:tc>
          <w:tcPr/>
          <w:p>
            <w:pPr>
              <w:pStyle w:val="Compact"/>
              <w:jc w:val="left"/>
            </w:pPr>
            <w:r>
              <w:t xml:space="preserve">4500</w:t>
            </w:r>
          </w:p>
        </w:tc>
        <w:tc>
          <w:tcPr/>
          <w:p>
            <w:pPr>
              <w:pStyle w:val="Compact"/>
              <w:jc w:val="left"/>
            </w:pPr>
            <w:r>
              <w:t xml:space="preserve">−0.5763</w:t>
            </w:r>
          </w:p>
        </w:tc>
        <w:tc>
          <w:tcPr/>
          <w:p>
            <w:pPr>
              <w:pStyle w:val="Compact"/>
              <w:jc w:val="left"/>
            </w:pPr>
            <w:r>
              <w:t xml:space="preserve">−0.5816</w:t>
            </w:r>
          </w:p>
        </w:tc>
        <w:tc>
          <w:tcPr/>
          <w:p>
            <w:pPr>
              <w:pStyle w:val="Compact"/>
              <w:jc w:val="left"/>
            </w:pPr>
            <w:r>
              <w:t xml:space="preserve">−1.2213</w:t>
            </w:r>
          </w:p>
        </w:tc>
        <w:tc>
          <w:tcPr/>
          <w:p>
            <w:pPr>
              <w:pStyle w:val="Compact"/>
              <w:jc w:val="left"/>
            </w:pPr>
            <w:r>
              <w:t xml:space="preserve">−2.9450</w:t>
            </w:r>
          </w:p>
        </w:tc>
      </w:tr>
      <w:tr>
        <w:tc>
          <w:tcPr/>
          <w:p>
            <w:pPr>
              <w:pStyle w:val="Compact"/>
              <w:jc w:val="left"/>
            </w:pPr>
            <w:r>
              <w:t xml:space="preserve">4750</w:t>
            </w:r>
          </w:p>
        </w:tc>
        <w:tc>
          <w:tcPr/>
          <w:p>
            <w:pPr>
              <w:pStyle w:val="Compact"/>
              <w:jc w:val="left"/>
            </w:pPr>
            <w:r>
              <w:t xml:space="preserve">−0.2971</w:t>
            </w:r>
          </w:p>
        </w:tc>
        <w:tc>
          <w:tcPr/>
          <w:p>
            <w:pPr>
              <w:pStyle w:val="Compact"/>
              <w:jc w:val="left"/>
            </w:pPr>
            <w:r>
              <w:t xml:space="preserve">−0.3019</w:t>
            </w:r>
          </w:p>
        </w:tc>
        <w:tc>
          <w:tcPr/>
          <w:p>
            <w:pPr>
              <w:pStyle w:val="Compact"/>
              <w:jc w:val="left"/>
            </w:pPr>
            <w:r>
              <w:t xml:space="preserve">−0.8125</w:t>
            </w:r>
          </w:p>
        </w:tc>
        <w:tc>
          <w:tcPr/>
          <w:p>
            <w:pPr>
              <w:pStyle w:val="Compact"/>
              <w:jc w:val="left"/>
            </w:pPr>
            <w:r>
              <w:t xml:space="preserve">−2.4125</w:t>
            </w:r>
          </w:p>
        </w:tc>
      </w:tr>
      <w:tr>
        <w:tc>
          <w:tcPr/>
          <w:p>
            <w:pPr>
              <w:pStyle w:val="Compact"/>
              <w:jc w:val="left"/>
            </w:pPr>
            <w:r>
              <w:t xml:space="preserve">5000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−0.3325</w:t>
            </w:r>
          </w:p>
        </w:tc>
        <w:tc>
          <w:tcPr/>
          <w:p>
            <w:pPr>
              <w:pStyle w:val="Compact"/>
              <w:jc w:val="left"/>
            </w:pPr>
            <w:r>
              <w:t xml:space="preserve">−1.7088</w:t>
            </w:r>
          </w:p>
        </w:tc>
      </w:tr>
      <w:tr>
        <w:tc>
          <w:tcPr/>
          <w:p>
            <w:pPr>
              <w:pStyle w:val="Compact"/>
              <w:jc w:val="left"/>
            </w:pPr>
            <w:r>
              <w:t xml:space="preserve">5250</w:t>
            </w:r>
          </w:p>
        </w:tc>
        <w:tc>
          <w:tcPr/>
          <w:p>
            <w:pPr>
              <w:pStyle w:val="Compact"/>
            </w:pPr>
          </w:p>
        </w:tc>
        <w:tc>
          <w:tcPr/>
          <w:p>
            <w:pPr>
              <w:pStyle w:val="Compact"/>
            </w:pPr>
          </w:p>
        </w:tc>
        <w:tc>
          <w:tcPr/>
          <w:p>
            <w:pPr>
              <w:pStyle w:val="Compact"/>
              <w:jc w:val="left"/>
            </w:pPr>
            <w:r>
              <w:t xml:space="preserve">0</w:t>
            </w:r>
          </w:p>
        </w:tc>
        <w:tc>
          <w:tcPr/>
          <w:p>
            <w:pPr>
              <w:pStyle w:val="Compact"/>
              <w:jc w:val="left"/>
            </w:pPr>
            <w:r>
              <w:t xml:space="preserve">−1.0713</w:t>
            </w:r>
          </w:p>
        </w:tc>
      </w:tr>
      <w:tr>
        <w:tc>
          <w:tcPr/>
          <w:p>
            <w:pPr>
              <w:pStyle w:val="Compact"/>
              <w:jc w:val="left"/>
            </w:pPr>
            <w:r>
              <w:t xml:space="preserve">5500</w:t>
            </w:r>
          </w:p>
        </w:tc>
        <w:tc>
          <w:tcPr/>
          <w:p>
            <w:pPr>
              <w:pStyle w:val="Compact"/>
            </w:pPr>
          </w:p>
        </w:tc>
        <w:tc>
          <w:tcPr/>
          <w:p>
            <w:pPr>
              <w:pStyle w:val="Compact"/>
            </w:pPr>
          </w:p>
        </w:tc>
        <w:tc>
          <w:tcPr/>
          <w:p>
            <w:pPr>
              <w:pStyle w:val="Compact"/>
            </w:pPr>
          </w:p>
        </w:tc>
        <w:tc>
          <w:tcPr/>
          <w:p>
            <w:pPr>
              <w:pStyle w:val="Compact"/>
              <w:jc w:val="left"/>
            </w:pPr>
            <w:r>
              <w:t xml:space="preserve">−0.3650</w:t>
            </w:r>
          </w:p>
        </w:tc>
      </w:tr>
      <w:tr>
        <w:tc>
          <w:tcPr/>
          <w:p>
            <w:pPr>
              <w:pStyle w:val="Compact"/>
              <w:jc w:val="left"/>
            </w:pPr>
            <w:r>
              <w:t xml:space="preserve">5750</w:t>
            </w:r>
          </w:p>
        </w:tc>
        <w:tc>
          <w:tcPr/>
          <w:p>
            <w:pPr>
              <w:pStyle w:val="Compact"/>
            </w:pPr>
          </w:p>
        </w:tc>
        <w:tc>
          <w:tcPr/>
          <w:p>
            <w:pPr>
              <w:pStyle w:val="Compact"/>
            </w:pPr>
          </w:p>
        </w:tc>
        <w:tc>
          <w:tcPr/>
          <w:p>
            <w:pPr>
              <w:pStyle w:val="Compact"/>
            </w:pPr>
          </w:p>
        </w:tc>
        <w:tc>
          <w:tcPr/>
          <w:p>
            <w:pPr>
              <w:pStyle w:val="Compact"/>
              <w:jc w:val="left"/>
            </w:pPr>
            <w:r>
              <w:t xml:space="preserve">0</w:t>
            </w:r>
          </w:p>
        </w:tc>
      </w:tr>
    </w:tbl>
    <w:bookmarkEnd w:id="21"/>
    <w:bookmarkStart w:id="22" w:name="X8d2ab957daf58c8a221e53931bf4c5ae20c5c08"/>
    <w:p>
      <w:pPr>
        <w:pStyle w:val="Heading2"/>
      </w:pPr>
      <w:r>
        <w:t xml:space="preserve">S3. Field records: tables and processing details (item iv)</w:t>
      </w:r>
    </w:p>
    <w:p>
      <w:pPr>
        <w:pStyle w:val="FirstParagraph"/>
      </w:pPr>
      <w:r>
        <w:rPr>
          <w:bCs/>
          <w:b/>
        </w:rPr>
        <w:t xml:space="preserve">Table S2.</w:t>
      </w:r>
      <w:r>
        <w:t xml:space="preserve"> </w:t>
      </w:r>
      <w:r>
        <w:t xml:space="preserve">Integral constant</w:t>
      </w:r>
      <w:r>
        <w:t xml:space="preserve"> </w:t>
      </w:r>
      <m:oMath>
        <m:r>
          <m:t>C</m:t>
        </m:r>
      </m:oMath>
      <w:r>
        <w:t xml:space="preserve"> </w:t>
      </w:r>
      <w:r>
        <w:t xml:space="preserve">and its scatter over the runs, lane A unless stated. CV expected: coefficient of variation predicted from the measured vehicle-free noise. For ch1, ch2, ch8 and ch9 the residual variance is 2.9–5.1 times the vehicle-free noise variance.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Day, channel</w:t>
            </w:r>
          </w:p>
        </w:tc>
        <w:tc>
          <w:tcPr/>
          <w:p>
            <w:pPr>
              <w:pStyle w:val="Compact"/>
              <w:jc w:val="left"/>
            </w:pPr>
            <w:r>
              <w:t xml:space="preserve">Runs</w:t>
            </w:r>
          </w:p>
        </w:tc>
        <w:tc>
          <w:tcPr/>
          <w:p>
            <w:pPr>
              <w:pStyle w:val="Compact"/>
              <w:jc w:val="left"/>
            </w:pPr>
            <m:oMath>
              <m:r>
                <m:t>C</m:t>
              </m:r>
            </m:oMath>
            <w:r>
              <w:t xml:space="preserve"> </w:t>
            </w:r>
            <w:r>
              <w:t xml:space="preserve">(µε m/t), 95 % CI</w:t>
            </w:r>
          </w:p>
        </w:tc>
        <w:tc>
          <w:tcPr/>
          <w:p>
            <w:pPr>
              <w:pStyle w:val="Compact"/>
              <w:jc w:val="left"/>
            </w:pPr>
            <w:r>
              <w:t xml:space="preserve">CV observed (%)</w:t>
            </w:r>
          </w:p>
        </w:tc>
        <w:tc>
          <w:tcPr/>
          <w:p>
            <w:pPr>
              <w:pStyle w:val="Compact"/>
              <w:jc w:val="left"/>
            </w:pPr>
            <w:r>
              <w:t xml:space="preserve">CV expected (%)</w:t>
            </w:r>
          </w:p>
        </w:tc>
        <w:tc>
          <w:tcPr/>
          <w:p>
            <w:pPr>
              <w:pStyle w:val="Compact"/>
              <w:jc w:val="left"/>
            </w:pPr>
            <w:r>
              <w:t xml:space="preserve">χ² p</w:t>
            </w:r>
          </w:p>
        </w:tc>
      </w:tr>
      <w:tr>
        <w:tc>
          <w:tcPr/>
          <w:p>
            <w:pPr>
              <w:pStyle w:val="Compact"/>
              <w:jc w:val="left"/>
            </w:pPr>
            <w:r>
              <w:t xml:space="preserve">1, ch11 (best)</w:t>
            </w:r>
          </w:p>
        </w:tc>
        <w:tc>
          <w:tcPr/>
          <w:p>
            <w:pPr>
              <w:pStyle w:val="Compact"/>
              <w:jc w:val="left"/>
            </w:pPr>
            <w:r>
              <w:t xml:space="preserve">7</w:t>
            </w:r>
          </w:p>
        </w:tc>
        <w:tc>
          <w:tcPr/>
          <w:p>
            <w:pPr>
              <w:pStyle w:val="Compact"/>
              <w:jc w:val="left"/>
            </w:pPr>
            <w:r>
              <w:t xml:space="preserve">−5.85 (−6.17, −5.53)</w:t>
            </w:r>
          </w:p>
        </w:tc>
        <w:tc>
          <w:tcPr/>
          <w:p>
            <w:pPr>
              <w:pStyle w:val="Compact"/>
              <w:jc w:val="left"/>
            </w:pPr>
            <w:r>
              <w:t xml:space="preserve">5.8</w:t>
            </w:r>
          </w:p>
        </w:tc>
        <w:tc>
          <w:tcPr/>
          <w:p>
            <w:pPr>
              <w:pStyle w:val="Compact"/>
              <w:jc w:val="left"/>
            </w:pPr>
            <w:r>
              <w:t xml:space="preserve">6.8</w:t>
            </w:r>
          </w:p>
        </w:tc>
        <w:tc>
          <w:tcPr/>
          <w:p>
            <w:pPr>
              <w:pStyle w:val="Compact"/>
              <w:jc w:val="left"/>
            </w:pPr>
            <w:r>
              <w:t xml:space="preserve">0.60</w:t>
            </w:r>
          </w:p>
        </w:tc>
      </w:tr>
      <w:tr>
        <w:tc>
          <w:tcPr/>
          <w:p>
            <w:pPr>
              <w:pStyle w:val="Compact"/>
              <w:jc w:val="left"/>
            </w:pPr>
            <w:r>
              <w:t xml:space="preserve">1, gauge average (4 wheel-path gauges)</w:t>
            </w:r>
          </w:p>
        </w:tc>
        <w:tc>
          <w:tcPr/>
          <w:p>
            <w:pPr>
              <w:pStyle w:val="Compact"/>
              <w:jc w:val="left"/>
            </w:pPr>
            <w:r>
              <w:t xml:space="preserve">7</w:t>
            </w:r>
          </w:p>
        </w:tc>
        <w:tc>
          <w:tcPr/>
          <w:p>
            <w:pPr>
              <w:pStyle w:val="Compact"/>
              <w:jc w:val="left"/>
            </w:pPr>
            <w:r>
              <w:t xml:space="preserve">−4.03 (−4.24, −3.82)</w:t>
            </w:r>
          </w:p>
        </w:tc>
        <w:tc>
          <w:tcPr/>
          <w:p>
            <w:pPr>
              <w:pStyle w:val="Compact"/>
              <w:jc w:val="left"/>
            </w:pPr>
            <w:r>
              <w:t xml:space="preserve">5.6</w:t>
            </w:r>
          </w:p>
        </w:tc>
        <w:tc>
          <w:tcPr/>
          <w:p>
            <w:pPr>
              <w:pStyle w:val="Compact"/>
              <w:jc w:val="left"/>
            </w:pPr>
            <w:r>
              <w:t xml:space="preserve">6.1</w:t>
            </w:r>
          </w:p>
        </w:tc>
        <w:tc>
          <w:tcPr/>
          <w:p>
            <w:pPr>
              <w:pStyle w:val="Compact"/>
              <w:jc w:val="left"/>
            </w:pPr>
            <w:r>
              <w:t xml:space="preserve">0.53</w:t>
            </w:r>
          </w:p>
        </w:tc>
      </w:tr>
      <w:tr>
        <w:tc>
          <w:tcPr/>
          <w:p>
            <w:pPr>
              <w:pStyle w:val="Compact"/>
              <w:jc w:val="left"/>
            </w:pPr>
            <w:r>
              <w:t xml:space="preserve">1, ch1, ch2, ch8, ch9</w:t>
            </w:r>
          </w:p>
        </w:tc>
        <w:tc>
          <w:tcPr/>
          <w:p>
            <w:pPr>
              <w:pStyle w:val="Compact"/>
              <w:jc w:val="left"/>
            </w:pPr>
            <w:r>
              <w:t xml:space="preserve">7</w:t>
            </w:r>
          </w:p>
        </w:tc>
        <w:tc>
          <w:tcPr/>
          <w:p>
            <w:pPr>
              <w:pStyle w:val="Compact"/>
              <w:jc w:val="left"/>
            </w:pPr>
            <w:r>
              <w:t xml:space="preserve">−1.49 to −2.38</w:t>
            </w:r>
          </w:p>
        </w:tc>
        <w:tc>
          <w:tcPr/>
          <w:p>
            <w:pPr>
              <w:pStyle w:val="Compact"/>
              <w:jc w:val="left"/>
            </w:pPr>
            <w:r>
              <w:t xml:space="preserve">17.2–19.1</w:t>
            </w:r>
          </w:p>
        </w:tc>
        <w:tc>
          <w:tcPr/>
          <w:p>
            <w:pPr>
              <w:pStyle w:val="Compact"/>
              <w:jc w:val="left"/>
            </w:pPr>
            <w:r>
              <w:t xml:space="preserve">7.8–11.0</w:t>
            </w:r>
          </w:p>
        </w:tc>
        <w:tc>
          <w:tcPr/>
          <w:p>
            <w:pPr>
              <w:pStyle w:val="Compact"/>
              <w:jc w:val="left"/>
            </w:pPr>
            <w:r>
              <w:t xml:space="preserve">≤ 0.012</w:t>
            </w:r>
          </w:p>
        </w:tc>
      </w:tr>
      <w:tr>
        <w:tc>
          <w:tcPr/>
          <w:p>
            <w:pPr>
              <w:pStyle w:val="Compact"/>
              <w:jc w:val="left"/>
            </w:pPr>
            <w:r>
              <w:t xml:space="preserve">2, st36</w:t>
            </w:r>
          </w:p>
        </w:tc>
        <w:tc>
          <w:tcPr/>
          <w:p>
            <w:pPr>
              <w:pStyle w:val="Compact"/>
              <w:jc w:val="left"/>
            </w:pPr>
            <w:r>
              <w:t xml:space="preserve">8</w:t>
            </w:r>
          </w:p>
        </w:tc>
        <w:tc>
          <w:tcPr/>
          <w:p>
            <w:pPr>
              <w:pStyle w:val="Compact"/>
              <w:jc w:val="left"/>
            </w:pPr>
            <w:r>
              <w:t xml:space="preserve">−5.97 (−6.57, −5.38)</w:t>
            </w:r>
          </w:p>
        </w:tc>
        <w:tc>
          <w:tcPr/>
          <w:p>
            <w:pPr>
              <w:pStyle w:val="Compact"/>
              <w:jc w:val="left"/>
            </w:pPr>
            <w:r>
              <w:t xml:space="preserve">12.0</w:t>
            </w:r>
          </w:p>
        </w:tc>
        <w:tc>
          <w:tcPr/>
          <w:p>
            <w:pPr>
              <w:pStyle w:val="Compact"/>
              <w:jc w:val="left"/>
            </w:pPr>
            <w:r>
              <w:t xml:space="preserve">16.5</w:t>
            </w:r>
          </w:p>
        </w:tc>
        <w:tc>
          <w:tcPr/>
          <w:p>
            <w:pPr>
              <w:pStyle w:val="Compact"/>
              <w:jc w:val="left"/>
            </w:pPr>
            <w:r>
              <w:t xml:space="preserve">0.73</w:t>
            </w:r>
          </w:p>
        </w:tc>
      </w:tr>
      <w:tr>
        <w:tc>
          <w:tcPr/>
          <w:p>
            <w:pPr>
              <w:pStyle w:val="Compact"/>
              <w:jc w:val="left"/>
            </w:pPr>
            <w:r>
              <w:t xml:space="preserve">2, gauge average (4 gauges)</w:t>
            </w:r>
          </w:p>
        </w:tc>
        <w:tc>
          <w:tcPr/>
          <w:p>
            <w:pPr>
              <w:pStyle w:val="Compact"/>
              <w:jc w:val="left"/>
            </w:pPr>
            <w:r>
              <w:t xml:space="preserve">8</w:t>
            </w:r>
          </w:p>
        </w:tc>
        <w:tc>
          <w:tcPr/>
          <w:p>
            <w:pPr>
              <w:pStyle w:val="Compact"/>
              <w:jc w:val="left"/>
            </w:pPr>
            <w:r>
              <w:t xml:space="preserve">−4.12 (−4.62, −3.63)</w:t>
            </w:r>
          </w:p>
        </w:tc>
        <w:tc>
          <w:tcPr/>
          <w:p>
            <w:pPr>
              <w:pStyle w:val="Compact"/>
              <w:jc w:val="left"/>
            </w:pPr>
            <w:r>
              <w:t xml:space="preserve">14.4</w:t>
            </w:r>
          </w:p>
        </w:tc>
        <w:tc>
          <w:tcPr/>
          <w:p>
            <w:pPr>
              <w:pStyle w:val="Compact"/>
              <w:jc w:val="left"/>
            </w:pPr>
            <w:r>
              <w:t xml:space="preserve">20.2</w:t>
            </w:r>
          </w:p>
        </w:tc>
        <w:tc>
          <w:tcPr/>
          <w:p>
            <w:pPr>
              <w:pStyle w:val="Compact"/>
              <w:jc w:val="left"/>
            </w:pPr>
            <w:r>
              <w:t xml:space="preserve">0.79</w:t>
            </w:r>
          </w:p>
        </w:tc>
      </w:tr>
      <w:tr>
        <w:tc>
          <w:tcPr/>
          <w:p>
            <w:pPr>
              <w:pStyle w:val="Compact"/>
              <w:jc w:val="left"/>
            </w:pPr>
            <w:r>
              <w:t xml:space="preserve">2, lane B, average</w:t>
            </w:r>
          </w:p>
        </w:tc>
        <w:tc>
          <w:tcPr/>
          <w:p>
            <w:pPr>
              <w:pStyle w:val="Compact"/>
              <w:jc w:val="left"/>
            </w:pPr>
            <w:r>
              <w:t xml:space="preserve">8</w:t>
            </w:r>
          </w:p>
        </w:tc>
        <w:tc>
          <w:tcPr/>
          <w:p>
            <w:pPr>
              <w:pStyle w:val="Compact"/>
              <w:jc w:val="left"/>
            </w:pPr>
            <w:r>
              <w:t xml:space="preserve">−3.27 (−4.19, −2.35)</w:t>
            </w:r>
          </w:p>
        </w:tc>
        <w:tc>
          <w:tcPr/>
          <w:p>
            <w:pPr>
              <w:pStyle w:val="Compact"/>
              <w:jc w:val="left"/>
            </w:pPr>
            <w:r>
              <w:t xml:space="preserve">33.7</w:t>
            </w:r>
          </w:p>
        </w:tc>
        <w:tc>
          <w:tcPr/>
          <w:p>
            <w:pPr>
              <w:pStyle w:val="Compact"/>
              <w:jc w:val="left"/>
            </w:pPr>
            <w:r>
              <w:t xml:space="preserve">23.2</w:t>
            </w:r>
          </w:p>
        </w:tc>
        <w:tc>
          <w:tcPr/>
          <w:p>
            <w:pPr>
              <w:pStyle w:val="Compact"/>
              <w:jc w:val="left"/>
            </w:pPr>
            <w:r>
              <w:t xml:space="preserve">0.027</w:t>
            </w:r>
          </w:p>
        </w:tc>
      </w:tr>
    </w:tbl>
    <w:p>
      <w:pPr>
        <w:pStyle w:val="BodyText"/>
      </w:pPr>
      <w:r>
        <w:rPr>
          <w:bCs/>
          <w:b/>
        </w:rPr>
        <w:t xml:space="preserve">Table S3.</w:t>
      </w:r>
      <w:r>
        <w:t xml:space="preserve"> </w:t>
      </w:r>
      <w:r>
        <w:t xml:space="preserve">Ratio of the integral constants of two trucks, lane A unless stated. Day 1: second to first truck, both 3-axle; day 2: 5-axle to 3-axle truck. Equivalence by two one-sided tests (TOST) at the 5 % level: the 90 % CI of the ratio lies inside the stated margin (for ch11, 0.904–1.098), so a 95 % CI can extend beyond a margin that is shown.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 channel</w:t>
            </w:r>
          </w:p>
        </w:tc>
        <w:tc>
          <w:tcPr/>
          <w:p>
            <w:pPr>
              <w:pStyle w:val="Compact"/>
              <w:jc w:val="left"/>
            </w:pPr>
            <w:r>
              <w:t xml:space="preserve">Ratio (95 % CI)</w:t>
            </w:r>
          </w:p>
        </w:tc>
        <w:tc>
          <w:tcPr/>
          <w:p>
            <w:pPr>
              <w:pStyle w:val="Compact"/>
              <w:jc w:val="left"/>
            </w:pPr>
            <w:r>
              <w:t xml:space="preserve">Equivalence</w:t>
            </w:r>
          </w:p>
        </w:tc>
      </w:tr>
      <w:tr>
        <w:tc>
          <w:tcPr/>
          <w:p>
            <w:pPr>
              <w:pStyle w:val="Compact"/>
              <w:jc w:val="left"/>
            </w:pPr>
            <w:r>
              <w:t xml:space="preserve">1, ch11 (best)</w:t>
            </w:r>
          </w:p>
        </w:tc>
        <w:tc>
          <w:tcPr/>
          <w:p>
            <w:pPr>
              <w:pStyle w:val="Compact"/>
              <w:jc w:val="left"/>
            </w:pPr>
            <w:r>
              <w:t xml:space="preserve">0.996 (0.874–1.136)</w:t>
            </w:r>
          </w:p>
        </w:tc>
        <w:tc>
          <w:tcPr/>
          <w:p>
            <w:pPr>
              <w:pStyle w:val="Compact"/>
              <w:jc w:val="left"/>
            </w:pPr>
            <w:r>
              <w:t xml:space="preserve">shown within ±10 %</w:t>
            </w:r>
          </w:p>
        </w:tc>
      </w:tr>
      <w:tr>
        <w:tc>
          <w:tcPr/>
          <w:p>
            <w:pPr>
              <w:pStyle w:val="Compact"/>
              <w:jc w:val="left"/>
            </w:pPr>
            <w:r>
              <w:t xml:space="preserve">1, gauge average (4 wheel-path gauges)</w:t>
            </w:r>
          </w:p>
        </w:tc>
        <w:tc>
          <w:tcPr/>
          <w:p>
            <w:pPr>
              <w:pStyle w:val="Compact"/>
              <w:jc w:val="left"/>
            </w:pPr>
            <w:r>
              <w:t xml:space="preserve">0.955 (0.863–1.057)</w:t>
            </w:r>
          </w:p>
        </w:tc>
        <w:tc>
          <w:tcPr/>
          <w:p>
            <w:pPr>
              <w:pStyle w:val="Compact"/>
              <w:jc w:val="left"/>
            </w:pPr>
            <w:r>
              <w:t xml:space="preserve">shown only within ±11.8 %</w:t>
            </w:r>
          </w:p>
        </w:tc>
      </w:tr>
      <w:tr>
        <w:tc>
          <w:tcPr/>
          <w:p>
            <w:pPr>
              <w:pStyle w:val="Compact"/>
              <w:jc w:val="left"/>
            </w:pPr>
            <w:r>
              <w:t xml:space="preserve">1, ch1, ch2, ch8, ch9</w:t>
            </w:r>
          </w:p>
        </w:tc>
        <w:tc>
          <w:tcPr/>
          <w:p>
            <w:pPr>
              <w:pStyle w:val="Compact"/>
              <w:jc w:val="left"/>
            </w:pPr>
            <w:r>
              <w:t xml:space="preserve">0.740–0.783</w:t>
            </w:r>
          </w:p>
        </w:tc>
        <w:tc>
          <w:tcPr/>
          <w:p>
            <w:pPr>
              <w:pStyle w:val="Compact"/>
              <w:jc w:val="left"/>
            </w:pPr>
            <w:r>
              <w:t xml:space="preserve">invariance rejected (CIs exclude 1)</w:t>
            </w:r>
          </w:p>
        </w:tc>
      </w:tr>
      <w:tr>
        <w:tc>
          <w:tcPr/>
          <w:p>
            <w:pPr>
              <w:pStyle w:val="Compact"/>
              <w:jc w:val="left"/>
            </w:pPr>
            <w:r>
              <w:t xml:space="preserve">2, st36</w:t>
            </w:r>
          </w:p>
        </w:tc>
        <w:tc>
          <w:tcPr/>
          <w:p>
            <w:pPr>
              <w:pStyle w:val="Compact"/>
              <w:jc w:val="left"/>
            </w:pPr>
            <w:r>
              <w:t xml:space="preserve">1.005 (0.735–1.375)</w:t>
            </w:r>
          </w:p>
        </w:tc>
        <w:tc>
          <w:tcPr/>
          <w:p>
            <w:pPr>
              <w:pStyle w:val="Compact"/>
              <w:jc w:val="left"/>
            </w:pPr>
            <w:r>
              <w:t xml:space="preserve">not shown</w:t>
            </w:r>
          </w:p>
        </w:tc>
      </w:tr>
      <w:tr>
        <w:tc>
          <w:tcPr/>
          <w:p>
            <w:pPr>
              <w:pStyle w:val="Compact"/>
              <w:jc w:val="left"/>
            </w:pPr>
            <w:r>
              <w:t xml:space="preserve">2, gauge average (4 gauges)</w:t>
            </w:r>
          </w:p>
        </w:tc>
        <w:tc>
          <w:tcPr/>
          <w:p>
            <w:pPr>
              <w:pStyle w:val="Compact"/>
              <w:jc w:val="left"/>
            </w:pPr>
            <w:r>
              <w:t xml:space="preserve">0.978 (0.697–1.374)</w:t>
            </w:r>
          </w:p>
        </w:tc>
        <w:tc>
          <w:tcPr/>
          <w:p>
            <w:pPr>
              <w:pStyle w:val="Compact"/>
              <w:jc w:val="left"/>
            </w:pPr>
            <w:r>
              <w:t xml:space="preserve">shown only within ±26.7 %</w:t>
            </w:r>
          </w:p>
        </w:tc>
      </w:tr>
      <w:tr>
        <w:tc>
          <w:tcPr/>
          <w:p>
            <w:pPr>
              <w:pStyle w:val="Compact"/>
              <w:jc w:val="left"/>
            </w:pPr>
            <w:r>
              <w:t xml:space="preserve">2, lane B, average</w:t>
            </w:r>
          </w:p>
        </w:tc>
        <w:tc>
          <w:tcPr/>
          <w:p>
            <w:pPr>
              <w:pStyle w:val="Compact"/>
              <w:jc w:val="left"/>
            </w:pPr>
            <w:r>
              <w:t xml:space="preserve">0.749 (0.440–1.276)</w:t>
            </w:r>
          </w:p>
        </w:tc>
        <w:tc>
          <w:tcPr/>
          <w:p>
            <w:pPr>
              <w:pStyle w:val="Compact"/>
              <w:jc w:val="left"/>
            </w:pPr>
            <w:r>
              <w:t xml:space="preserve">– (constants fail the χ² test, Table S2)</w:t>
            </w:r>
          </w:p>
        </w:tc>
      </w:tr>
    </w:tbl>
    <w:p>
      <w:pPr>
        <w:pStyle w:val="BodyText"/>
      </w:pPr>
      <w:r>
        <w:rPr>
          <w:bCs/>
          <w:b/>
        </w:rPr>
        <w:t xml:space="preserve">Table S4.</w:t>
      </w:r>
      <w:r>
        <w:t xml:space="preserve"> </w:t>
      </w:r>
      <w:r>
        <w:t xml:space="preserve">Correlation between gauges of the integrated strain: means over gauge pairs, with 95 % bootstrap CIs in brackets. Vehicle-free windows: 1227 on day 2 and 3405 on day 1. Crossing residual: deviation of a crossing’s integral from its calibrated value. –: not computed.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Correlation of</w:t>
            </w:r>
          </w:p>
        </w:tc>
        <w:tc>
          <w:tcPr/>
          <w:p>
            <w:pPr>
              <w:pStyle w:val="Compact"/>
              <w:jc w:val="left"/>
            </w:pPr>
            <w:r>
              <w:t xml:space="preserve">Day 2, 4 gauges</w:t>
            </w:r>
          </w:p>
        </w:tc>
        <w:tc>
          <w:tcPr/>
          <w:p>
            <w:pPr>
              <w:pStyle w:val="Compact"/>
              <w:jc w:val="left"/>
            </w:pPr>
            <w:r>
              <w:t xml:space="preserve">Day 1, 12 gauges</w:t>
            </w:r>
          </w:p>
        </w:tc>
      </w:tr>
      <w:tr>
        <w:tc>
          <w:tcPr/>
          <w:p>
            <w:pPr>
              <w:pStyle w:val="Compact"/>
              <w:jc w:val="left"/>
            </w:pPr>
            <w:r>
              <w:t xml:space="preserve">vehicle-free noise, non-overlapping windows</w:t>
            </w:r>
          </w:p>
        </w:tc>
        <w:tc>
          <w:tcPr/>
          <w:p>
            <w:pPr>
              <w:pStyle w:val="Compact"/>
              <w:jc w:val="left"/>
            </w:pPr>
            <w:r>
              <w:t xml:space="preserve">0.92 (0.83–0.96)</w:t>
            </w:r>
          </w:p>
        </w:tc>
        <w:tc>
          <w:tcPr/>
          <w:p>
            <w:pPr>
              <w:pStyle w:val="Compact"/>
              <w:jc w:val="left"/>
            </w:pPr>
            <w:r>
              <w:t xml:space="preserve">0.42 (0.26–0.54)</w:t>
            </w:r>
          </w:p>
        </w:tc>
      </w:tr>
      <w:tr>
        <w:tc>
          <w:tcPr/>
          <w:p>
            <w:pPr>
              <w:pStyle w:val="Compact"/>
              <w:jc w:val="left"/>
            </w:pPr>
            <w:r>
              <w:t xml:space="preserve">vehicle-free noise, window length of each crossing</w:t>
            </w:r>
          </w:p>
        </w:tc>
        <w:tc>
          <w:tcPr/>
          <w:p>
            <w:pPr>
              <w:pStyle w:val="Compact"/>
              <w:jc w:val="left"/>
            </w:pPr>
            <w:r>
              <w:t xml:space="preserve">0.90</w:t>
            </w:r>
          </w:p>
        </w:tc>
        <w:tc>
          <w:tcPr/>
          <w:p>
            <w:pPr>
              <w:pStyle w:val="Compact"/>
              <w:jc w:val="left"/>
            </w:pPr>
            <w:r>
              <w:t xml:space="preserve">–</w:t>
            </w:r>
          </w:p>
        </w:tc>
      </w:tr>
      <w:tr>
        <w:tc>
          <w:tcPr/>
          <w:p>
            <w:pPr>
              <w:pStyle w:val="Compact"/>
              <w:jc w:val="left"/>
            </w:pPr>
            <w:r>
              <w:t xml:space="preserve">crossing residuals</w:t>
            </w:r>
          </w:p>
        </w:tc>
        <w:tc>
          <w:tcPr/>
          <w:p>
            <w:pPr>
              <w:pStyle w:val="Compact"/>
              <w:jc w:val="left"/>
            </w:pPr>
            <w:r>
              <w:t xml:space="preserve">0.63</w:t>
            </w:r>
          </w:p>
        </w:tc>
        <w:tc>
          <w:tcPr/>
          <w:p>
            <w:pPr>
              <w:pStyle w:val="Compact"/>
              <w:jc w:val="left"/>
            </w:pPr>
            <w:r>
              <w:t xml:space="preserve">–</w:t>
            </w:r>
          </w:p>
        </w:tc>
      </w:tr>
      <w:tr>
        <w:tc>
          <w:tcPr/>
          <w:p>
            <w:pPr>
              <w:pStyle w:val="Compact"/>
              <w:jc w:val="left"/>
            </w:pPr>
            <w:r>
              <w:t xml:space="preserve">crossing residuals, st40 with its neighbours</w:t>
            </w:r>
          </w:p>
        </w:tc>
        <w:tc>
          <w:tcPr/>
          <w:p>
            <w:pPr>
              <w:pStyle w:val="Compact"/>
              <w:jc w:val="left"/>
            </w:pPr>
            <w:r>
              <w:t xml:space="preserve">0.30–0.37</w:t>
            </w:r>
          </w:p>
        </w:tc>
        <w:tc>
          <w:tcPr/>
          <w:p>
            <w:pPr>
              <w:pStyle w:val="Compact"/>
              <w:jc w:val="left"/>
            </w:pPr>
            <w:r>
              <w:t xml:space="preserve">–</w:t>
            </w:r>
          </w:p>
        </w:tc>
      </w:tr>
    </w:tbl>
    <w:p>
      <w:pPr>
        <w:pStyle w:val="BodyText"/>
      </w:pPr>
      <w:r>
        <w:rPr>
          <w:bCs/>
          <w:b/>
        </w:rPr>
        <w:t xml:space="preserve">Table S5.</w:t>
      </w:r>
      <w:r>
        <w:t xml:space="preserve"> </w:t>
      </w:r>
      <w:r>
        <w:t xml:space="preserve">Day 2: per-crossing standard deviation (SD) of the gross weight predicted by two covariance models, and the observed error (% of GVW). SD and MAE are different measures; the table compares the order of the two estimators, not magnitudes.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GLS, measured</w:t>
            </w:r>
            <w:r>
              <w:t xml:space="preserve"> </w:t>
            </w:r>
            <m:oMath>
              <m:r>
                <m:t>Σ</m:t>
              </m:r>
            </m:oMath>
          </w:p>
        </w:tc>
        <w:tc>
          <w:tcPr/>
          <w:p>
            <w:pPr>
              <w:pStyle w:val="Compact"/>
              <w:jc w:val="left"/>
            </w:pPr>
            <w:r>
              <w:t xml:space="preserve">Gauge average</w:t>
            </w:r>
          </w:p>
        </w:tc>
      </w:tr>
      <w:tr>
        <w:tc>
          <w:tcPr/>
          <w:p>
            <w:pPr>
              <w:pStyle w:val="Compact"/>
              <w:jc w:val="left"/>
            </w:pPr>
            <w:r>
              <w:t xml:space="preserve">SD predicted from the vehicle-free covariance</w:t>
            </w:r>
          </w:p>
        </w:tc>
        <w:tc>
          <w:tcPr/>
          <w:p>
            <w:pPr>
              <w:pStyle w:val="Compact"/>
              <w:jc w:val="left"/>
            </w:pPr>
            <w:r>
              <w:t xml:space="preserve">12.7</w:t>
            </w:r>
          </w:p>
        </w:tc>
        <w:tc>
          <w:tcPr/>
          <w:p>
            <w:pPr>
              <w:pStyle w:val="Compact"/>
              <w:jc w:val="left"/>
            </w:pPr>
            <w:r>
              <w:t xml:space="preserve">19.8</w:t>
            </w:r>
          </w:p>
        </w:tc>
      </w:tr>
      <w:tr>
        <w:tc>
          <w:tcPr/>
          <w:p>
            <w:pPr>
              <w:pStyle w:val="Compact"/>
              <w:jc w:val="left"/>
            </w:pPr>
            <w:r>
              <w:t xml:space="preserve">SD predicted from the covariance of the crossing residuals</w:t>
            </w:r>
          </w:p>
        </w:tc>
        <w:tc>
          <w:tcPr/>
          <w:p>
            <w:pPr>
              <w:pStyle w:val="Compact"/>
              <w:jc w:val="left"/>
            </w:pPr>
            <w:r>
              <w:t xml:space="preserve">21.0</w:t>
            </w:r>
          </w:p>
        </w:tc>
        <w:tc>
          <w:tcPr/>
          <w:p>
            <w:pPr>
              <w:pStyle w:val="Compact"/>
              <w:jc w:val="left"/>
            </w:pPr>
            <w:r>
              <w:t xml:space="preserve">14.6</w:t>
            </w:r>
          </w:p>
        </w:tc>
      </w:tr>
      <w:tr>
        <w:tc>
          <w:tcPr/>
          <w:p>
            <w:pPr>
              <w:pStyle w:val="Compact"/>
              <w:jc w:val="left"/>
            </w:pPr>
            <w:r>
              <w:t xml:space="preserve">Observed MAE, leave-one-run-out (main text Table 3)</w:t>
            </w:r>
          </w:p>
        </w:tc>
        <w:tc>
          <w:tcPr/>
          <w:p>
            <w:pPr>
              <w:pStyle w:val="Compact"/>
              <w:jc w:val="left"/>
            </w:pPr>
            <w:r>
              <w:t xml:space="preserve">20.4</w:t>
            </w:r>
          </w:p>
        </w:tc>
        <w:tc>
          <w:tcPr/>
          <w:p>
            <w:pPr>
              <w:pStyle w:val="Compact"/>
              <w:jc w:val="left"/>
            </w:pPr>
            <w:r>
              <w:t xml:space="preserve">11.9</w:t>
            </w:r>
          </w:p>
        </w:tc>
      </w:tr>
    </w:tbl>
    <w:p>
      <w:pPr>
        <w:pStyle w:val="BodyText"/>
      </w:pPr>
      <w:r>
        <w:rPr>
          <w:bCs/>
          <w:b/>
        </w:rPr>
        <w:t xml:space="preserve">Table S6.</w:t>
      </w:r>
      <w:r>
        <w:t xml:space="preserve"> </w:t>
      </w:r>
      <w:r>
        <w:t xml:space="preserve">Mean absolute error of the gross weight (% of GVW), out of sample, with 95 % bootstrap CIs over the test runs (n = 8 on day 2, n = 7 on day 1). LOTO: calibrated on one truck, tested on the other.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Estimator</w:t>
            </w:r>
          </w:p>
        </w:tc>
        <w:tc>
          <w:tcPr/>
          <w:p>
            <w:pPr>
              <w:pStyle w:val="Compact"/>
              <w:jc w:val="left"/>
            </w:pPr>
            <w:r>
              <w:t xml:space="preserve">Day 2, leave-one-run-out</w:t>
            </w:r>
          </w:p>
        </w:tc>
        <w:tc>
          <w:tcPr/>
          <w:p>
            <w:pPr>
              <w:pStyle w:val="Compact"/>
              <w:jc w:val="left"/>
            </w:pPr>
            <w:r>
              <w:t xml:space="preserve">Day 2, LOTO</w:t>
            </w:r>
          </w:p>
        </w:tc>
        <w:tc>
          <w:tcPr/>
          <w:p>
            <w:pPr>
              <w:pStyle w:val="Compact"/>
              <w:jc w:val="left"/>
            </w:pPr>
            <w:r>
              <w:t xml:space="preserve">Day 1, 12 gauges</w:t>
            </w:r>
          </w:p>
        </w:tc>
        <w:tc>
          <w:tcPr/>
          <w:p>
            <w:pPr>
              <w:pStyle w:val="Compact"/>
              <w:jc w:val="left"/>
            </w:pPr>
            <w:r>
              <w:t xml:space="preserve">Day 1, 4 wheel-path gauges</w:t>
            </w:r>
          </w:p>
        </w:tc>
      </w:tr>
      <w:tr>
        <w:tc>
          <w:tcPr/>
          <w:p>
            <w:pPr>
              <w:pStyle w:val="Compact"/>
              <w:jc w:val="left"/>
            </w:pPr>
            <w:r>
              <w:t xml:space="preserve">Best single gauge (chosen after the fact)</w:t>
            </w:r>
          </w:p>
        </w:tc>
        <w:tc>
          <w:tcPr/>
          <w:p>
            <w:pPr>
              <w:pStyle w:val="Compact"/>
              <w:jc w:val="left"/>
            </w:pPr>
            <w:r>
              <w:t xml:space="preserve">8.4 (2.9–15.3)</w:t>
            </w:r>
          </w:p>
        </w:tc>
        <w:tc>
          <w:tcPr/>
          <w:p>
            <w:pPr>
              <w:pStyle w:val="Compact"/>
              <w:jc w:val="left"/>
            </w:pPr>
            <w:r>
              <w:t xml:space="preserve">7.6</w:t>
            </w:r>
          </w:p>
        </w:tc>
        <w:tc>
          <w:tcPr/>
          <w:p>
            <w:pPr>
              <w:pStyle w:val="Compact"/>
              <w:jc w:val="left"/>
            </w:pPr>
            <w:r>
              <w:t xml:space="preserve">4.8 (1.8–7.9)</w:t>
            </w:r>
          </w:p>
        </w:tc>
        <w:tc>
          <w:tcPr/>
          <w:p>
            <w:pPr>
              <w:pStyle w:val="Compact"/>
              <w:jc w:val="left"/>
            </w:pPr>
            <w:r>
              <w:t xml:space="preserve">4.8 (1.8–7.9)</w:t>
            </w:r>
          </w:p>
        </w:tc>
      </w:tr>
      <w:tr>
        <w:tc>
          <w:tcPr/>
          <w:p>
            <w:pPr>
              <w:pStyle w:val="Compact"/>
              <w:jc w:val="left"/>
            </w:pPr>
            <w:r>
              <w:t xml:space="preserve">Worst single gauge</w:t>
            </w:r>
          </w:p>
        </w:tc>
        <w:tc>
          <w:tcPr/>
          <w:p>
            <w:pPr>
              <w:pStyle w:val="Compact"/>
              <w:jc w:val="left"/>
            </w:pPr>
            <w:r>
              <w:t xml:space="preserve">27.9 (12.9–44.5)</w:t>
            </w:r>
          </w:p>
        </w:tc>
        <w:tc>
          <w:tcPr/>
          <w:p>
            <w:pPr>
              <w:pStyle w:val="Compact"/>
              <w:jc w:val="left"/>
            </w:pPr>
            <w:r>
              <w:t xml:space="preserve">24.3</w:t>
            </w:r>
          </w:p>
        </w:tc>
        <w:tc>
          <w:tcPr/>
          <w:p>
            <w:pPr>
              <w:pStyle w:val="Compact"/>
              <w:jc w:val="left"/>
            </w:pPr>
            <w:r>
              <w:t xml:space="preserve">17.6 (11.0–23.4)</w:t>
            </w:r>
          </w:p>
        </w:tc>
        <w:tc>
          <w:tcPr/>
          <w:p>
            <w:pPr>
              <w:pStyle w:val="Compact"/>
              <w:jc w:val="left"/>
            </w:pPr>
            <w:r>
              <w:t xml:space="preserve">12.1</w:t>
            </w:r>
          </w:p>
        </w:tc>
      </w:tr>
      <w:tr>
        <w:tc>
          <w:tcPr/>
          <w:p>
            <w:pPr>
              <w:pStyle w:val="Compact"/>
              <w:jc w:val="left"/>
            </w:pPr>
            <w:r>
              <w:t xml:space="preserve">Gauge average</w:t>
            </w:r>
          </w:p>
        </w:tc>
        <w:tc>
          <w:tcPr/>
          <w:p>
            <w:pPr>
              <w:pStyle w:val="Compact"/>
              <w:jc w:val="left"/>
            </w:pPr>
            <w:r>
              <w:t xml:space="preserve">11.9 (6.0–18.6)</w:t>
            </w:r>
          </w:p>
        </w:tc>
        <w:tc>
          <w:tcPr/>
          <w:p>
            <w:pPr>
              <w:pStyle w:val="Compact"/>
              <w:jc w:val="left"/>
            </w:pPr>
            <w:r>
              <w:t xml:space="preserve">11.1</w:t>
            </w:r>
          </w:p>
        </w:tc>
        <w:tc>
          <w:tcPr/>
          <w:p>
            <w:pPr>
              <w:pStyle w:val="Compact"/>
              <w:jc w:val="left"/>
            </w:pPr>
            <w:r>
              <w:t xml:space="preserve">5.3 (2.5–7.8)</w:t>
            </w:r>
          </w:p>
        </w:tc>
        <w:tc>
          <w:tcPr/>
          <w:p>
            <w:pPr>
              <w:pStyle w:val="Compact"/>
              <w:jc w:val="left"/>
            </w:pPr>
            <w:r>
              <w:t xml:space="preserve">5.4 (3.3–7.4)</w:t>
            </w:r>
          </w:p>
        </w:tc>
      </w:tr>
      <w:tr>
        <w:tc>
          <w:tcPr/>
          <w:p>
            <w:pPr>
              <w:pStyle w:val="Compact"/>
              <w:jc w:val="left"/>
            </w:pPr>
            <w:r>
              <w:t xml:space="preserve">GLS, diagonal</w:t>
            </w:r>
            <w:r>
              <w:t xml:space="preserve"> </w:t>
            </w:r>
            <m:oMath>
              <m:r>
                <m:t>Σ</m:t>
              </m:r>
            </m:oMath>
          </w:p>
        </w:tc>
        <w:tc>
          <w:tcPr/>
          <w:p>
            <w:pPr>
              <w:pStyle w:val="Compact"/>
              <w:jc w:val="left"/>
            </w:pPr>
            <w:r>
              <w:t xml:space="preserve">11.4 (6.0–18.0)</w:t>
            </w:r>
          </w:p>
        </w:tc>
        <w:tc>
          <w:tcPr/>
          <w:p>
            <w:pPr>
              <w:pStyle w:val="Compact"/>
              <w:jc w:val="left"/>
            </w:pPr>
            <w:r>
              <w:t xml:space="preserve">10.8</w:t>
            </w:r>
          </w:p>
        </w:tc>
        <w:tc>
          <w:tcPr/>
          <w:p>
            <w:pPr>
              <w:pStyle w:val="Compact"/>
              <w:jc w:val="left"/>
            </w:pPr>
            <w:r>
              <w:t xml:space="preserve">5.3 (2.5–8.0)</w:t>
            </w:r>
          </w:p>
        </w:tc>
        <w:tc>
          <w:tcPr/>
          <w:p>
            <w:pPr>
              <w:pStyle w:val="Compact"/>
              <w:jc w:val="left"/>
            </w:pPr>
            <w:r>
              <w:t xml:space="preserve">5.2 (3.3–7.1)</w:t>
            </w:r>
          </w:p>
        </w:tc>
      </w:tr>
      <w:tr>
        <w:tc>
          <w:tcPr/>
          <w:p>
            <w:pPr>
              <w:pStyle w:val="Compact"/>
              <w:jc w:val="left"/>
            </w:pPr>
            <w:r>
              <w:t xml:space="preserve">GLS, measured</w:t>
            </w:r>
            <w:r>
              <w:t xml:space="preserve"> </w:t>
            </w:r>
            <m:oMath>
              <m:r>
                <m:t>Σ</m:t>
              </m:r>
            </m:oMath>
          </w:p>
        </w:tc>
        <w:tc>
          <w:tcPr/>
          <w:p>
            <w:pPr>
              <w:pStyle w:val="Compact"/>
              <w:jc w:val="left"/>
            </w:pPr>
            <w:r>
              <w:t xml:space="preserve">20.4 (12.3–28.8)</w:t>
            </w:r>
          </w:p>
        </w:tc>
        <w:tc>
          <w:tcPr/>
          <w:p>
            <w:pPr>
              <w:pStyle w:val="Compact"/>
              <w:jc w:val="left"/>
            </w:pPr>
            <w:r>
              <w:t xml:space="preserve">17.7</w:t>
            </w:r>
          </w:p>
        </w:tc>
        <w:tc>
          <w:tcPr/>
          <w:p>
            <w:pPr>
              <w:pStyle w:val="Compact"/>
              <w:jc w:val="left"/>
            </w:pPr>
            <w:r>
              <w:t xml:space="preserve">5.8 (3.5–8.1)</w:t>
            </w:r>
          </w:p>
        </w:tc>
        <w:tc>
          <w:tcPr/>
          <w:p>
            <w:pPr>
              <w:pStyle w:val="Compact"/>
              <w:jc w:val="left"/>
            </w:pPr>
            <w:r>
              <w:t xml:space="preserve">4.9 (3.0–6.9)</w:t>
            </w:r>
          </w:p>
        </w:tc>
      </w:tr>
      <w:tr>
        <w:tc>
          <w:tcPr/>
          <w:p>
            <w:pPr>
              <w:pStyle w:val="Compact"/>
              <w:jc w:val="left"/>
            </w:pPr>
            <w:r>
              <w:t xml:space="preserve">Zero-sum, measured</w:t>
            </w:r>
            <w:r>
              <w:t xml:space="preserve"> </w:t>
            </w:r>
            <m:oMath>
              <m:r>
                <m:t>Σ</m:t>
              </m:r>
            </m:oMath>
          </w:p>
        </w:tc>
        <w:tc>
          <w:tcPr/>
          <w:p>
            <w:pPr>
              <w:pStyle w:val="Compact"/>
              <w:jc w:val="left"/>
            </w:pPr>
            <w:r>
              <w:t xml:space="preserve">20.3 (12.4–28.6)</w:t>
            </w:r>
          </w:p>
        </w:tc>
        <w:tc>
          <w:tcPr/>
          <w:p>
            <w:pPr>
              <w:pStyle w:val="Compact"/>
              <w:jc w:val="left"/>
            </w:pPr>
            <w:r>
              <w:t xml:space="preserve">18.0</w:t>
            </w:r>
          </w:p>
        </w:tc>
        <w:tc>
          <w:tcPr/>
          <w:p>
            <w:pPr>
              <w:pStyle w:val="Compact"/>
              <w:jc w:val="left"/>
            </w:pPr>
            <w:r>
              <w:t xml:space="preserve">6.0 (2.9–9.3)</w:t>
            </w:r>
          </w:p>
        </w:tc>
        <w:tc>
          <w:tcPr/>
          <w:p>
            <w:pPr>
              <w:pStyle w:val="Compact"/>
              <w:jc w:val="left"/>
            </w:pPr>
            <w:r>
              <w:t xml:space="preserve">8.3 (3.9–13.4)</w:t>
            </w:r>
          </w:p>
        </w:tc>
      </w:tr>
      <w:tr>
        <w:tc>
          <w:tcPr/>
          <w:p>
            <w:pPr>
              <w:pStyle w:val="Compact"/>
              <w:jc w:val="left"/>
            </w:pPr>
            <w:r>
              <w:t xml:space="preserve">Zero-sum,</w:t>
            </w:r>
            <w:r>
              <w:t xml:space="preserve"> </w:t>
            </w:r>
            <m:oMath>
              <m:r>
                <m:t>Σ</m:t>
              </m:r>
            </m:oMath>
            <w:r>
              <w:t xml:space="preserve"> </w:t>
            </w:r>
            <w:r>
              <w:t xml:space="preserve">= identity matrix</w:t>
            </w:r>
          </w:p>
        </w:tc>
        <w:tc>
          <w:tcPr/>
          <w:p>
            <w:pPr>
              <w:pStyle w:val="Compact"/>
              <w:jc w:val="left"/>
            </w:pPr>
            <w:r>
              <w:t xml:space="preserve">12.3 (6.1–20.2)</w:t>
            </w:r>
          </w:p>
        </w:tc>
        <w:tc>
          <w:tcPr/>
          <w:p>
            <w:pPr>
              <w:pStyle w:val="Compact"/>
              <w:jc w:val="left"/>
            </w:pPr>
            <w:r>
              <w:t xml:space="preserve">10.8</w:t>
            </w:r>
          </w:p>
        </w:tc>
        <w:tc>
          <w:tcPr/>
          <w:p>
            <w:pPr>
              <w:pStyle w:val="Compact"/>
              <w:jc w:val="left"/>
            </w:pPr>
            <w:r>
              <w:t xml:space="preserve">13.0 (7.1–19.0)</w:t>
            </w:r>
          </w:p>
        </w:tc>
        <w:tc>
          <w:tcPr/>
          <w:p>
            <w:pPr>
              <w:pStyle w:val="Compact"/>
              <w:jc w:val="left"/>
            </w:pPr>
            <w:r>
              <w:t xml:space="preserve">8.4 (4.6–12.9)</w:t>
            </w:r>
          </w:p>
        </w:tc>
      </w:tr>
      <w:tr>
        <w:tc>
          <w:tcPr/>
          <w:p>
            <w:pPr>
              <w:pStyle w:val="Compact"/>
              <w:jc w:val="left"/>
            </w:pPr>
            <w:r>
              <w:t xml:space="preserve">Mean weight of the calibration runs</w:t>
            </w:r>
          </w:p>
        </w:tc>
        <w:tc>
          <w:tcPr/>
          <w:p>
            <w:pPr>
              <w:pStyle w:val="Compact"/>
              <w:jc w:val="left"/>
            </w:pPr>
            <w:r>
              <w:t xml:space="preserve">2.0 (1.9–2.0)</w:t>
            </w:r>
          </w:p>
        </w:tc>
        <w:tc>
          <w:tcPr/>
          <w:p>
            <w:pPr>
              <w:pStyle w:val="Compact"/>
              <w:jc w:val="left"/>
            </w:pPr>
            <w:r>
              <w:t xml:space="preserve">3.4</w:t>
            </w:r>
          </w:p>
        </w:tc>
        <w:tc>
          <w:tcPr/>
          <w:p>
            <w:pPr>
              <w:pStyle w:val="Compact"/>
              <w:jc w:val="left"/>
            </w:pPr>
            <w:r>
              <w:t xml:space="preserve">2.2 (1.1–3.5)</w:t>
            </w:r>
          </w:p>
        </w:tc>
        <w:tc>
          <w:tcPr/>
          <w:p>
            <w:pPr>
              <w:pStyle w:val="Compact"/>
              <w:jc w:val="left"/>
            </w:pPr>
            <w:r>
              <w:t xml:space="preserve">2.2 (1.1–3.5)</w:t>
            </w:r>
          </w:p>
        </w:tc>
      </w:tr>
    </w:tbl>
    <w:p>
      <w:pPr>
        <w:pStyle w:val="BodyText"/>
      </w:pPr>
      <w:r>
        <w:t xml:space="preserve">Processing details and further results:</w:t>
      </w:r>
    </w:p>
    <w:p>
      <w:pPr>
        <w:numPr>
          <w:ilvl w:val="0"/>
          <w:numId w:val="1001"/>
        </w:numPr>
        <w:pStyle w:val="Compact"/>
      </w:pPr>
      <w:r>
        <w:t xml:space="preserve">Bridge depth: about 3.8 m at mid-span and 9.5 m at the piers. Sampling: 100 Hz on day 1, 200 Hz on day 2.</w:t>
      </w:r>
    </w:p>
    <w:p>
      <w:pPr>
        <w:numPr>
          <w:ilvl w:val="0"/>
          <w:numId w:val="1001"/>
        </w:numPr>
        <w:pStyle w:val="Compact"/>
      </w:pPr>
      <w:r>
        <w:t xml:space="preserve">Day-1 driver-reported gross weights: 21.2–22.8 t for the runs used.</w:t>
      </w:r>
    </w:p>
    <w:p>
      <w:pPr>
        <w:numPr>
          <w:ilvl w:val="0"/>
          <w:numId w:val="1001"/>
        </w:numPr>
        <w:pStyle w:val="Compact"/>
      </w:pPr>
      <w:r>
        <w:t xml:space="preserve">Speeds were obtained from the axle spikes and the measured wheelbase and agree with the dataset authors’ processing script within 1–2 %. Records were integrated over the whole time the truck was on the bridge plus 5 s at each end. Three day-1 runs with two trucks on the bridge and four passes without documented weights were excluded. Vehicle-free noise windows were at least 70 s from any detected vehicle.</w:t>
      </w:r>
    </w:p>
    <w:p>
      <w:pPr>
        <w:numPr>
          <w:ilvl w:val="0"/>
          <w:numId w:val="1001"/>
        </w:numPr>
        <w:pStyle w:val="Compact"/>
      </w:pPr>
      <w:r>
        <w:t xml:space="preserve">Day 1: eight of the twelve gauges have a coefficient of variation of 5.8–13.5 %, consistent with the noise (χ² p = 0.13–0.71). The first truck ran at 10.4–12.8 m/s and the second at 19.1–19.8 m/s. Day 2 speeds: 13–28 m/s; no speed effect resolved (+6 % per 10 m/s, 95 % CI −23 to +35 %).</w:t>
      </w:r>
    </w:p>
    <w:p>
      <w:pPr>
        <w:numPr>
          <w:ilvl w:val="0"/>
          <w:numId w:val="1001"/>
        </w:numPr>
        <w:pStyle w:val="Compact"/>
      </w:pPr>
      <w:r>
        <w:t xml:space="preserve">Day-2 noise amplitudes at the median speed: 13.7–32.8 µε m.</w:t>
      </w:r>
    </w:p>
    <w:p>
      <w:pPr>
        <w:numPr>
          <w:ilvl w:val="0"/>
          <w:numId w:val="1001"/>
        </w:numPr>
        <w:pStyle w:val="Compact"/>
      </w:pPr>
      <w:r>
        <w:t xml:space="preserve">Day-2 per-crossing SD predicted by the vehicle-free covariance (% of GVW): best single gauge 16.2, worst single gauge 32.5, gauge average 19.8, GLS diagonal Σ 19.4, GLS measured Σ 12.7, zero-sum measured Σ 13.3, zero-sum Σ = identity 16.1.</w:t>
      </w:r>
    </w:p>
    <w:p>
      <w:pPr>
        <w:numPr>
          <w:ilvl w:val="0"/>
          <w:numId w:val="1001"/>
        </w:numPr>
        <w:pStyle w:val="Compact"/>
      </w:pPr>
      <w:r>
        <w:t xml:space="preserve">Lane B, failing channels: CV 31–40 %, χ² p = 0.016–0.027.</w:t>
      </w:r>
    </w:p>
    <w:p>
      <w:pPr>
        <w:numPr>
          <w:ilvl w:val="0"/>
          <w:numId w:val="1001"/>
        </w:numPr>
        <w:pStyle w:val="Compact"/>
      </w:pPr>
      <w:r>
        <w:t xml:space="preserve">GLS weights with the measured Σ: st40 +0.16, st36 −0.35. GLS with Σ estimated from the crossing residuals: error 10.4 % of GVW in sample, 28.4 % out of sample.</w:t>
      </w:r>
    </w:p>
    <w:p>
      <w:pPr>
        <w:numPr>
          <w:ilvl w:val="0"/>
          <w:numId w:val="1001"/>
        </w:numPr>
        <w:pStyle w:val="Compact"/>
      </w:pPr>
      <w:r>
        <w:t xml:space="preserve">Lane B: st36 ratio 0.64 (95 % CI 0.47–0.81). Two-truck runs: 0.92 and 0.92 of the summed single-truck predictions (pooled 95 % CI 0.77–1.06); GLS combination 0.82 (95 % CI 0.73–0.91).</w:t>
      </w:r>
    </w:p>
    <w:p>
      <w:pPr>
        <w:numPr>
          <w:ilvl w:val="0"/>
          <w:numId w:val="1001"/>
        </w:numPr>
        <w:pStyle w:val="Compact"/>
      </w:pPr>
      <w:r>
        <w:t xml:space="preserve">Gauges: a one-dimensional beam model predicts ch11/ch8 ratios of 0.978–1.003. Ratio of st36 to st40 constants: 3.24 ± 0.56 in lane A against 1.82 ± 0.10 in lane B (± one standard error), about 2.5 standard errors apart.</w:t>
      </w:r>
    </w:p>
    <w:p>
      <w:pPr>
        <w:numPr>
          <w:ilvl w:val="0"/>
          <w:numId w:val="1001"/>
        </w:numPr>
        <w:pStyle w:val="Compact"/>
      </w:pPr>
      <w:r>
        <w:t xml:space="preserve">Beam model (Euler–Bernoulli, parabolic haunch, second moment proportional to h²): r² = 0.79–0.94 against the strain histories; zeros of the uniform-load moment in span 2 at 121.6 m and 190.8 m; strain constant of the gauges 0.69 of the largest on the girder (0.56–0.93 across rigidity laws); cancellation ratio R = 0.51; span 2 contributes about 170 % of the net integral and the adjacent spans −26 % and −66 %.</w:t>
      </w:r>
    </w:p>
    <w:bookmarkEnd w:id="22"/>
    <w:bookmarkStart w:id="23" w:name="X0c5a7c6ba95a1d3bd62bbf93537f0e1fb33021e"/>
    <w:p>
      <w:pPr>
        <w:pStyle w:val="Heading2"/>
      </w:pPr>
      <w:r>
        <w:t xml:space="preserve">S4. Beam model of the five-span girder and synthetic records (item v)</w:t>
      </w:r>
    </w:p>
    <w:p>
      <w:pPr>
        <w:pStyle w:val="FirstParagraph"/>
      </w:pPr>
      <w:r>
        <w:t xml:space="preserve">The one-dimensional beam model of the five-span girder (Euler–Bernoulli, parabolic haunch) is described in Section 4.2 and in the notes of S3. Fig. S4 shows its observability along the girder, and Fig. S5 the synthetic records of the dataset authors processed with the same integration.</w:t>
      </w:r>
    </w:p>
    <w:bookmarkEnd w:id="23"/>
    <w:bookmarkStart w:id="24" w:name="s5.-strain-blind-locus-maps-item-vi"/>
    <w:p>
      <w:pPr>
        <w:pStyle w:val="Heading2"/>
      </w:pPr>
      <w:r>
        <w:t xml:space="preserve">S5. Strain blind-locus maps (item vi)</w:t>
      </w:r>
    </w:p>
    <w:p>
      <w:pPr>
        <w:pStyle w:val="FirstParagraph"/>
      </w:pPr>
      <w:r>
        <w:t xml:space="preserve">Figs. S6 and S7 map the strain indicator</w:t>
      </w:r>
      <w:r>
        <w:t xml:space="preserve"> </w:t>
      </w:r>
      <m:oMath>
        <m:sSub>
          <m:e>
            <m:r>
              <m:t>N</m:t>
            </m:r>
          </m:e>
          <m:sub>
            <m:r>
              <m:t>M</m:t>
            </m:r>
          </m:sub>
        </m:sSub>
      </m:oMath>
      <w:r>
        <w:t xml:space="preserve"> </w:t>
      </w:r>
      <w:r>
        <w:t xml:space="preserve">over the sensor position and the span ratio for two-span and symmetric three-span beams.</w:t>
      </w:r>
    </w:p>
    <w:bookmarkEnd w:id="24"/>
    <w:bookmarkStart w:id="25" w:name="X31504a1d683b5b188a76f56628dcefbcdeee2d2"/>
    <w:p>
      <w:pPr>
        <w:pStyle w:val="Heading2"/>
      </w:pPr>
      <w:r>
        <w:t xml:space="preserve">S6. Multi-channel placement and structure-aware weighting functions (item vii)</w:t>
      </w:r>
    </w:p>
    <w:p>
      <w:pPr>
        <w:pStyle w:val="FirstParagraph"/>
      </w:pPr>
      <w:r>
        <w:t xml:space="preserve">Fig. S8 shows the extremes of the uniform-load response</w:t>
      </w:r>
      <w:r>
        <w:t xml:space="preserve"> </w:t>
      </w:r>
      <m:oMath>
        <m:r>
          <m:t>C</m:t>
        </m:r>
        <m:d>
          <m:dPr>
            <m:begChr m:val="("/>
            <m:endChr m:val=")"/>
            <m:sepChr m:val=""/>
            <m:grow/>
          </m:dPr>
          <m:e>
            <m:r>
              <m:t>x</m:t>
            </m:r>
          </m:e>
        </m:d>
      </m:oMath>
      <w:r>
        <w:t xml:space="preserve"> </w:t>
      </w:r>
      <w:r>
        <w:t xml:space="preserve">that the placement rule of Section 2.4 selects. Fig. S9 gives the Monte Carlo verification of Eqs. (13) and (14), and Fig. S10 the structure-aware weighting functions of Appendix B.</w:t>
      </w:r>
    </w:p>
    <w:p>
      <w:pPr>
        <w:numPr>
          <w:ilvl w:val="0"/>
          <w:numId w:val="1002"/>
        </w:numPr>
        <w:pStyle w:val="Compact"/>
      </w:pPr>
      <w:r>
        <w:t xml:space="preserve">Placement (Section 2.4): verified by a brute-force search over 96 cases and a Monte Carlo study with 10⁵ random axle configurations per case; white-noise to offset ratio σ²Δx/(δ₀²L_tot) ≈ 5 × 10⁻⁶ at σ = 0.01 mm, δ₀ = 0.1 mm, Δx = 0.1 m, L_tot = 220 m.</w:t>
      </w:r>
    </w:p>
    <w:bookmarkEnd w:id="25"/>
    <w:bookmarkStart w:id="26" w:name="Xad0230c0685c3f6d865faaeac9b5ae7b1ccf61c"/>
    <w:p>
      <w:pPr>
        <w:pStyle w:val="Heading2"/>
      </w:pPr>
      <w:r>
        <w:t xml:space="preserve">S7. Asymmetric three-span beams (item viii)</w:t>
      </w:r>
    </w:p>
    <w:p>
      <w:pPr>
        <w:pStyle w:val="FirstParagraph"/>
      </w:pPr>
      <w:r>
        <w:t xml:space="preserve">For arbitrary spans</w:t>
      </w:r>
      <w:r>
        <w:t xml:space="preserve"> </w:t>
      </w:r>
      <m:oMath>
        <m:sSub>
          <m:e>
            <m:r>
              <m:t>L</m:t>
            </m:r>
          </m:e>
          <m:sub>
            <m:r>
              <m:t>1</m:t>
            </m:r>
          </m:sub>
        </m:sSub>
        <m:r>
          <m:rPr>
            <m:sty m:val="p"/>
          </m:rPr>
          <m:t>,</m:t>
        </m:r>
        <m:sSub>
          <m:e>
            <m:r>
              <m:t>L</m:t>
            </m:r>
          </m:e>
          <m:sub>
            <m:r>
              <m:t>2</m:t>
            </m:r>
          </m:sub>
        </m:sSub>
        <m:r>
          <m:rPr>
            <m:sty m:val="p"/>
          </m:rPr>
          <m:t>,</m:t>
        </m:r>
        <m:sSub>
          <m:e>
            <m:r>
              <m:t>L</m:t>
            </m:r>
          </m:e>
          <m:sub>
            <m:r>
              <m:t>3</m:t>
            </m:r>
          </m:sub>
        </m:sSub>
      </m:oMath>
      <w:r>
        <w:t xml:space="preserve"> </w:t>
      </w:r>
      <w:r>
        <w:t xml:space="preserve">and rigidities</w:t>
      </w:r>
      <w:r>
        <w:t xml:space="preserve"> </w:t>
      </w:r>
      <m:oMath>
        <m:r>
          <m:t>E</m:t>
        </m:r>
        <m:sSub>
          <m:e>
            <m:r>
              <m:t>I</m:t>
            </m:r>
          </m:e>
          <m:sub>
            <m:r>
              <m:t>1</m:t>
            </m:r>
          </m:sub>
        </m:sSub>
        <m:r>
          <m:rPr>
            <m:sty m:val="p"/>
          </m:rPr>
          <m:t>,</m:t>
        </m:r>
        <m:r>
          <m:t>E</m:t>
        </m:r>
        <m:sSub>
          <m:e>
            <m:r>
              <m:t>I</m:t>
            </m:r>
          </m:e>
          <m:sub>
            <m:r>
              <m:t>2</m:t>
            </m:r>
          </m:sub>
        </m:sSub>
        <m:r>
          <m:rPr>
            <m:sty m:val="p"/>
          </m:rPr>
          <m:t>,</m:t>
        </m:r>
        <m:r>
          <m:t>E</m:t>
        </m:r>
        <m:sSub>
          <m:e>
            <m:r>
              <m:t>I</m:t>
            </m:r>
          </m:e>
          <m:sub>
            <m:r>
              <m:t>3</m:t>
            </m:r>
          </m:sub>
        </m:sSub>
      </m:oMath>
      <w:r>
        <w:t xml:space="preserve">, the two support moments follow from the three-moment equations at the inner supports, solved symbolically; the sensor deflection under a uniform load then follows by superposition, as in Appendix A. The general expressions are long and are given in the scripts. Four asymmetric cases agree with FE to a relative error of at most 9.2 × 10⁻¹². With the sensor at mid-span of span 1 and uniform rigidity, the blind ratio</w:t>
      </w:r>
      <w:r>
        <w:t xml:space="preserve"> </w:t>
      </w:r>
      <m:oMath>
        <m:sSub>
          <m:e>
            <m:r>
              <m:t>L</m:t>
            </m:r>
          </m:e>
          <m:sub>
            <m:r>
              <m:t>1</m:t>
            </m:r>
          </m:sub>
        </m:sSub>
        <m:r>
          <m:rPr>
            <m:sty m:val="p"/>
          </m:rPr>
          <m:t>/</m:t>
        </m:r>
        <m:sSub>
          <m:e>
            <m:r>
              <m:t>L</m:t>
            </m:r>
          </m:e>
          <m:sub>
            <m:r>
              <m:t>2</m:t>
            </m:r>
          </m:sub>
        </m:sSub>
      </m:oMath>
      <w:r>
        <w:t xml:space="preserve"> </w:t>
      </w:r>
      <w:r>
        <w:t xml:space="preserve">is 0.589774, 0.591969, 0.587260, 0.565712, 0.525757 and 0.461410 for</w:t>
      </w:r>
      <w:r>
        <w:t xml:space="preserve"> </w:t>
      </w:r>
      <m:oMath>
        <m:sSub>
          <m:e>
            <m:r>
              <m:t>L</m:t>
            </m:r>
          </m:e>
          <m:sub>
            <m:r>
              <m:t>3</m:t>
            </m:r>
          </m:sub>
        </m:sSub>
        <m:r>
          <m:rPr>
            <m:sty m:val="p"/>
          </m:rPr>
          <m:t>/</m:t>
        </m:r>
        <m:sSub>
          <m:e>
            <m:r>
              <m:t>L</m:t>
            </m:r>
          </m:e>
          <m:sub>
            <m:r>
              <m:t>2</m:t>
            </m:r>
          </m:sub>
        </m:sSub>
      </m:oMath>
      <w:r>
        <w:t xml:space="preserve"> </w:t>
      </w:r>
      <w:r>
        <w:t xml:space="preserve">= 0.3, 0.5, 0.6, 0.8, 1.0 and 1.2 (Fig. 2b).</w:t>
      </w:r>
    </w:p>
    <w:bookmarkEnd w:id="26"/>
    <w:bookmarkStart w:id="27" w:name="X62fb8c6a0d1933a4104d937e5d1ad89d94bfe58"/>
    <w:p>
      <w:pPr>
        <w:pStyle w:val="Heading2"/>
      </w:pPr>
      <w:r>
        <w:t xml:space="preserve">S8. Cầu Mây model, admissible sets and frequencies (item ix); dynamics (item x); simply supported records (item xi)</w:t>
      </w:r>
    </w:p>
    <w:p>
      <w:pPr>
        <w:numPr>
          <w:ilvl w:val="0"/>
          <w:numId w:val="1003"/>
        </w:numPr>
        <w:pStyle w:val="Compact"/>
      </w:pPr>
      <w:r>
        <w:t xml:space="preserve">Cầu Mây design sections: depth 2.40 m (mid-span) to 5.40 m (piers), second moments 5.482 m⁴ and 59.61 m⁴, E_c = 36 057 MPa. Model-form variants: L_v = 40 and 45 m (base 44 m), exponents 2.5 and 3.2 (base 2.943), rigid pier zone ±1.5 m.</w:t>
      </w:r>
    </w:p>
    <w:p>
      <w:pPr>
        <w:numPr>
          <w:ilvl w:val="0"/>
          <w:numId w:val="1003"/>
        </w:numPr>
        <w:pStyle w:val="Compact"/>
      </w:pPr>
      <w:r>
        <w:t xml:space="preserve">Misfit ratio r₈₇: 1.126 at κ = 10⁷ kN m/rad, minimum 1.058 at κ = 1.68 × 10⁸ kN m/rad (calibration B), 1.091 for fixed piers.</w:t>
      </w:r>
    </w:p>
    <w:p>
      <w:pPr>
        <w:numPr>
          <w:ilvl w:val="0"/>
          <w:numId w:val="1003"/>
        </w:numPr>
        <w:pStyle w:val="Compact"/>
      </w:pPr>
      <w:r>
        <w:t xml:space="preserve">Admissible set against tolerance τ (Table S7):</w:t>
      </w:r>
    </w:p>
    <w:p>
      <w:pPr>
        <w:pStyle w:val="FirstParagraph"/>
      </w:pPr>
      <w:r>
        <w:rPr>
          <w:bCs/>
          <w:b/>
        </w:rPr>
        <w:t xml:space="preserve">Table S7.</w:t>
      </w:r>
      <w:r>
        <w:t xml:space="preserve"> </w:t>
      </w:r>
      <w:r>
        <w:t xml:space="preserve">Admissible set of the Cầu Mây model against the tolerance τ on the misfit of each gauge.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Tolerance, prior</w:t>
            </w:r>
          </w:p>
        </w:tc>
        <w:tc>
          <w:tcPr/>
          <w:p>
            <w:pPr>
              <w:pStyle w:val="Compact"/>
              <w:jc w:val="left"/>
            </w:pPr>
            <w:r>
              <w:t xml:space="preserve">κ (kN m/rad)</w:t>
            </w:r>
          </w:p>
        </w:tc>
        <w:tc>
          <w:tcPr/>
          <w:p>
            <w:pPr>
              <w:pStyle w:val="Compact"/>
              <w:jc w:val="left"/>
            </w:pPr>
            <w:r>
              <w:t xml:space="preserve">α</w:t>
            </w:r>
          </w:p>
        </w:tc>
        <w:tc>
          <w:tcPr/>
          <w:p>
            <w:pPr>
              <w:pStyle w:val="Compact"/>
              <w:jc w:val="left"/>
            </w:pPr>
            <w:r>
              <w:t xml:space="preserve">N8 indicator, αEI_mid</w:t>
            </w:r>
          </w:p>
        </w:tc>
        <w:tc>
          <w:tcPr/>
          <w:p>
            <w:pPr>
              <w:pStyle w:val="Compact"/>
              <w:jc w:val="left"/>
            </w:pPr>
            <w:r>
              <w:t xml:space="preserve">N8 indicator, design EI_mid</w:t>
            </w:r>
          </w:p>
        </w:tc>
        <w:tc>
          <w:tcPr/>
          <w:p>
            <w:pPr>
              <w:pStyle w:val="Compact"/>
              <w:jc w:val="left"/>
            </w:pPr>
            <w:r>
              <w:t xml:space="preserve">C₈ (m²/kN)</w:t>
            </w:r>
          </w:p>
        </w:tc>
      </w:tr>
      <w:tr>
        <w:tc>
          <w:tcPr/>
          <w:p>
            <w:pPr>
              <w:pStyle w:val="Compact"/>
              <w:jc w:val="left"/>
            </w:pPr>
            <w:r>
              <w:t xml:space="preserve">τ = 3 %</w:t>
            </w:r>
          </w:p>
        </w:tc>
        <w:tc>
          <w:tcPr/>
          <w:p>
            <w:pPr>
              <w:pStyle w:val="Compact"/>
              <w:jc w:val="left"/>
            </w:pPr>
            <w:r>
              <w:t xml:space="preserve">1.0–3.0 × 10⁸</w:t>
            </w:r>
          </w:p>
        </w:tc>
        <w:tc>
          <w:tcPr/>
          <w:p>
            <w:pPr>
              <w:pStyle w:val="Compact"/>
              <w:jc w:val="left"/>
            </w:pPr>
            <w:r>
              <w:t xml:space="preserve">0.64–0.80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τ = 4 %</w:t>
            </w:r>
          </w:p>
        </w:tc>
        <w:tc>
          <w:tcPr/>
          <w:p>
            <w:pPr>
              <w:pStyle w:val="Compact"/>
              <w:jc w:val="left"/>
            </w:pPr>
            <w:r>
              <w:t xml:space="preserve">4.2 × 10⁷–2.0 × 10⁹</w:t>
            </w:r>
          </w:p>
        </w:tc>
        <w:tc>
          <w:tcPr/>
          <w:p>
            <w:pPr>
              <w:pStyle w:val="Compact"/>
              <w:jc w:val="left"/>
            </w:pPr>
            <w:r>
              <w:t xml:space="preserve">0.54–0.98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τ = 5.3 %</w:t>
            </w:r>
          </w:p>
        </w:tc>
        <w:tc>
          <w:tcPr/>
          <w:p>
            <w:pPr>
              <w:pStyle w:val="Compact"/>
              <w:jc w:val="left"/>
            </w:pPr>
            <w:r>
              <w:t xml:space="preserve">≥ 1.8 × 10⁷</w:t>
            </w:r>
          </w:p>
        </w:tc>
        <w:tc>
          <w:tcPr/>
          <w:p>
            <w:pPr>
              <w:pStyle w:val="Compact"/>
              <w:jc w:val="left"/>
            </w:pPr>
            <w:r>
              <w:t xml:space="preserve">0.51–1.15</w:t>
            </w:r>
          </w:p>
        </w:tc>
        <w:tc>
          <w:tcPr/>
          <w:p>
            <w:pPr>
              <w:pStyle w:val="Compact"/>
              <w:jc w:val="left"/>
            </w:pPr>
            <w:r>
              <w:t xml:space="preserve">0.14–0.42</w:t>
            </w:r>
          </w:p>
        </w:tc>
        <w:tc>
          <w:tcPr/>
          <w:p>
            <w:pPr>
              <w:pStyle w:val="Compact"/>
              <w:jc w:val="left"/>
            </w:pPr>
            <w:r>
              <w:t xml:space="preserve">0.12–0.82</w:t>
            </w:r>
          </w:p>
        </w:tc>
        <w:tc>
          <w:tcPr/>
          <w:p>
            <w:pPr>
              <w:pStyle w:val="Compact"/>
              <w:jc w:val="left"/>
            </w:pPr>
            <w:r>
              <w:t xml:space="preserve">3.0 × 10⁻⁵–2.0 × 10⁻⁴</w:t>
            </w:r>
          </w:p>
        </w:tc>
      </w:tr>
      <w:tr>
        <w:tc>
          <w:tcPr/>
          <w:p>
            <w:pPr>
              <w:pStyle w:val="Compact"/>
              <w:jc w:val="left"/>
            </w:pPr>
            <w:r>
              <w:t xml:space="preserve">τ = 5.3 %, prior α ∈ [0.9, 1.3]</w:t>
            </w:r>
          </w:p>
        </w:tc>
        <w:tc>
          <w:tcPr/>
          <w:p>
            <w:pPr>
              <w:pStyle w:val="Compact"/>
              <w:jc w:val="left"/>
            </w:pPr>
            <w:r>
              <w:t xml:space="preserve">–</w:t>
            </w:r>
          </w:p>
        </w:tc>
        <w:tc>
          <w:tcPr/>
          <w:p>
            <w:pPr>
              <w:pStyle w:val="Compact"/>
              <w:jc w:val="left"/>
            </w:pPr>
            <w:r>
              <w:t xml:space="preserve">–</w:t>
            </w:r>
          </w:p>
        </w:tc>
        <w:tc>
          <w:tcPr/>
          <w:p>
            <w:pPr>
              <w:pStyle w:val="Compact"/>
              <w:jc w:val="left"/>
            </w:pPr>
            <w:r>
              <w:t xml:space="preserve">0.14–0.27</w:t>
            </w:r>
          </w:p>
        </w:tc>
        <w:tc>
          <w:tcPr/>
          <w:p>
            <w:pPr>
              <w:pStyle w:val="Compact"/>
              <w:jc w:val="left"/>
            </w:pPr>
            <w:r>
              <w:t xml:space="preserve">0.12–0.30</w:t>
            </w:r>
          </w:p>
        </w:tc>
        <w:tc>
          <w:tcPr/>
          <w:p>
            <w:pPr>
              <w:pStyle w:val="Compact"/>
              <w:jc w:val="left"/>
            </w:pPr>
            <w:r>
              <w:t xml:space="preserve">–</w:t>
            </w:r>
          </w:p>
        </w:tc>
      </w:tr>
    </w:tbl>
    <w:p>
      <w:pPr>
        <w:pStyle w:val="BodyText"/>
      </w:pPr>
      <w:r>
        <w:t xml:space="preserve">The processed acceptance-test data of the Cầu Mây Bridge are listed in Tables S8–S10. The longitudinal truck positions are given as drawings in the test report and are not tabulated.</w:t>
      </w:r>
    </w:p>
    <w:p>
      <w:pPr>
        <w:pStyle w:val="BodyText"/>
      </w:pPr>
      <w:r>
        <w:rPr>
          <w:bCs/>
          <w:b/>
        </w:rPr>
        <w:t xml:space="preserve">Table S8.</w:t>
      </w:r>
      <w:r>
        <w:t xml:space="preserve"> </w:t>
      </w:r>
      <w:r>
        <w:t xml:space="preserve">Cầu Mây acceptance test (June 2020): measured peak deflection (mm, downward positive) at the two gauge sections, at three measuring points across each section, under central and eccentric truck arrangements.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Measuring point</w:t>
            </w:r>
          </w:p>
        </w:tc>
        <w:tc>
          <w:tcPr/>
          <w:p>
            <w:pPr>
              <w:pStyle w:val="Compact"/>
              <w:jc w:val="left"/>
            </w:pPr>
            <w:r>
              <w:t xml:space="preserve">Central</w:t>
            </w:r>
          </w:p>
        </w:tc>
        <w:tc>
          <w:tcPr/>
          <w:p>
            <w:pPr>
              <w:pStyle w:val="Compact"/>
              <w:jc w:val="left"/>
            </w:pPr>
            <w:r>
              <w:t xml:space="preserve">Eccentric</w:t>
            </w:r>
          </w:p>
        </w:tc>
      </w:tr>
      <w:tr>
        <w:tc>
          <w:tcPr/>
          <w:p>
            <w:pPr>
              <w:pStyle w:val="Compact"/>
              <w:jc w:val="left"/>
            </w:pPr>
            <w:r>
              <w:t xml:space="preserve">N8, side span, 0.4L from T8</w:t>
            </w:r>
          </w:p>
        </w:tc>
        <w:tc>
          <w:tcPr/>
          <w:p>
            <w:pPr>
              <w:pStyle w:val="Compact"/>
              <w:jc w:val="left"/>
            </w:pPr>
            <w:r>
              <w:t xml:space="preserve">right edge</w:t>
            </w:r>
          </w:p>
        </w:tc>
        <w:tc>
          <w:tcPr/>
          <w:p>
            <w:pPr>
              <w:pStyle w:val="Compact"/>
              <w:jc w:val="left"/>
            </w:pPr>
            <w:r>
              <w:t xml:space="preserve">5.32</w:t>
            </w:r>
          </w:p>
        </w:tc>
        <w:tc>
          <w:tcPr/>
          <w:p>
            <w:pPr>
              <w:pStyle w:val="Compact"/>
              <w:jc w:val="left"/>
            </w:pPr>
            <w:r>
              <w:t xml:space="preserve">5.91</w:t>
            </w:r>
          </w:p>
        </w:tc>
      </w:tr>
      <w:tr>
        <w:tc>
          <w:tcPr/>
          <w:p>
            <w:pPr>
              <w:pStyle w:val="Compact"/>
              <w:jc w:val="left"/>
            </w:pPr>
            <w:r>
              <w:t xml:space="preserve">N8, side span, 0.4L from T8</w:t>
            </w:r>
          </w:p>
        </w:tc>
        <w:tc>
          <w:tcPr/>
          <w:p>
            <w:pPr>
              <w:pStyle w:val="Compact"/>
              <w:jc w:val="left"/>
            </w:pPr>
            <w:r>
              <w:t xml:space="preserve">axis</w:t>
            </w:r>
          </w:p>
        </w:tc>
        <w:tc>
          <w:tcPr/>
          <w:p>
            <w:pPr>
              <w:pStyle w:val="Compact"/>
              <w:jc w:val="left"/>
            </w:pPr>
            <w:r>
              <w:t xml:space="preserve">5.56</w:t>
            </w:r>
          </w:p>
        </w:tc>
        <w:tc>
          <w:tcPr/>
          <w:p>
            <w:pPr>
              <w:pStyle w:val="Compact"/>
              <w:jc w:val="left"/>
            </w:pPr>
            <w:r>
              <w:t xml:space="preserve">5.55</w:t>
            </w:r>
          </w:p>
        </w:tc>
      </w:tr>
      <w:tr>
        <w:tc>
          <w:tcPr/>
          <w:p>
            <w:pPr>
              <w:pStyle w:val="Compact"/>
              <w:jc w:val="left"/>
            </w:pPr>
            <w:r>
              <w:t xml:space="preserve">N8, side span, 0.4L from T8</w:t>
            </w:r>
          </w:p>
        </w:tc>
        <w:tc>
          <w:tcPr/>
          <w:p>
            <w:pPr>
              <w:pStyle w:val="Compact"/>
              <w:jc w:val="left"/>
            </w:pPr>
            <w:r>
              <w:t xml:space="preserve">left edge</w:t>
            </w:r>
          </w:p>
        </w:tc>
        <w:tc>
          <w:tcPr/>
          <w:p>
            <w:pPr>
              <w:pStyle w:val="Compact"/>
              <w:jc w:val="left"/>
            </w:pPr>
            <w:r>
              <w:t xml:space="preserve">5.76</w:t>
            </w:r>
          </w:p>
        </w:tc>
        <w:tc>
          <w:tcPr/>
          <w:p>
            <w:pPr>
              <w:pStyle w:val="Compact"/>
              <w:jc w:val="left"/>
            </w:pPr>
            <w:r>
              <w:t xml:space="preserve">5.22</w:t>
            </w:r>
          </w:p>
        </w:tc>
      </w:tr>
      <w:tr>
        <w:tc>
          <w:tcPr/>
          <w:p>
            <w:pPr>
              <w:pStyle w:val="Compact"/>
              <w:jc w:val="left"/>
            </w:pPr>
            <w:r>
              <w:t xml:space="preserve">N7, mid main span</w:t>
            </w:r>
          </w:p>
        </w:tc>
        <w:tc>
          <w:tcPr/>
          <w:p>
            <w:pPr>
              <w:pStyle w:val="Compact"/>
              <w:jc w:val="left"/>
            </w:pPr>
            <w:r>
              <w:t xml:space="preserve">right edge</w:t>
            </w:r>
          </w:p>
        </w:tc>
        <w:tc>
          <w:tcPr/>
          <w:p>
            <w:pPr>
              <w:pStyle w:val="Compact"/>
              <w:jc w:val="left"/>
            </w:pPr>
            <w:r>
              <w:t xml:space="preserve">14.68</w:t>
            </w:r>
          </w:p>
        </w:tc>
        <w:tc>
          <w:tcPr/>
          <w:p>
            <w:pPr>
              <w:pStyle w:val="Compact"/>
              <w:jc w:val="left"/>
            </w:pPr>
            <w:r>
              <w:t xml:space="preserve">14.62</w:t>
            </w:r>
          </w:p>
        </w:tc>
      </w:tr>
      <w:tr>
        <w:tc>
          <w:tcPr/>
          <w:p>
            <w:pPr>
              <w:pStyle w:val="Compact"/>
              <w:jc w:val="left"/>
            </w:pPr>
            <w:r>
              <w:t xml:space="preserve">N7, mid main span</w:t>
            </w:r>
          </w:p>
        </w:tc>
        <w:tc>
          <w:tcPr/>
          <w:p>
            <w:pPr>
              <w:pStyle w:val="Compact"/>
              <w:jc w:val="left"/>
            </w:pPr>
            <w:r>
              <w:t xml:space="preserve">axis</w:t>
            </w:r>
          </w:p>
        </w:tc>
        <w:tc>
          <w:tcPr/>
          <w:p>
            <w:pPr>
              <w:pStyle w:val="Compact"/>
              <w:jc w:val="left"/>
            </w:pPr>
            <w:r>
              <w:t xml:space="preserve">15.24</w:t>
            </w:r>
          </w:p>
        </w:tc>
        <w:tc>
          <w:tcPr/>
          <w:p>
            <w:pPr>
              <w:pStyle w:val="Compact"/>
              <w:jc w:val="left"/>
            </w:pPr>
            <w:r>
              <w:t xml:space="preserve">15.51</w:t>
            </w:r>
          </w:p>
        </w:tc>
      </w:tr>
      <w:tr>
        <w:tc>
          <w:tcPr/>
          <w:p>
            <w:pPr>
              <w:pStyle w:val="Compact"/>
              <w:jc w:val="left"/>
            </w:pPr>
            <w:r>
              <w:t xml:space="preserve">N7, mid main span</w:t>
            </w:r>
          </w:p>
        </w:tc>
        <w:tc>
          <w:tcPr/>
          <w:p>
            <w:pPr>
              <w:pStyle w:val="Compact"/>
              <w:jc w:val="left"/>
            </w:pPr>
            <w:r>
              <w:t xml:space="preserve">left edge</w:t>
            </w:r>
          </w:p>
        </w:tc>
        <w:tc>
          <w:tcPr/>
          <w:p>
            <w:pPr>
              <w:pStyle w:val="Compact"/>
              <w:jc w:val="left"/>
            </w:pPr>
            <w:r>
              <w:t xml:space="preserve">15.83</w:t>
            </w:r>
          </w:p>
        </w:tc>
        <w:tc>
          <w:tcPr/>
          <w:p>
            <w:pPr>
              <w:pStyle w:val="Compact"/>
              <w:jc w:val="left"/>
            </w:pPr>
            <w:r>
              <w:t xml:space="preserve">16.67</w:t>
            </w:r>
          </w:p>
        </w:tc>
      </w:tr>
    </w:tbl>
    <w:p>
      <w:pPr>
        <w:pStyle w:val="BodyText"/>
      </w:pPr>
      <w:r>
        <w:rPr>
          <w:bCs/>
          <w:b/>
        </w:rPr>
        <w:t xml:space="preserve">Table S9.</w:t>
      </w:r>
      <w:r>
        <w:t xml:space="preserve"> </w:t>
      </w:r>
      <w:r>
        <w:t xml:space="preserve">Weighed 3-axle test trucks: gross weight and axle spacings (front to middle axle; middle to rear axle) and track width. Mean gross weight 25.06 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Truck</w:t>
            </w:r>
          </w:p>
        </w:tc>
        <w:tc>
          <w:tcPr/>
          <w:p>
            <w:pPr>
              <w:pStyle w:val="Compact"/>
              <w:jc w:val="left"/>
            </w:pPr>
            <w:r>
              <w:t xml:space="preserve">Gross weight (t)</w:t>
            </w:r>
          </w:p>
        </w:tc>
        <w:tc>
          <w:tcPr/>
          <w:p>
            <w:pPr>
              <w:pStyle w:val="Compact"/>
              <w:jc w:val="left"/>
            </w:pPr>
            <w:r>
              <w:t xml:space="preserve">Front axle spacing (m)</w:t>
            </w:r>
          </w:p>
        </w:tc>
        <w:tc>
          <w:tcPr/>
          <w:p>
            <w:pPr>
              <w:pStyle w:val="Compact"/>
              <w:jc w:val="left"/>
            </w:pPr>
            <w:r>
              <w:t xml:space="preserve">Rear axle spacing (m)</w:t>
            </w:r>
          </w:p>
        </w:tc>
        <w:tc>
          <w:tcPr/>
          <w:p>
            <w:pPr>
              <w:pStyle w:val="Compact"/>
              <w:jc w:val="left"/>
            </w:pPr>
            <w:r>
              <w:t xml:space="preserve">Track (m)</w:t>
            </w:r>
          </w:p>
        </w:tc>
      </w:tr>
      <w:tr>
        <w:tc>
          <w:tcPr/>
          <w:p>
            <w:pPr>
              <w:pStyle w:val="Compact"/>
              <w:jc w:val="left"/>
            </w:pPr>
            <w:r>
              <w:t xml:space="preserve">1</w:t>
            </w:r>
          </w:p>
        </w:tc>
        <w:tc>
          <w:tcPr/>
          <w:p>
            <w:pPr>
              <w:pStyle w:val="Compact"/>
              <w:jc w:val="left"/>
            </w:pPr>
            <w:r>
              <w:t xml:space="preserve">24.7</w:t>
            </w:r>
          </w:p>
        </w:tc>
        <w:tc>
          <w:tcPr/>
          <w:p>
            <w:pPr>
              <w:pStyle w:val="Compact"/>
              <w:jc w:val="left"/>
            </w:pPr>
            <w:r>
              <w:t xml:space="preserve">3.45</w:t>
            </w:r>
          </w:p>
        </w:tc>
        <w:tc>
          <w:tcPr/>
          <w:p>
            <w:pPr>
              <w:pStyle w:val="Compact"/>
              <w:jc w:val="left"/>
            </w:pPr>
            <w:r>
              <w:t xml:space="preserve">1.35</w:t>
            </w:r>
          </w:p>
        </w:tc>
        <w:tc>
          <w:tcPr/>
          <w:p>
            <w:pPr>
              <w:pStyle w:val="Compact"/>
              <w:jc w:val="left"/>
            </w:pPr>
            <w:r>
              <w:t xml:space="preserve">1.9</w:t>
            </w:r>
          </w:p>
        </w:tc>
      </w:tr>
      <w:tr>
        <w:tc>
          <w:tcPr/>
          <w:p>
            <w:pPr>
              <w:pStyle w:val="Compact"/>
              <w:jc w:val="left"/>
            </w:pPr>
            <w:r>
              <w:t xml:space="preserve">2</w:t>
            </w:r>
          </w:p>
        </w:tc>
        <w:tc>
          <w:tcPr/>
          <w:p>
            <w:pPr>
              <w:pStyle w:val="Compact"/>
              <w:jc w:val="left"/>
            </w:pPr>
            <w:r>
              <w:t xml:space="preserve">25</w:t>
            </w:r>
          </w:p>
        </w:tc>
        <w:tc>
          <w:tcPr/>
          <w:p>
            <w:pPr>
              <w:pStyle w:val="Compact"/>
              <w:jc w:val="left"/>
            </w:pPr>
            <w:r>
              <w:t xml:space="preserve">3.65</w:t>
            </w:r>
          </w:p>
        </w:tc>
        <w:tc>
          <w:tcPr/>
          <w:p>
            <w:pPr>
              <w:pStyle w:val="Compact"/>
              <w:jc w:val="left"/>
            </w:pPr>
            <w:r>
              <w:t xml:space="preserve">1.45</w:t>
            </w:r>
          </w:p>
        </w:tc>
        <w:tc>
          <w:tcPr/>
          <w:p>
            <w:pPr>
              <w:pStyle w:val="Compact"/>
              <w:jc w:val="left"/>
            </w:pPr>
            <w:r>
              <w:t xml:space="preserve">1.85</w:t>
            </w:r>
          </w:p>
        </w:tc>
      </w:tr>
      <w:tr>
        <w:tc>
          <w:tcPr/>
          <w:p>
            <w:pPr>
              <w:pStyle w:val="Compact"/>
              <w:jc w:val="left"/>
            </w:pPr>
            <w:r>
              <w:t xml:space="preserve">3</w:t>
            </w:r>
          </w:p>
        </w:tc>
        <w:tc>
          <w:tcPr/>
          <w:p>
            <w:pPr>
              <w:pStyle w:val="Compact"/>
              <w:jc w:val="left"/>
            </w:pPr>
            <w:r>
              <w:t xml:space="preserve">25.66</w:t>
            </w:r>
          </w:p>
        </w:tc>
        <w:tc>
          <w:tcPr/>
          <w:p>
            <w:pPr>
              <w:pStyle w:val="Compact"/>
              <w:jc w:val="left"/>
            </w:pPr>
            <w:r>
              <w:t xml:space="preserve">3.45</w:t>
            </w:r>
          </w:p>
        </w:tc>
        <w:tc>
          <w:tcPr/>
          <w:p>
            <w:pPr>
              <w:pStyle w:val="Compact"/>
              <w:jc w:val="left"/>
            </w:pPr>
            <w:r>
              <w:t xml:space="preserve">1.35</w:t>
            </w:r>
          </w:p>
        </w:tc>
        <w:tc>
          <w:tcPr/>
          <w:p>
            <w:pPr>
              <w:pStyle w:val="Compact"/>
              <w:jc w:val="left"/>
            </w:pPr>
            <w:r>
              <w:t xml:space="preserve">1.85</w:t>
            </w:r>
          </w:p>
        </w:tc>
      </w:tr>
      <w:tr>
        <w:tc>
          <w:tcPr/>
          <w:p>
            <w:pPr>
              <w:pStyle w:val="Compact"/>
              <w:jc w:val="left"/>
            </w:pPr>
            <w:r>
              <w:t xml:space="preserve">4</w:t>
            </w:r>
          </w:p>
        </w:tc>
        <w:tc>
          <w:tcPr/>
          <w:p>
            <w:pPr>
              <w:pStyle w:val="Compact"/>
              <w:jc w:val="left"/>
            </w:pPr>
            <w:r>
              <w:t xml:space="preserve">25.06</w:t>
            </w:r>
          </w:p>
        </w:tc>
        <w:tc>
          <w:tcPr/>
          <w:p>
            <w:pPr>
              <w:pStyle w:val="Compact"/>
              <w:jc w:val="left"/>
            </w:pPr>
            <w:r>
              <w:t xml:space="preserve">3.85</w:t>
            </w:r>
          </w:p>
        </w:tc>
        <w:tc>
          <w:tcPr/>
          <w:p>
            <w:pPr>
              <w:pStyle w:val="Compact"/>
              <w:jc w:val="left"/>
            </w:pPr>
            <w:r>
              <w:t xml:space="preserve">1.35</w:t>
            </w:r>
          </w:p>
        </w:tc>
        <w:tc>
          <w:tcPr/>
          <w:p>
            <w:pPr>
              <w:pStyle w:val="Compact"/>
              <w:jc w:val="left"/>
            </w:pPr>
            <w:r>
              <w:t xml:space="preserve">1.85</w:t>
            </w:r>
          </w:p>
        </w:tc>
      </w:tr>
      <w:tr>
        <w:tc>
          <w:tcPr/>
          <w:p>
            <w:pPr>
              <w:pStyle w:val="Compact"/>
              <w:jc w:val="left"/>
            </w:pPr>
            <w:r>
              <w:t xml:space="preserve">5</w:t>
            </w:r>
          </w:p>
        </w:tc>
        <w:tc>
          <w:tcPr/>
          <w:p>
            <w:pPr>
              <w:pStyle w:val="Compact"/>
              <w:jc w:val="left"/>
            </w:pPr>
            <w:r>
              <w:t xml:space="preserve">25.05</w:t>
            </w:r>
          </w:p>
        </w:tc>
        <w:tc>
          <w:tcPr/>
          <w:p>
            <w:pPr>
              <w:pStyle w:val="Compact"/>
              <w:jc w:val="left"/>
            </w:pPr>
            <w:r>
              <w:t xml:space="preserve">3.45</w:t>
            </w:r>
          </w:p>
        </w:tc>
        <w:tc>
          <w:tcPr/>
          <w:p>
            <w:pPr>
              <w:pStyle w:val="Compact"/>
              <w:jc w:val="left"/>
            </w:pPr>
            <w:r>
              <w:t xml:space="preserve">1.35</w:t>
            </w:r>
          </w:p>
        </w:tc>
        <w:tc>
          <w:tcPr/>
          <w:p>
            <w:pPr>
              <w:pStyle w:val="Compact"/>
              <w:jc w:val="left"/>
            </w:pPr>
            <w:r>
              <w:t xml:space="preserve">1.85</w:t>
            </w:r>
          </w:p>
        </w:tc>
      </w:tr>
      <w:tr>
        <w:tc>
          <w:tcPr/>
          <w:p>
            <w:pPr>
              <w:pStyle w:val="Compact"/>
              <w:jc w:val="left"/>
            </w:pPr>
            <w:r>
              <w:t xml:space="preserve">6</w:t>
            </w:r>
          </w:p>
        </w:tc>
        <w:tc>
          <w:tcPr/>
          <w:p>
            <w:pPr>
              <w:pStyle w:val="Compact"/>
              <w:jc w:val="left"/>
            </w:pPr>
            <w:r>
              <w:t xml:space="preserve">25.3</w:t>
            </w:r>
          </w:p>
        </w:tc>
        <w:tc>
          <w:tcPr/>
          <w:p>
            <w:pPr>
              <w:pStyle w:val="Compact"/>
              <w:jc w:val="left"/>
            </w:pPr>
            <w:r>
              <w:t xml:space="preserve">3.65</w:t>
            </w:r>
          </w:p>
        </w:tc>
        <w:tc>
          <w:tcPr/>
          <w:p>
            <w:pPr>
              <w:pStyle w:val="Compact"/>
              <w:jc w:val="left"/>
            </w:pPr>
            <w:r>
              <w:t xml:space="preserve">1.45</w:t>
            </w:r>
          </w:p>
        </w:tc>
        <w:tc>
          <w:tcPr/>
          <w:p>
            <w:pPr>
              <w:pStyle w:val="Compact"/>
              <w:jc w:val="left"/>
            </w:pPr>
            <w:r>
              <w:t xml:space="preserve">1.85</w:t>
            </w:r>
          </w:p>
        </w:tc>
      </w:tr>
      <w:tr>
        <w:tc>
          <w:tcPr/>
          <w:p>
            <w:pPr>
              <w:pStyle w:val="Compact"/>
              <w:jc w:val="left"/>
            </w:pPr>
            <w:r>
              <w:t xml:space="preserve">7</w:t>
            </w:r>
          </w:p>
        </w:tc>
        <w:tc>
          <w:tcPr/>
          <w:p>
            <w:pPr>
              <w:pStyle w:val="Compact"/>
              <w:jc w:val="left"/>
            </w:pPr>
            <w:r>
              <w:t xml:space="preserve">25.1</w:t>
            </w:r>
          </w:p>
        </w:tc>
        <w:tc>
          <w:tcPr/>
          <w:p>
            <w:pPr>
              <w:pStyle w:val="Compact"/>
              <w:jc w:val="left"/>
            </w:pPr>
            <w:r>
              <w:t xml:space="preserve">3.7</w:t>
            </w:r>
          </w:p>
        </w:tc>
        <w:tc>
          <w:tcPr/>
          <w:p>
            <w:pPr>
              <w:pStyle w:val="Compact"/>
              <w:jc w:val="left"/>
            </w:pPr>
            <w:r>
              <w:t xml:space="preserve">1.45</w:t>
            </w:r>
          </w:p>
        </w:tc>
        <w:tc>
          <w:tcPr/>
          <w:p>
            <w:pPr>
              <w:pStyle w:val="Compact"/>
              <w:jc w:val="left"/>
            </w:pPr>
            <w:r>
              <w:t xml:space="preserve">1.9</w:t>
            </w:r>
          </w:p>
        </w:tc>
      </w:tr>
      <w:tr>
        <w:tc>
          <w:tcPr/>
          <w:p>
            <w:pPr>
              <w:pStyle w:val="Compact"/>
              <w:jc w:val="left"/>
            </w:pPr>
            <w:r>
              <w:t xml:space="preserve">8</w:t>
            </w:r>
          </w:p>
        </w:tc>
        <w:tc>
          <w:tcPr/>
          <w:p>
            <w:pPr>
              <w:pStyle w:val="Compact"/>
              <w:jc w:val="left"/>
            </w:pPr>
            <w:r>
              <w:t xml:space="preserve">25.5</w:t>
            </w:r>
          </w:p>
        </w:tc>
        <w:tc>
          <w:tcPr/>
          <w:p>
            <w:pPr>
              <w:pStyle w:val="Compact"/>
              <w:jc w:val="left"/>
            </w:pPr>
            <w:r>
              <w:t xml:space="preserve">3.65</w:t>
            </w:r>
          </w:p>
        </w:tc>
        <w:tc>
          <w:tcPr/>
          <w:p>
            <w:pPr>
              <w:pStyle w:val="Compact"/>
              <w:jc w:val="left"/>
            </w:pPr>
            <w:r>
              <w:t xml:space="preserve">1.45</w:t>
            </w:r>
          </w:p>
        </w:tc>
        <w:tc>
          <w:tcPr/>
          <w:p>
            <w:pPr>
              <w:pStyle w:val="Compact"/>
              <w:jc w:val="left"/>
            </w:pPr>
            <w:r>
              <w:t xml:space="preserve">1.9</w:t>
            </w:r>
          </w:p>
        </w:tc>
      </w:tr>
      <w:tr>
        <w:tc>
          <w:tcPr/>
          <w:p>
            <w:pPr>
              <w:pStyle w:val="Compact"/>
              <w:jc w:val="left"/>
            </w:pPr>
            <w:r>
              <w:t xml:space="preserve">9</w:t>
            </w:r>
          </w:p>
        </w:tc>
        <w:tc>
          <w:tcPr/>
          <w:p>
            <w:pPr>
              <w:pStyle w:val="Compact"/>
              <w:jc w:val="left"/>
            </w:pPr>
            <w:r>
              <w:t xml:space="preserve">24.6</w:t>
            </w:r>
          </w:p>
        </w:tc>
        <w:tc>
          <w:tcPr/>
          <w:p>
            <w:pPr>
              <w:pStyle w:val="Compact"/>
              <w:jc w:val="left"/>
            </w:pPr>
            <w:r>
              <w:t xml:space="preserve">3.65</w:t>
            </w:r>
          </w:p>
        </w:tc>
        <w:tc>
          <w:tcPr/>
          <w:p>
            <w:pPr>
              <w:pStyle w:val="Compact"/>
              <w:jc w:val="left"/>
            </w:pPr>
            <w:r>
              <w:t xml:space="preserve">1.45</w:t>
            </w:r>
          </w:p>
        </w:tc>
        <w:tc>
          <w:tcPr/>
          <w:p>
            <w:pPr>
              <w:pStyle w:val="Compact"/>
              <w:jc w:val="left"/>
            </w:pPr>
            <w:r>
              <w:t xml:space="preserve">1.85</w:t>
            </w:r>
          </w:p>
        </w:tc>
      </w:tr>
      <w:tr>
        <w:tc>
          <w:tcPr/>
          <w:p>
            <w:pPr>
              <w:pStyle w:val="Compact"/>
              <w:jc w:val="left"/>
            </w:pPr>
            <w:r>
              <w:t xml:space="preserve">10</w:t>
            </w:r>
          </w:p>
        </w:tc>
        <w:tc>
          <w:tcPr/>
          <w:p>
            <w:pPr>
              <w:pStyle w:val="Compact"/>
              <w:jc w:val="left"/>
            </w:pPr>
            <w:r>
              <w:t xml:space="preserve">24.6</w:t>
            </w:r>
          </w:p>
        </w:tc>
        <w:tc>
          <w:tcPr/>
          <w:p>
            <w:pPr>
              <w:pStyle w:val="Compact"/>
              <w:jc w:val="left"/>
            </w:pPr>
            <w:r>
              <w:t xml:space="preserve">3.6</w:t>
            </w:r>
          </w:p>
        </w:tc>
        <w:tc>
          <w:tcPr/>
          <w:p>
            <w:pPr>
              <w:pStyle w:val="Compact"/>
              <w:jc w:val="left"/>
            </w:pPr>
            <w:r>
              <w:t xml:space="preserve">1.45</w:t>
            </w:r>
          </w:p>
        </w:tc>
        <w:tc>
          <w:tcPr/>
          <w:p>
            <w:pPr>
              <w:pStyle w:val="Compact"/>
              <w:jc w:val="left"/>
            </w:pPr>
            <w:r>
              <w:t xml:space="preserve">1.85</w:t>
            </w:r>
          </w:p>
        </w:tc>
      </w:tr>
    </w:tbl>
    <w:p>
      <w:pPr>
        <w:pStyle w:val="BodyText"/>
      </w:pPr>
      <w:r>
        <w:rPr>
          <w:bCs/>
          <w:b/>
        </w:rPr>
        <w:t xml:space="preserve">Table S10.</w:t>
      </w:r>
      <w:r>
        <w:t xml:space="preserve"> </w:t>
      </w:r>
      <w:r>
        <w:t xml:space="preserve">Vertical natural frequencies of the main-bridge spans reported in the acceptance test.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Span</w:t>
            </w:r>
          </w:p>
        </w:tc>
        <w:tc>
          <w:tcPr/>
          <w:p>
            <w:pPr>
              <w:pStyle w:val="Compact"/>
              <w:jc w:val="left"/>
            </w:pPr>
            <w:r>
              <w:t xml:space="preserve">Vertical frequency (Hz)</w:t>
            </w:r>
          </w:p>
        </w:tc>
      </w:tr>
      <w:tr>
        <w:tc>
          <w:tcPr/>
          <w:p>
            <w:pPr>
              <w:pStyle w:val="Compact"/>
              <w:jc w:val="left"/>
            </w:pPr>
            <w:r>
              <w:t xml:space="preserve">Side span T5–T6 (55 m)</w:t>
            </w:r>
          </w:p>
        </w:tc>
        <w:tc>
          <w:tcPr/>
          <w:p>
            <w:pPr>
              <w:pStyle w:val="Compact"/>
              <w:jc w:val="left"/>
            </w:pPr>
            <w:r>
              <w:t xml:space="preserve">3.43</w:t>
            </w:r>
          </w:p>
        </w:tc>
      </w:tr>
      <w:tr>
        <w:tc>
          <w:tcPr/>
          <w:p>
            <w:pPr>
              <w:pStyle w:val="Compact"/>
              <w:jc w:val="left"/>
            </w:pPr>
            <w:r>
              <w:t xml:space="preserve">Main span T6–T7 (90 m)</w:t>
            </w:r>
          </w:p>
        </w:tc>
        <w:tc>
          <w:tcPr/>
          <w:p>
            <w:pPr>
              <w:pStyle w:val="Compact"/>
              <w:jc w:val="left"/>
            </w:pPr>
            <w:r>
              <w:t xml:space="preserve">3.64</w:t>
            </w:r>
          </w:p>
        </w:tc>
      </w:tr>
      <w:tr>
        <w:tc>
          <w:tcPr/>
          <w:p>
            <w:pPr>
              <w:pStyle w:val="Compact"/>
              <w:jc w:val="left"/>
            </w:pPr>
            <w:r>
              <w:t xml:space="preserve">Side span T7–T8 (55 m)</w:t>
            </w:r>
          </w:p>
        </w:tc>
        <w:tc>
          <w:tcPr/>
          <w:p>
            <w:pPr>
              <w:pStyle w:val="Compact"/>
              <w:jc w:val="left"/>
            </w:pPr>
            <w:r>
              <w:t xml:space="preserve">3.63</w:t>
            </w:r>
          </w:p>
        </w:tc>
      </w:tr>
    </w:tbl>
    <w:p>
      <w:pPr>
        <w:pStyle w:val="BodyText"/>
      </w:pPr>
      <w:r>
        <w:t xml:space="preserve">Fig. S11 shows the predicted vertical frequencies against the scaled pier stiffness κ, Fig. S12 the static misfit over the plane of α and k, and Fig. S13 the closed-form Möbius law of Eq. (15) against FE.</w:t>
      </w:r>
    </w:p>
    <w:p>
      <w:pPr>
        <w:pStyle w:val="BodyText"/>
      </w:pPr>
      <w:r>
        <w:t xml:space="preserve">The moving-force analysis behind the dynamic bound of Section 6 is reproduced by</w:t>
      </w:r>
      <w:r>
        <w:t xml:space="preserve"> </w:t>
      </w:r>
      <w:r>
        <w:rPr>
          <w:rStyle w:val="VerbatimChar"/>
        </w:rPr>
        <w:t xml:space="preserve">s05_moving_force.py</w:t>
      </w:r>
      <w:r>
        <w:t xml:space="preserve">; its console output (</w:t>
      </w:r>
      <w:r>
        <w:rPr>
          <w:rStyle w:val="VerbatimChar"/>
        </w:rPr>
        <w:t xml:space="preserve">s05_moving_force.log</w:t>
      </w:r>
      <w:r>
        <w:t xml:space="preserve">) lists the quasi-static error against</w:t>
      </w:r>
      <w:r>
        <w:t xml:space="preserve"> </w:t>
      </w:r>
      <m:oMath>
        <m:sSub>
          <m:e>
            <m:r>
              <m:t>t</m:t>
            </m:r>
          </m:e>
          <m:sub>
            <m:r>
              <m:rPr>
                <m:sty m:val="p"/>
              </m:rPr>
              <m:t>c</m:t>
            </m:r>
            <m:r>
              <m:rPr>
                <m:sty m:val="p"/>
              </m:rPr>
              <m:t>r</m:t>
            </m:r>
          </m:sub>
        </m:sSub>
        <m:r>
          <m:rPr>
            <m:sty m:val="p"/>
          </m:rPr>
          <m:t>/</m:t>
        </m:r>
        <m:sSub>
          <m:e>
            <m:r>
              <m:t>T</m:t>
            </m:r>
          </m:e>
          <m:sub>
            <m:r>
              <m:t>1</m:t>
            </m:r>
          </m:sub>
        </m:sSub>
      </m:oMath>
      <w:r>
        <w:t xml:space="preserve">, the effect of damping and the axle-configuration spread under dynamics.</w:t>
      </w:r>
    </w:p>
    <w:p>
      <w:pPr>
        <w:pStyle w:val="BodyText"/>
      </w:pPr>
      <w:r>
        <w:t xml:space="preserve">Figs. S14 and S15 show the deflection records of two simply supported bridges tested by the authors, which illustrate the baseline handling and the low-pass filtering recommended in Section 7.</w:t>
      </w:r>
    </w:p>
    <w:bookmarkEnd w:id="27"/>
    <w:bookmarkStart w:id="73" w:name="supplementary-figure-captions"/>
    <w:p>
      <w:pPr>
        <w:pStyle w:val="Heading2"/>
      </w:pPr>
      <w:r>
        <w:t xml:space="preserve">Supplementary figure captions</w:t>
      </w:r>
    </w:p>
    <w:p>
      <w:pPr>
        <w:pStyle w:val="FirstParagraph"/>
      </w:pPr>
      <w:r>
        <w:drawing>
          <wp:inline>
            <wp:extent cx="5579999" cy="2789999"/>
            <wp:effectExtent b="0" l="0" r="0" t="0"/>
            <wp:docPr descr="" title="" id="29" name="Picture"/>
            <a:graphic>
              <a:graphicData uri="http://schemas.openxmlformats.org/drawingml/2006/picture">
                <pic:pic>
                  <pic:nvPicPr>
                    <pic:cNvPr descr="/home/user/SHM-Paper1-1D/manuscript/v4/word/../figures/supplementary/FigS1_lab_influence_line.png" id="30" name="Picture"/>
                    <pic:cNvPicPr>
                      <a:picLocks noChangeArrowheads="1" noChangeAspect="1"/>
                    </pic:cNvPicPr>
                  </pic:nvPicPr>
                  <pic:blipFill>
                    <a:blip r:embed="rId28"/>
                    <a:stretch>
                      <a:fillRect/>
                    </a:stretch>
                  </pic:blipFill>
                  <pic:spPr bwMode="auto">
                    <a:xfrm>
                      <a:off x="0" y="0"/>
                      <a:ext cx="5579999" cy="2789999"/>
                    </a:xfrm>
                    <a:prstGeom prst="rect">
                      <a:avLst/>
                    </a:prstGeom>
                    <a:noFill/>
                    <a:ln w="9525">
                      <a:noFill/>
                      <a:headEnd/>
                      <a:tailEnd/>
                    </a:ln>
                  </pic:spPr>
                </pic:pic>
              </a:graphicData>
            </a:graphic>
          </wp:inline>
        </w:drawing>
      </w:r>
    </w:p>
    <w:p>
      <w:pPr>
        <w:pStyle w:val="BodyText"/>
      </w:pPr>
      <w:r>
        <w:rPr>
          <w:bCs/>
          <w:b/>
        </w:rPr>
        <w:t xml:space="preserve">Fig. S1.</w:t>
      </w:r>
      <w:r>
        <w:t xml:space="preserve"> </w:t>
      </w:r>
      <w:r>
        <w:t xml:space="preserve">Laboratory two-span beam: measured and analytical influence line of the mid-span deflection of the first span for the single 40.64 N load (Table S1).</w:t>
      </w:r>
    </w:p>
    <w:p>
      <w:pPr>
        <w:pStyle w:val="BodyText"/>
      </w:pPr>
      <w:r>
        <w:drawing>
          <wp:inline>
            <wp:extent cx="5579999" cy="2557499"/>
            <wp:effectExtent b="0" l="0" r="0" t="0"/>
            <wp:docPr descr="" title="" id="32" name="Picture"/>
            <a:graphic>
              <a:graphicData uri="http://schemas.openxmlformats.org/drawingml/2006/picture">
                <pic:pic>
                  <pic:nvPicPr>
                    <pic:cNvPr descr="/home/user/SHM-Paper1-1D/manuscript/v4/word/../figures/supplementary/FigS2_norbwim_noise_correlation.png" id="33" name="Picture"/>
                    <pic:cNvPicPr>
                      <a:picLocks noChangeArrowheads="1" noChangeAspect="1"/>
                    </pic:cNvPicPr>
                  </pic:nvPicPr>
                  <pic:blipFill>
                    <a:blip r:embed="rId31"/>
                    <a:stretch>
                      <a:fillRect/>
                    </a:stretch>
                  </pic:blipFill>
                  <pic:spPr bwMode="auto">
                    <a:xfrm>
                      <a:off x="0" y="0"/>
                      <a:ext cx="5579999" cy="2557499"/>
                    </a:xfrm>
                    <a:prstGeom prst="rect">
                      <a:avLst/>
                    </a:prstGeom>
                    <a:noFill/>
                    <a:ln w="9525">
                      <a:noFill/>
                      <a:headEnd/>
                      <a:tailEnd/>
                    </a:ln>
                  </pic:spPr>
                </pic:pic>
              </a:graphicData>
            </a:graphic>
          </wp:inline>
        </w:drawing>
      </w:r>
    </w:p>
    <w:p>
      <w:pPr>
        <w:pStyle w:val="BodyText"/>
      </w:pPr>
      <w:r>
        <w:rPr>
          <w:bCs/>
          <w:b/>
        </w:rPr>
        <w:t xml:space="preserve">Fig. S2.</w:t>
      </w:r>
      <w:r>
        <w:t xml:space="preserve"> </w:t>
      </w:r>
      <w:r>
        <w:t xml:space="preserve">NOR-BWIM: correlation matrices of the integrated vehicle-free noise between gauges, for windows of crossing length; day 1 (12 gauges) and day 2 (4 gauges).</w:t>
      </w:r>
    </w:p>
    <w:p>
      <w:pPr>
        <w:pStyle w:val="BodyText"/>
      </w:pPr>
      <w:r>
        <w:drawing>
          <wp:inline>
            <wp:extent cx="5579999" cy="2014999"/>
            <wp:effectExtent b="0" l="0" r="0" t="0"/>
            <wp:docPr descr="" title="" id="35" name="Picture"/>
            <a:graphic>
              <a:graphicData uri="http://schemas.openxmlformats.org/drawingml/2006/picture">
                <pic:pic>
                  <pic:nvPicPr>
                    <pic:cNvPr descr="/home/user/SHM-Paper1-1D/manuscript/v4/word/../figures/supplementary/FigS3_norbwim_speed.png" id="36" name="Picture"/>
                    <pic:cNvPicPr>
                      <a:picLocks noChangeArrowheads="1" noChangeAspect="1"/>
                    </pic:cNvPicPr>
                  </pic:nvPicPr>
                  <pic:blipFill>
                    <a:blip r:embed="rId34"/>
                    <a:stretch>
                      <a:fillRect/>
                    </a:stretch>
                  </pic:blipFill>
                  <pic:spPr bwMode="auto">
                    <a:xfrm>
                      <a:off x="0" y="0"/>
                      <a:ext cx="5579999" cy="2014999"/>
                    </a:xfrm>
                    <a:prstGeom prst="rect">
                      <a:avLst/>
                    </a:prstGeom>
                    <a:noFill/>
                    <a:ln w="9525">
                      <a:noFill/>
                      <a:headEnd/>
                      <a:tailEnd/>
                    </a:ln>
                  </pic:spPr>
                </pic:pic>
              </a:graphicData>
            </a:graphic>
          </wp:inline>
        </w:drawing>
      </w:r>
    </w:p>
    <w:p>
      <w:pPr>
        <w:pStyle w:val="BodyText"/>
      </w:pPr>
      <w:r>
        <w:rPr>
          <w:bCs/>
          <w:b/>
        </w:rPr>
        <w:t xml:space="preserve">Fig. S3.</w:t>
      </w:r>
      <w:r>
        <w:t xml:space="preserve"> </w:t>
      </w:r>
      <w:r>
        <w:t xml:space="preserve">NOR-BWIM: integral constant against speed for the day-1 gauge average, gauge ch1 and the day-2 gauge average, by truck; the panel titles give the fitted slope per 10 m/s with its 95 % CI.</w:t>
      </w:r>
    </w:p>
    <w:p>
      <w:pPr>
        <w:pStyle w:val="BodyText"/>
      </w:pPr>
      <w:r>
        <w:drawing>
          <wp:inline>
            <wp:extent cx="5579999" cy="5889999"/>
            <wp:effectExtent b="0" l="0" r="0" t="0"/>
            <wp:docPr descr="" title="" id="38" name="Picture"/>
            <a:graphic>
              <a:graphicData uri="http://schemas.openxmlformats.org/drawingml/2006/picture">
                <pic:pic>
                  <pic:nvPicPr>
                    <pic:cNvPr descr="/home/user/SHM-Paper1-1D/manuscript/v4/word/../figures/supplementary/FigS4_norbwim_beam_observability.png" id="39" name="Picture"/>
                    <pic:cNvPicPr>
                      <a:picLocks noChangeArrowheads="1" noChangeAspect="1"/>
                    </pic:cNvPicPr>
                  </pic:nvPicPr>
                  <pic:blipFill>
                    <a:blip r:embed="rId37"/>
                    <a:stretch>
                      <a:fillRect/>
                    </a:stretch>
                  </pic:blipFill>
                  <pic:spPr bwMode="auto">
                    <a:xfrm>
                      <a:off x="0" y="0"/>
                      <a:ext cx="5579999" cy="5889999"/>
                    </a:xfrm>
                    <a:prstGeom prst="rect">
                      <a:avLst/>
                    </a:prstGeom>
                    <a:noFill/>
                    <a:ln w="9525">
                      <a:noFill/>
                      <a:headEnd/>
                      <a:tailEnd/>
                    </a:ln>
                  </pic:spPr>
                </pic:pic>
              </a:graphicData>
            </a:graphic>
          </wp:inline>
        </w:drawing>
      </w:r>
    </w:p>
    <w:p>
      <w:pPr>
        <w:pStyle w:val="BodyText"/>
      </w:pPr>
      <w:r>
        <w:rPr>
          <w:bCs/>
          <w:b/>
        </w:rPr>
        <w:t xml:space="preserve">Fig. S4.</w:t>
      </w:r>
      <w:r>
        <w:t xml:space="preserve"> </w:t>
      </w:r>
      <w:r>
        <w:t xml:space="preserve">Five-span girder, beam model with uniform rigidity and two haunch laws: uniform-load moment (top) and strain constant (middle) along the girder, normalised at the gauges, and the single-gauge error expected from the measured noise for a 25 t truck (bottom). Red line: gauge position; dotted lines: zero-moment points.</w:t>
      </w:r>
    </w:p>
    <w:p>
      <w:pPr>
        <w:pStyle w:val="BodyText"/>
      </w:pPr>
      <w:r>
        <w:drawing>
          <wp:inline>
            <wp:extent cx="5579999" cy="2169999"/>
            <wp:effectExtent b="0" l="0" r="0" t="0"/>
            <wp:docPr descr="" title="" id="41" name="Picture"/>
            <a:graphic>
              <a:graphicData uri="http://schemas.openxmlformats.org/drawingml/2006/picture">
                <pic:pic>
                  <pic:nvPicPr>
                    <pic:cNvPr descr="/home/user/SHM-Paper1-1D/manuscript/v4/word/../figures/supplementary/FigS5_veb_synthetic.png" id="42" name="Picture"/>
                    <pic:cNvPicPr>
                      <a:picLocks noChangeArrowheads="1" noChangeAspect="1"/>
                    </pic:cNvPicPr>
                  </pic:nvPicPr>
                  <pic:blipFill>
                    <a:blip r:embed="rId40"/>
                    <a:stretch>
                      <a:fillRect/>
                    </a:stretch>
                  </pic:blipFill>
                  <pic:spPr bwMode="auto">
                    <a:xfrm>
                      <a:off x="0" y="0"/>
                      <a:ext cx="5579999" cy="2169999"/>
                    </a:xfrm>
                    <a:prstGeom prst="rect">
                      <a:avLst/>
                    </a:prstGeom>
                    <a:noFill/>
                    <a:ln w="9525">
                      <a:noFill/>
                      <a:headEnd/>
                      <a:tailEnd/>
                    </a:ln>
                  </pic:spPr>
                </pic:pic>
              </a:graphicData>
            </a:graphic>
          </wp:inline>
        </w:drawing>
      </w:r>
    </w:p>
    <w:p>
      <w:pPr>
        <w:pStyle w:val="BodyText"/>
      </w:pPr>
      <w:r>
        <w:rPr>
          <w:bCs/>
          <w:b/>
        </w:rPr>
        <w:t xml:space="preserve">Fig. S5.</w:t>
      </w:r>
      <w:r>
        <w:t xml:space="preserve"> </w:t>
      </w:r>
      <w:r>
        <w:t xml:space="preserve">Synthetic strain records of the dataset authors: integral per unit gross weight by truck and lane, and for a 3-axle truck against speed.</w:t>
      </w:r>
    </w:p>
    <w:p>
      <w:pPr>
        <w:pStyle w:val="BodyText"/>
      </w:pPr>
      <w:r>
        <w:drawing>
          <wp:inline>
            <wp:extent cx="5579999" cy="2243094"/>
            <wp:effectExtent b="0" l="0" r="0" t="0"/>
            <wp:docPr descr="" title="" id="44" name="Picture"/>
            <a:graphic>
              <a:graphicData uri="http://schemas.openxmlformats.org/drawingml/2006/picture">
                <pic:pic>
                  <pic:nvPicPr>
                    <pic:cNvPr descr="/home/user/SHM-Paper1-1D/manuscript/v4/word/../figures/supplementary/FigS6_strain_map_2span.png" id="45" name="Picture"/>
                    <pic:cNvPicPr>
                      <a:picLocks noChangeArrowheads="1" noChangeAspect="1"/>
                    </pic:cNvPicPr>
                  </pic:nvPicPr>
                  <pic:blipFill>
                    <a:blip r:embed="rId43"/>
                    <a:stretch>
                      <a:fillRect/>
                    </a:stretch>
                  </pic:blipFill>
                  <pic:spPr bwMode="auto">
                    <a:xfrm>
                      <a:off x="0" y="0"/>
                      <a:ext cx="5579999" cy="2243094"/>
                    </a:xfrm>
                    <a:prstGeom prst="rect">
                      <a:avLst/>
                    </a:prstGeom>
                    <a:noFill/>
                    <a:ln w="9525">
                      <a:noFill/>
                      <a:headEnd/>
                      <a:tailEnd/>
                    </a:ln>
                  </pic:spPr>
                </pic:pic>
              </a:graphicData>
            </a:graphic>
          </wp:inline>
        </w:drawing>
      </w:r>
    </w:p>
    <w:p>
      <w:pPr>
        <w:pStyle w:val="BodyText"/>
      </w:pPr>
      <w:r>
        <w:rPr>
          <w:bCs/>
          <w:b/>
        </w:rPr>
        <w:t xml:space="preserve">Fig. S6.</w:t>
      </w:r>
      <w:r>
        <w:t xml:space="preserve"> </w:t>
      </w:r>
      <w:r>
        <w:t xml:space="preserve">Two-span beam: (a) strain indicator</w:t>
      </w:r>
      <w:r>
        <w:t xml:space="preserve"> </w:t>
      </w:r>
      <m:oMath>
        <m:sSub>
          <m:e>
            <m:r>
              <m:t>N</m:t>
            </m:r>
          </m:e>
          <m:sub>
            <m:r>
              <m:t>M</m:t>
            </m:r>
          </m:sub>
        </m:sSub>
      </m:oMath>
      <w:r>
        <w:t xml:space="preserve"> </w:t>
      </w:r>
      <w:r>
        <w:t xml:space="preserve">over the sensor position and the span ratio</w:t>
      </w:r>
      <w:r>
        <w:t xml:space="preserve"> </w:t>
      </w:r>
      <m:oMath>
        <m:r>
          <m:t>λ</m:t>
        </m:r>
      </m:oMath>
      <w:r>
        <w:t xml:space="preserve">, with the strain and deflection blind loci and the near-blind band; (b) blind positions against</w:t>
      </w:r>
      <w:r>
        <w:t xml:space="preserve"> </w:t>
      </w:r>
      <m:oMath>
        <m:r>
          <m:t>λ</m:t>
        </m:r>
      </m:oMath>
      <w:r>
        <w:t xml:space="preserve">.</w:t>
      </w:r>
    </w:p>
    <w:p>
      <w:pPr>
        <w:pStyle w:val="BodyText"/>
      </w:pPr>
      <w:r>
        <w:drawing>
          <wp:inline>
            <wp:extent cx="5579999" cy="2270603"/>
            <wp:effectExtent b="0" l="0" r="0" t="0"/>
            <wp:docPr descr="" title="" id="47" name="Picture"/>
            <a:graphic>
              <a:graphicData uri="http://schemas.openxmlformats.org/drawingml/2006/picture">
                <pic:pic>
                  <pic:nvPicPr>
                    <pic:cNvPr descr="/home/user/SHM-Paper1-1D/manuscript/v4/word/../figures/supplementary/FigS7_strain_map_3span.png" id="48" name="Picture"/>
                    <pic:cNvPicPr>
                      <a:picLocks noChangeArrowheads="1" noChangeAspect="1"/>
                    </pic:cNvPicPr>
                  </pic:nvPicPr>
                  <pic:blipFill>
                    <a:blip r:embed="rId46"/>
                    <a:stretch>
                      <a:fillRect/>
                    </a:stretch>
                  </pic:blipFill>
                  <pic:spPr bwMode="auto">
                    <a:xfrm>
                      <a:off x="0" y="0"/>
                      <a:ext cx="5579999" cy="2270603"/>
                    </a:xfrm>
                    <a:prstGeom prst="rect">
                      <a:avLst/>
                    </a:prstGeom>
                    <a:noFill/>
                    <a:ln w="9525">
                      <a:noFill/>
                      <a:headEnd/>
                      <a:tailEnd/>
                    </a:ln>
                  </pic:spPr>
                </pic:pic>
              </a:graphicData>
            </a:graphic>
          </wp:inline>
        </w:drawing>
      </w:r>
    </w:p>
    <w:p>
      <w:pPr>
        <w:pStyle w:val="BodyText"/>
      </w:pPr>
      <w:r>
        <w:rPr>
          <w:bCs/>
          <w:b/>
        </w:rPr>
        <w:t xml:space="preserve">Fig. S7.</w:t>
      </w:r>
      <w:r>
        <w:t xml:space="preserve"> </w:t>
      </w:r>
      <w:r>
        <w:t xml:space="preserve">Symmetric three-span beam: strain indicator</w:t>
      </w:r>
      <w:r>
        <w:t xml:space="preserve"> </w:t>
      </w:r>
      <m:oMath>
        <m:sSub>
          <m:e>
            <m:r>
              <m:t>N</m:t>
            </m:r>
          </m:e>
          <m:sub>
            <m:r>
              <m:t>M</m:t>
            </m:r>
          </m:sub>
        </m:sSub>
      </m:oMath>
      <w:r>
        <w:t xml:space="preserve"> </w:t>
      </w:r>
      <w:r>
        <w:t xml:space="preserve">(a) in the side span and (b) in the main span measured from the pier, over the span ratio</w:t>
      </w:r>
      <w:r>
        <w:t xml:space="preserve"> </w:t>
      </w:r>
      <m:oMath>
        <m:r>
          <m:t>β</m:t>
        </m:r>
      </m:oMath>
      <w:r>
        <w:t xml:space="preserve">, with the blind loci, the near-blind band and the Cầu Mây span ratio.</w:t>
      </w:r>
    </w:p>
    <w:p>
      <w:pPr>
        <w:pStyle w:val="BodyText"/>
      </w:pPr>
      <w:r>
        <w:drawing>
          <wp:inline>
            <wp:extent cx="5579999" cy="3028341"/>
            <wp:effectExtent b="0" l="0" r="0" t="0"/>
            <wp:docPr descr="" title="" id="50" name="Picture"/>
            <a:graphic>
              <a:graphicData uri="http://schemas.openxmlformats.org/drawingml/2006/picture">
                <pic:pic>
                  <pic:nvPicPr>
                    <pic:cNvPr descr="/home/user/SHM-Paper1-1D/manuscript/v4/word/../figures/supplementary/FigS8_Cx_extremes.png" id="51" name="Picture"/>
                    <pic:cNvPicPr>
                      <a:picLocks noChangeArrowheads="1" noChangeAspect="1"/>
                    </pic:cNvPicPr>
                  </pic:nvPicPr>
                  <pic:blipFill>
                    <a:blip r:embed="rId49"/>
                    <a:stretch>
                      <a:fillRect/>
                    </a:stretch>
                  </pic:blipFill>
                  <pic:spPr bwMode="auto">
                    <a:xfrm>
                      <a:off x="0" y="0"/>
                      <a:ext cx="5579999" cy="3028341"/>
                    </a:xfrm>
                    <a:prstGeom prst="rect">
                      <a:avLst/>
                    </a:prstGeom>
                    <a:noFill/>
                    <a:ln w="9525">
                      <a:noFill/>
                      <a:headEnd/>
                      <a:tailEnd/>
                    </a:ln>
                  </pic:spPr>
                </pic:pic>
              </a:graphicData>
            </a:graphic>
          </wp:inline>
        </w:drawing>
      </w:r>
    </w:p>
    <w:p>
      <w:pPr>
        <w:pStyle w:val="BodyText"/>
      </w:pPr>
      <w:r>
        <w:rPr>
          <w:bCs/>
          <w:b/>
        </w:rPr>
        <w:t xml:space="preserve">Fig. S8.</w:t>
      </w:r>
      <w:r>
        <w:t xml:space="preserve"> </w:t>
      </w:r>
      <w:r>
        <w:t xml:space="preserve">Uniform-load response</w:t>
      </w:r>
      <w:r>
        <w:t xml:space="preserve"> </w:t>
      </w:r>
      <m:oMath>
        <m:r>
          <m:t>C</m:t>
        </m:r>
        <m:d>
          <m:dPr>
            <m:begChr m:val="("/>
            <m:endChr m:val=")"/>
            <m:sepChr m:val=""/>
            <m:grow/>
          </m:dPr>
          <m:e>
            <m:r>
              <m:t>x</m:t>
            </m:r>
          </m:e>
        </m:d>
      </m:oMath>
      <w:r>
        <w:t xml:space="preserve"> </w:t>
      </w:r>
      <w:r>
        <w:t xml:space="preserve">along six girders (two-span, three-span and the Cầu Mây girder under calibrations A and B), with the maximum and minimum selected by the placement rule.</w:t>
      </w:r>
    </w:p>
    <w:p>
      <w:pPr>
        <w:pStyle w:val="BodyText"/>
      </w:pPr>
      <w:r>
        <w:drawing>
          <wp:inline>
            <wp:extent cx="5579999" cy="1835887"/>
            <wp:effectExtent b="0" l="0" r="0" t="0"/>
            <wp:docPr descr="" title="" id="53" name="Picture"/>
            <a:graphic>
              <a:graphicData uri="http://schemas.openxmlformats.org/drawingml/2006/picture">
                <pic:pic>
                  <pic:nvPicPr>
                    <pic:cNvPr descr="/home/user/SHM-Paper1-1D/manuscript/v4/word/../figures/supplementary/FigS9_multichannel_montecarlo.png" id="54" name="Picture"/>
                    <pic:cNvPicPr>
                      <a:picLocks noChangeArrowheads="1" noChangeAspect="1"/>
                    </pic:cNvPicPr>
                  </pic:nvPicPr>
                  <pic:blipFill>
                    <a:blip r:embed="rId52"/>
                    <a:stretch>
                      <a:fillRect/>
                    </a:stretch>
                  </pic:blipFill>
                  <pic:spPr bwMode="auto">
                    <a:xfrm>
                      <a:off x="0" y="0"/>
                      <a:ext cx="5579999" cy="1835887"/>
                    </a:xfrm>
                    <a:prstGeom prst="rect">
                      <a:avLst/>
                    </a:prstGeom>
                    <a:noFill/>
                    <a:ln w="9525">
                      <a:noFill/>
                      <a:headEnd/>
                      <a:tailEnd/>
                    </a:ln>
                  </pic:spPr>
                </pic:pic>
              </a:graphicData>
            </a:graphic>
          </wp:inline>
        </w:drawing>
      </w:r>
    </w:p>
    <w:p>
      <w:pPr>
        <w:pStyle w:val="BodyText"/>
      </w:pPr>
      <w:r>
        <w:rPr>
          <w:bCs/>
          <w:b/>
        </w:rPr>
        <w:t xml:space="preserve">Fig. S9.</w:t>
      </w:r>
      <w:r>
        <w:t xml:space="preserve"> </w:t>
      </w:r>
      <w:r>
        <w:t xml:space="preserve">Monte Carlo verification: distribution of the load error for a single gauge, GLS and the zero-sum estimator with three gauges, (a) on a 30 + 60 + 30 m beam and (b) on the Cầu Mây girder (calibration A), and (c) scatter against the number of axles relative to theory.</w:t>
      </w:r>
    </w:p>
    <w:p>
      <w:pPr>
        <w:pStyle w:val="BodyText"/>
      </w:pPr>
      <w:r>
        <w:drawing>
          <wp:inline>
            <wp:extent cx="5579999" cy="1935169"/>
            <wp:effectExtent b="0" l="0" r="0" t="0"/>
            <wp:docPr descr="" title="" id="56" name="Picture"/>
            <a:graphic>
              <a:graphicData uri="http://schemas.openxmlformats.org/drawingml/2006/picture">
                <pic:pic>
                  <pic:nvPicPr>
                    <pic:cNvPr descr="/home/user/SHM-Paper1-1D/manuscript/v4/word/../figures/supplementary/FigS10_structure_aware_weights.png" id="57" name="Picture"/>
                    <pic:cNvPicPr>
                      <a:picLocks noChangeArrowheads="1" noChangeAspect="1"/>
                    </pic:cNvPicPr>
                  </pic:nvPicPr>
                  <pic:blipFill>
                    <a:blip r:embed="rId55"/>
                    <a:stretch>
                      <a:fillRect/>
                    </a:stretch>
                  </pic:blipFill>
                  <pic:spPr bwMode="auto">
                    <a:xfrm>
                      <a:off x="0" y="0"/>
                      <a:ext cx="5579999" cy="1935169"/>
                    </a:xfrm>
                    <a:prstGeom prst="rect">
                      <a:avLst/>
                    </a:prstGeom>
                    <a:noFill/>
                    <a:ln w="9525">
                      <a:noFill/>
                      <a:headEnd/>
                      <a:tailEnd/>
                    </a:ln>
                  </pic:spPr>
                </pic:pic>
              </a:graphicData>
            </a:graphic>
          </wp:inline>
        </w:drawing>
      </w:r>
    </w:p>
    <w:p>
      <w:pPr>
        <w:pStyle w:val="BodyText"/>
      </w:pPr>
      <w:r>
        <w:rPr>
          <w:bCs/>
          <w:b/>
        </w:rPr>
        <w:t xml:space="preserve">Fig. S10.</w:t>
      </w:r>
      <w:r>
        <w:t xml:space="preserve"> </w:t>
      </w:r>
      <w:r>
        <w:t xml:space="preserve">Structure-aware weighting functions for two equal spans (Appendix B): (a) weighting functions along the record, (b) white-noise variance relative to uniform weighting against the range of entry shift, (c) configuration-dependent error under a rigidity error in the adjacent span.</w:t>
      </w:r>
    </w:p>
    <w:p>
      <w:pPr>
        <w:pStyle w:val="BodyText"/>
      </w:pPr>
      <w:r>
        <w:drawing>
          <wp:inline>
            <wp:extent cx="5579999" cy="2964374"/>
            <wp:effectExtent b="0" l="0" r="0" t="0"/>
            <wp:docPr descr="" title="" id="59" name="Picture"/>
            <a:graphic>
              <a:graphicData uri="http://schemas.openxmlformats.org/drawingml/2006/picture">
                <pic:pic>
                  <pic:nvPicPr>
                    <pic:cNvPr descr="/home/user/SHM-Paper1-1D/manuscript/v4/word/../figures/supplementary/FigS11_caumay_freq_vs_kappa.png" id="60" name="Picture"/>
                    <pic:cNvPicPr>
                      <a:picLocks noChangeArrowheads="1" noChangeAspect="1"/>
                    </pic:cNvPicPr>
                  </pic:nvPicPr>
                  <pic:blipFill>
                    <a:blip r:embed="rId58"/>
                    <a:stretch>
                      <a:fillRect/>
                    </a:stretch>
                  </pic:blipFill>
                  <pic:spPr bwMode="auto">
                    <a:xfrm>
                      <a:off x="0" y="0"/>
                      <a:ext cx="5579999" cy="2964374"/>
                    </a:xfrm>
                    <a:prstGeom prst="rect">
                      <a:avLst/>
                    </a:prstGeom>
                    <a:noFill/>
                    <a:ln w="9525">
                      <a:noFill/>
                      <a:headEnd/>
                      <a:tailEnd/>
                    </a:ln>
                  </pic:spPr>
                </pic:pic>
              </a:graphicData>
            </a:graphic>
          </wp:inline>
        </w:drawing>
      </w:r>
    </w:p>
    <w:p>
      <w:pPr>
        <w:pStyle w:val="BodyText"/>
      </w:pPr>
      <w:r>
        <w:rPr>
          <w:bCs/>
          <w:b/>
        </w:rPr>
        <w:t xml:space="preserve">Fig. S11.</w:t>
      </w:r>
      <w:r>
        <w:t xml:space="preserve"> </w:t>
      </w:r>
      <w:r>
        <w:t xml:space="preserve">Cầu Mây: first, second and third vertical frequencies against the scaled pier stiffness κ, for low, base and high mass, with the measured band.</w:t>
      </w:r>
    </w:p>
    <w:p>
      <w:pPr>
        <w:pStyle w:val="BodyText"/>
      </w:pPr>
      <w:r>
        <w:drawing>
          <wp:inline>
            <wp:extent cx="5579999" cy="3938823"/>
            <wp:effectExtent b="0" l="0" r="0" t="0"/>
            <wp:docPr descr="" title="" id="62" name="Picture"/>
            <a:graphic>
              <a:graphicData uri="http://schemas.openxmlformats.org/drawingml/2006/picture">
                <pic:pic>
                  <pic:nvPicPr>
                    <pic:cNvPr descr="/home/user/SHM-Paper1-1D/manuscript/v4/word/../figures/supplementary/FigS12_caumay_alpha_k_map.png" id="63" name="Picture"/>
                    <pic:cNvPicPr>
                      <a:picLocks noChangeArrowheads="1" noChangeAspect="1"/>
                    </pic:cNvPicPr>
                  </pic:nvPicPr>
                  <pic:blipFill>
                    <a:blip r:embed="rId61"/>
                    <a:stretch>
                      <a:fillRect/>
                    </a:stretch>
                  </pic:blipFill>
                  <pic:spPr bwMode="auto">
                    <a:xfrm>
                      <a:off x="0" y="0"/>
                      <a:ext cx="5579999" cy="3938823"/>
                    </a:xfrm>
                    <a:prstGeom prst="rect">
                      <a:avLst/>
                    </a:prstGeom>
                    <a:noFill/>
                    <a:ln w="9525">
                      <a:noFill/>
                      <a:headEnd/>
                      <a:tailEnd/>
                    </a:ln>
                  </pic:spPr>
                </pic:pic>
              </a:graphicData>
            </a:graphic>
          </wp:inline>
        </w:drawing>
      </w:r>
    </w:p>
    <w:p>
      <w:pPr>
        <w:pStyle w:val="BodyText"/>
      </w:pPr>
      <w:r>
        <w:rPr>
          <w:bCs/>
          <w:b/>
        </w:rPr>
        <w:t xml:space="preserve">Fig. S12.</w:t>
      </w:r>
      <w:r>
        <w:t xml:space="preserve"> </w:t>
      </w:r>
      <w:r>
        <w:t xml:space="preserve">Cầu Mây: static misfit over the rigidity factor α and the pier stiffness k, with contours of the third vertical frequency equal to the measured values.</w:t>
      </w:r>
    </w:p>
    <w:p>
      <w:pPr>
        <w:pStyle w:val="BodyText"/>
      </w:pPr>
      <w:r>
        <w:drawing>
          <wp:inline>
            <wp:extent cx="5579999" cy="2247499"/>
            <wp:effectExtent b="0" l="0" r="0" t="0"/>
            <wp:docPr descr="" title="" id="65" name="Picture"/>
            <a:graphic>
              <a:graphicData uri="http://schemas.openxmlformats.org/drawingml/2006/picture">
                <pic:pic>
                  <pic:nvPicPr>
                    <pic:cNvPr descr="/home/user/SHM-Paper1-1D/manuscript/v4/word/../figures/supplementary/FigS13_mobius_closedform.png" id="66" name="Picture"/>
                    <pic:cNvPicPr>
                      <a:picLocks noChangeArrowheads="1" noChangeAspect="1"/>
                    </pic:cNvPicPr>
                  </pic:nvPicPr>
                  <pic:blipFill>
                    <a:blip r:embed="rId64"/>
                    <a:stretch>
                      <a:fillRect/>
                    </a:stretch>
                  </pic:blipFill>
                  <pic:spPr bwMode="auto">
                    <a:xfrm>
                      <a:off x="0" y="0"/>
                      <a:ext cx="5579999" cy="2247499"/>
                    </a:xfrm>
                    <a:prstGeom prst="rect">
                      <a:avLst/>
                    </a:prstGeom>
                    <a:noFill/>
                    <a:ln w="9525">
                      <a:noFill/>
                      <a:headEnd/>
                      <a:tailEnd/>
                    </a:ln>
                  </pic:spPr>
                </pic:pic>
              </a:graphicData>
            </a:graphic>
          </wp:inline>
        </w:drawing>
      </w:r>
    </w:p>
    <w:p>
      <w:pPr>
        <w:pStyle w:val="BodyText"/>
      </w:pPr>
      <w:r>
        <w:rPr>
          <w:bCs/>
          <w:b/>
        </w:rPr>
        <w:t xml:space="preserve">Fig. S13.</w:t>
      </w:r>
      <w:r>
        <w:t xml:space="preserve"> </w:t>
      </w:r>
      <w:r>
        <w:t xml:space="preserve">Cầu Mây proportions, prismatic beam: (a) deflection indicators of the side-span and main-span gauges against the relative pier stiffness</w:t>
      </w:r>
      <w:r>
        <w:t xml:space="preserve"> </w:t>
      </w:r>
      <m:oMath>
        <m:acc>
          <m:accPr>
            <m:chr m:val="̂"/>
          </m:accPr>
          <m:e>
            <m:r>
              <m:t>k</m:t>
            </m:r>
          </m:e>
        </m:acc>
      </m:oMath>
      <w:r>
        <w:t xml:space="preserve">, closed form against FE; (b) boundary sensitivity</w:t>
      </w:r>
      <w:r>
        <w:t xml:space="preserve"> </w:t>
      </w:r>
      <m:oMath>
        <m:sSub>
          <m:e>
            <m:r>
              <m:t>B</m:t>
            </m:r>
          </m:e>
          <m:sub>
            <m:r>
              <m:t>m</m:t>
            </m:r>
          </m:sub>
        </m:sSub>
      </m:oMath>
      <w:r>
        <w:t xml:space="preserve">.</w:t>
      </w:r>
    </w:p>
    <w:p>
      <w:pPr>
        <w:pStyle w:val="BodyText"/>
      </w:pPr>
      <w:r>
        <w:drawing>
          <wp:inline>
            <wp:extent cx="5579999" cy="2049877"/>
            <wp:effectExtent b="0" l="0" r="0" t="0"/>
            <wp:docPr descr="" title="" id="68" name="Picture"/>
            <a:graphic>
              <a:graphicData uri="http://schemas.openxmlformats.org/drawingml/2006/picture">
                <pic:pic>
                  <pic:nvPicPr>
                    <pic:cNvPr descr="/home/user/SHM-Paper1-1D/manuscript/v4/word/../figures/supplementary/FigS14_giecuc_phuongdo_baseline.png" id="69" name="Picture"/>
                    <pic:cNvPicPr>
                      <a:picLocks noChangeArrowheads="1" noChangeAspect="1"/>
                    </pic:cNvPicPr>
                  </pic:nvPicPr>
                  <pic:blipFill>
                    <a:blip r:embed="rId67"/>
                    <a:stretch>
                      <a:fillRect/>
                    </a:stretch>
                  </pic:blipFill>
                  <pic:spPr bwMode="auto">
                    <a:xfrm>
                      <a:off x="0" y="0"/>
                      <a:ext cx="5579999" cy="2049877"/>
                    </a:xfrm>
                    <a:prstGeom prst="rect">
                      <a:avLst/>
                    </a:prstGeom>
                    <a:noFill/>
                    <a:ln w="9525">
                      <a:noFill/>
                      <a:headEnd/>
                      <a:tailEnd/>
                    </a:ln>
                  </pic:spPr>
                </pic:pic>
              </a:graphicData>
            </a:graphic>
          </wp:inline>
        </w:drawing>
      </w:r>
    </w:p>
    <w:p>
      <w:pPr>
        <w:pStyle w:val="BodyText"/>
      </w:pPr>
      <w:r>
        <w:rPr>
          <w:bCs/>
          <w:b/>
        </w:rPr>
        <w:t xml:space="preserve">Fig. S14.</w:t>
      </w:r>
      <w:r>
        <w:t xml:space="preserve"> </w:t>
      </w:r>
      <w:r>
        <w:t xml:space="preserve">Deflection records of two simply supported bridges (Gie Cục I and Phương Độ): deviation of the event integral from a linear pre/post baseline for several baseline treatments and high-pass filters.</w:t>
      </w:r>
    </w:p>
    <w:p>
      <w:pPr>
        <w:pStyle w:val="BodyText"/>
      </w:pPr>
      <w:r>
        <w:drawing>
          <wp:inline>
            <wp:extent cx="5579999" cy="5299194"/>
            <wp:effectExtent b="0" l="0" r="0" t="0"/>
            <wp:docPr descr="" title="" id="71" name="Picture"/>
            <a:graphic>
              <a:graphicData uri="http://schemas.openxmlformats.org/drawingml/2006/picture">
                <pic:pic>
                  <pic:nvPicPr>
                    <pic:cNvPr descr="/home/user/SHM-Paper1-1D/manuscript/v4/word/../figures/supplementary/FigS15_giecuc_phuongdo_lowpass.png" id="72" name="Picture"/>
                    <pic:cNvPicPr>
                      <a:picLocks noChangeArrowheads="1" noChangeAspect="1"/>
                    </pic:cNvPicPr>
                  </pic:nvPicPr>
                  <pic:blipFill>
                    <a:blip r:embed="rId70"/>
                    <a:stretch>
                      <a:fillRect/>
                    </a:stretch>
                  </pic:blipFill>
                  <pic:spPr bwMode="auto">
                    <a:xfrm>
                      <a:off x="0" y="0"/>
                      <a:ext cx="5579999" cy="5299194"/>
                    </a:xfrm>
                    <a:prstGeom prst="rect">
                      <a:avLst/>
                    </a:prstGeom>
                    <a:noFill/>
                    <a:ln w="9525">
                      <a:noFill/>
                      <a:headEnd/>
                      <a:tailEnd/>
                    </a:ln>
                  </pic:spPr>
                </pic:pic>
              </a:graphicData>
            </a:graphic>
          </wp:inline>
        </w:drawing>
      </w:r>
    </w:p>
    <w:p>
      <w:pPr>
        <w:pStyle w:val="BodyText"/>
      </w:pPr>
      <w:r>
        <w:rPr>
          <w:bCs/>
          <w:b/>
        </w:rPr>
        <w:t xml:space="preserve">Fig. S15.</w:t>
      </w:r>
      <w:r>
        <w:t xml:space="preserve"> </w:t>
      </w:r>
      <w:r>
        <w:t xml:space="preserve">The same records: (a) deflection relative to the linear baseline, unfiltered and low-pass filtered at 2 Hz; (b) dynamic residual removed by the low-pass filter.</w:t>
      </w:r>
    </w:p>
    <w:bookmarkEnd w:id="73"/>
    <w:bookmarkEnd w:id="74"/>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2026-10-19T08:00:51Z</dcterms:created>
  <dcterms:modified xsi:type="dcterms:W3CDTF">2026-10-19T08:00:51Z</dcterms:modified>
</cp:coreProperties>
</file>

<file path=docProps/custom.xml><?xml version="1.0" encoding="utf-8"?>
<Properties xmlns="http://schemas.openxmlformats.org/officeDocument/2006/custom-properties" xmlns:vt="http://schemas.openxmlformats.org/officeDocument/2006/docPropsVTypes"/>
</file>