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Observability and sensor layout for influence-area load monitoring of continuous girder bridges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with a strain criterion that also holds for haunched girders and indicators that need no reference rigidity, showing that strain gauges are blind at every zero of the uniform-load moment and nearly blind in a band that can contain gauges set back from the piers;</w:t>
      </w:r>
    </w:p>
    <w:p>
      <w:pPr>
        <w:numPr>
          <w:ilvl w:val="0"/>
          <w:numId w:val="1001"/>
        </w:numPr>
        <w:pStyle w:val="BodyText"/>
      </w:pPr>
      <w:r>
        <w:t xml:space="preserve">a placement rule from extreme-point optimal design, optimal sensors at the extremes of the uniform-load response for position-independent noise, together with a field finding from one day of public moving-truck records that weighting gauges by their vehicle-free noise covariance raises the out-of-sample error above that of a plain gauge average;</w:t>
      </w:r>
    </w:p>
    <w:p>
      <w:pPr>
        <w:numPr>
          <w:ilvl w:val="0"/>
          <w:numId w:val="1001"/>
        </w:numPr>
        <w:pStyle w:val="BodyText"/>
      </w:pPr>
      <w:r>
        <w:t xml:space="preserve">an identifiability analysis under uncertain pier stiffness, in which, for a symmetric girder with equal piers, the constant follows a linear-fractional (Möbius) law, applied to an in-service 55 + 90 + 55 m box girder: static acceptance data leave its side-span deflection constant uncertain by a factor of up to 6.6 but bound the main-span constant within a factor of 1.5, and a pier tiltmeter is the most informative additional measurement.</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et al. (2016), and cites recent studies in the journal on vehicle-weight identification (Hao et al., 2019; Zuo et al., 2019) and on influence-line identification and model updating (Lin et al., 2023; Wang et al., 2026). It is about 11,600 word-equivalents with 7 figures and 4 tables;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2026-10-19T17:18:28Z</dcterms:created>
  <dcterms:modified xsi:type="dcterms:W3CDTF">2026-10-19T17:18:28Z</dcterms:modified>
</cp:coreProperties>
</file>

<file path=docProps/custom.xml><?xml version="1.0" encoding="utf-8"?>
<Properties xmlns="http://schemas.openxmlformats.org/officeDocument/2006/custom-properties" xmlns:vt="http://schemas.openxmlformats.org/officeDocument/2006/docPropsVTypes"/>
</file>