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Observability and sensor layout for influence-area load monitoring of continuous girder bridges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 influence-area weighing the total load is the area under a response record divided by an integral constant, which can vanish on a continuous girder because the influence line changes sign over the piers. To guide channel choice before installation, closed forms give the blind loci of five channel types on prismatic girders; on any girder, strain gauges are blind at every zero of the uniform-load moment and nearly blind in a band that can contain gauges set back from the piers. For position-independent noise, optimal sensors lie at the extremes of the uniform-load response. For a symmetric girder with equal piers, the constant is a linear-fractional (Möbius) function of the pier stiffness. A laboratory test is consistent with the identity. Public moving-truck records are consistent with its assumptions within 10–27 % for the gauge average but cannot test weight discrimination; on one day they show that vehicle-free noise covariance misleads multi-channel weighting. On an in-service box girder, two static readings leave the constant of the side-span deflection gauge uncertain by a factor of up to 6.6, against 1.5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One of the present authors, with co-workers,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None of these studies gives closed-form conditions under which the integral of a single channel cannot observe the total load, or says how such conditions shift with uncertain boundary conditions; Zhou et al. (2025) optimized sensor positions numerically.</w:t>
      </w:r>
    </w:p>
    <w:p>
      <w:pPr>
        <w:pStyle w:val="BodyText"/>
      </w:pPr>
      <w:r>
        <w:t xml:space="preserve">This paper supplies such criteria. Neither the influence-area identity nor the generalized least-squares (GLS) estimator is new; the contributions lie in the criteria built on them. (i) We derive a closed-form catalog of blind loci for five channel types on prismatic two- and three-span girders, with a strain criterion, the zeros of the uniform-load moment, that also holds for haunched girders, and two indicators that need no reference rigidity. The zero-moment points and moment parameters are classical; the contribution is their reading as blind and near-blind loci of the weighing integral. At mid-span of two equal spans, strain influence lines cancel less than deflection influence lines: the cancellation ratio, the net influence area divided by its positive part, is</w:t>
      </w:r>
      <w:r>
        <w:t xml:space="preserve"> </w:t>
      </w:r>
      <m:oMath>
        <m:sSub>
          <m:e>
            <m:r>
              <m:t>R</m:t>
            </m:r>
          </m:e>
          <m:sub>
            <m:r>
              <m:t>ε</m:t>
            </m:r>
          </m:sub>
        </m:sSub>
        <m:r>
          <m:rPr>
            <m:sty m:val="p"/>
          </m:rPr>
          <m:t>=</m:t>
        </m:r>
        <m:r>
          <m:t>0.667</m:t>
        </m:r>
      </m:oMath>
      <w:r>
        <w:t xml:space="preserve"> </w:t>
      </w:r>
      <w:r>
        <w:t xml:space="preserve">for strain against</w:t>
      </w:r>
      <w:r>
        <w:t xml:space="preserve"> </w:t>
      </w:r>
      <m:oMath>
        <m:sSub>
          <m:e>
            <m:r>
              <m:t>R</m:t>
            </m:r>
          </m:e>
          <m:sub>
            <m:r>
              <m:t>w</m:t>
            </m:r>
          </m:sub>
        </m:sSub>
        <m:r>
          <m:rPr>
            <m:sty m:val="p"/>
          </m:rPr>
          <m:t>=</m:t>
        </m:r>
        <m:r>
          <m:t>0.571</m:t>
        </m:r>
      </m:oMath>
      <w:r>
        <w:t xml:space="preserve"> </w:t>
      </w:r>
      <w:r>
        <w:t xml:space="preserve">for deflection. Near a zero of the uniform-load moment the order reverses, and every continuous girder has strain blind points. (ii) We apply extreme-point optimal design (Elfving, 1952) to obtain a placement rule: for position-independent noise, optimal sensors lie at the extremes of the uniform-load response. On one day of public moving-truck records, GLS weights built from vehicle-free noise raised the out-of-sample error above that of the gauge average (20.4 % against 11.9 % of gross weight). (iii) We show that, for a symmetric girder with equal piers, the integral constant depends on pier stiffness through a linear-fractional (Möbius) law. On an in-service box girder, two static readings leave the constant of a side-span deflection gauge uncertain by a factor of 6.6 at a two-standard-deviation tolerance, while at the design calibration a pier tiltmeter would reduce the Cramér–Rao bound on the standard deviation of its logarithm from 0.87 to 0.18.</w:t>
      </w:r>
    </w:p>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(8)</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Mây Bridge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sty m:val="p"/>
              </m:rPr>
              <m:t>+</m:t>
            </m:r>
          </m:sup>
        </m:sSup>
      </m:oMath>
      <w:r>
        <w:t xml:space="preserve"> </w:t>
      </w:r>
      <w:r>
        <w:t xml:space="preserve">and</w:t>
      </w:r>
      <w:r>
        <w:t xml:space="preserve"> </w:t>
      </w:r>
      <m:oMath>
        <m:sSup>
          <m:e>
            <m:r>
              <m:t>A</m:t>
            </m:r>
          </m:e>
          <m:sup>
            <m:r>
              <m:rPr>
                <m:sty m:val="p"/>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Equation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(16)</w:t>
            </w:r>
          </w:p>
        </w:tc>
      </w:tr>
    </w:tbl>
    <w:p>
      <w:pPr>
        <w:pStyle w:val="BodyText"/>
      </w:pPr>
      <w:r>
        <w:t xml:space="preserve">Equation (16)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assign to either support seating or the stated masses. The test supports the invariance of Eq. (2) only indirectly, and the predicted blind configuration (spans of 2500 mm and 3644 mm) was not tested.</w:t>
      </w:r>
    </w:p>
    <w:bookmarkEnd w:id="37"/>
    <w:bookmarkStart w:id="47"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bookmarkEnd w:id="41"/>
    <w:bookmarkStart w:id="45" w:name="invariance-lanes-and-gauges"/>
    <w:p>
      <w:pPr>
        <w:pStyle w:val="Heading3"/>
      </w:pPr>
      <w:r>
        <w:t xml:space="preserve">4.2. Invariance, lanes and gauges</w:t>
      </w:r>
    </w:p>
    <w:p>
      <w:pPr>
        <w:pStyle w:val="FirstParagraph"/>
      </w:pPr>
      <w:r>
        <w:t xml:space="preserve">Invariance between trucks can be shown only within margins of 10–27 %. On day 1, the</w:t>
      </w:r>
      <w:r>
        <w:t xml:space="preserve"> </w:t>
      </w:r>
      <m:oMath>
        <m:sSup>
          <m:e>
            <m:r>
              <m:t>χ</m:t>
            </m:r>
          </m:e>
          <m:sup>
            <m:r>
              <m:t>2</m:t>
            </m:r>
          </m:sup>
        </m:sSup>
      </m:oMath>
      <w:r>
        <w:t xml:space="preserve"> </w:t>
      </w:r>
      <w:r>
        <w:t xml:space="preserve">test does not reject consistency with the measured noise for eight of the 12 gauges, but only ch11 shows equal constants for both trucks within ±10 % (Fig. 5a); with 12 tests at the 5 % level, one gauge passing this ±10 % check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(90 % CI 0.76–1.27, used for the equivalence test), so it is a coarse check of linearity and processing. A speed effect was neither resolved nor excluded (Supplementary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Gray band: ±10 %. Red: invariance rejected; blue: equivalent within ±10 %; orange: inconclusive.</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The st36-to-st40 ratio also changes with the lane, by about 2.5 standard errors. Both observations make a spread of gauge factors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S7 and Fig. S10).</w:t>
      </w:r>
    </w:p>
    <w:p>
      <w:pPr>
        <w:pStyle w:val="BodyText"/>
        <w:keepNext/>
      </w:pPr>
      <w:r>
        <w:rPr>
          <w:bCs/>
          <w:b/>
        </w:rPr>
        <w:t xml:space="preserve">Table 2.</w:t>
      </w:r>
      <w:r>
        <w:t xml:space="preserve"> </w:t>
      </w:r>
      <w:r>
        <w:t xml:space="preserve">Mean absolute error (MAE) of the gross weight (% of gross vehicle weight), leave-one-run-out, with 95 % bootstrap CIs over the test runs (</w:t>
      </w:r>
      <m:oMath>
        <m:r>
          <m:t>n</m:t>
        </m:r>
      </m:oMath>
      <w:r>
        <w:t xml:space="preserve"> </w:t>
      </w:r>
      <w:r>
        <w:t xml:space="preserve">= 8 on day 2,</w:t>
      </w:r>
      <w:r>
        <w:t xml:space="preserve"> </w:t>
      </w:r>
      <m:oMath>
        <m:r>
          <m:t>n</m:t>
        </m:r>
      </m:oMath>
      <w:r>
        <w:t xml:space="preserve"> </w:t>
      </w:r>
      <w:r>
        <w:t xml:space="preserve">=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S10, S11 and 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w:t>
      </w:r>
    </w:p>
    <w:bookmarkEnd w:id="51"/>
    <w:bookmarkStart w:id="55" w:name="what-the-static-data-identify"/>
    <w:p>
      <w:pPr>
        <w:pStyle w:val="Heading3"/>
      </w:pPr>
      <w:r>
        <w:t xml:space="preserve">5.2. What the static data identify</w:t>
      </w:r>
    </w:p>
    <w:p>
      <w:pPr>
        <w:pStyle w:val="FirstParagraph"/>
      </w:pPr>
      <w:r>
        <w:t xml:space="preserve">Because of a model-form misfit and the Möbius law of Eq. (15), the static data leave the constant of the side-span gauge N8 uncertain by a factor of 6.6 at the tolerance defined below, whereas that of the main-span gauge N7 is bounded within a factor of 1.5.</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w:t>
      </w:r>
      <w:r>
        <w:t xml:space="preserve"> </w:t>
      </w:r>
      <m:oMath>
        <m:r>
          <m:t>n</m:t>
        </m:r>
      </m:oMath>
      <w:r>
        <w:t xml:space="preserve">,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using the pooled standard error,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S12).</w:t>
      </w:r>
    </w:p>
    <w:p>
      <w:pPr>
        <w:pStyle w:val="BodyText"/>
      </w:pPr>
      <w:r>
        <w:t xml:space="preserve">Over the admissible set,</w:t>
      </w:r>
      <w:r>
        <w:t xml:space="preserve"> </w:t>
      </w:r>
      <m:oMath>
        <m:sSub>
          <m:e>
            <m:r>
              <m:t>C</m:t>
            </m:r>
          </m:e>
          <m:sub>
            <m:r>
              <m:t>8</m:t>
            </m:r>
          </m:sub>
        </m:sSub>
      </m:oMath>
      <w:r>
        <w:t xml:space="preserve"> </w:t>
      </w:r>
      <w:r>
        <w:t xml:space="preserve">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(the upper end requires</w:t>
      </w:r>
      <w:r>
        <w:t xml:space="preserve"> </w:t>
      </w:r>
      <m:oMath>
        <m:r>
          <m:t>α</m:t>
        </m:r>
        <m:r>
          <m:rPr>
            <m:sty m:val="p"/>
          </m:rPr>
          <m:t>≈</m:t>
        </m:r>
        <m:r>
          <m:t>0.5</m:t>
        </m:r>
      </m:oMath>
      <w:r>
        <w:t xml:space="preserve">; Table 3, note b), whereas</w:t>
      </w:r>
      <w:r>
        <w:t xml:space="preserve"> </w:t>
      </w:r>
      <m:oMath>
        <m:sSub>
          <m:e>
            <m:r>
              <m:t>C</m:t>
            </m:r>
          </m:e>
          <m:sub>
            <m:r>
              <m:t>7</m:t>
            </m:r>
          </m:sub>
        </m:sSub>
      </m:oMath>
      <w:r>
        <w:t xml:space="preserve"> </w:t>
      </w:r>
      <w:r>
        <w:t xml:space="preserve">stays within</w:t>
      </w:r>
      <w:r>
        <w:t xml:space="preserve"> </w:t>
      </w:r>
      <m:oMath>
        <m:r>
          <m:t>3.3</m:t>
        </m:r>
      </m:oMath>
      <w:r>
        <w:t xml:space="preserve">–</w:t>
      </w:r>
      <m:oMath>
        <m:r>
          <m:t>5.0</m:t>
        </m:r>
        <m:r>
          <m:rPr>
            <m:sty m:val="p"/>
          </m:rPr>
          <m:t>×</m:t>
        </m:r>
        <m:sSup>
          <m:e>
            <m:r>
              <m:t>10</m:t>
            </m:r>
          </m:e>
          <m:sup>
            <m:r>
              <m:rPr>
                <m:sty m:val="p"/>
              </m:rPr>
              <m:t>−</m:t>
            </m:r>
            <m:r>
              <m:t>4</m:t>
            </m:r>
          </m:sup>
        </m:sSup>
      </m:oMath>
      <w:r>
        <w:t xml:space="preserve"> </w:t>
      </w:r>
      <w:r>
        <w:t xml:space="preserve">m²/kN; the N8 indicator spans 0.124–0.822 against 0.190–0.286 for N7 (Table 3). In the base model,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the haunch-length variants (</w:t>
      </w:r>
      <m:oMath>
        <m:sSub>
          <m:e>
            <m:r>
              <m:t>L</m:t>
            </m:r>
          </m:e>
          <m:sub>
            <m:r>
              <m:rPr>
                <m:sty m:val="p"/>
              </m:rPr>
              <m:t>v</m:t>
            </m:r>
          </m:sub>
        </m:sSub>
      </m:oMath>
      <w:r>
        <w:t xml:space="preserve"> </w:t>
      </w:r>
      <w:r>
        <w:t xml:space="preserve">= 40–45 m). Values at mid side span: Supplementary Table S14.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blHeader w:val="true"/>
          <w:cantSplit/>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77"/>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9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388"/>
          </w:tcPr>
          <w:p>
            <w:pPr>
              <w:pStyle w:val="Compact"/>
              <w:jc w:val="left"/>
            </w:pPr>
            <w:r>
              <w:t xml:space="preserve">Prismatic beam, pinned piers</w:t>
            </w:r>
          </w:p>
        </w:tc>
        <w:tc>
          <w:tcPr>
            <w:tcW w:type="dxa" w:w="1919"/>
          </w:tcPr>
          <w:p>
            <w:pPr>
              <w:pStyle w:val="Compact"/>
              <w:jc w:val="right"/>
            </w:pPr>
            <w:r>
              <w:t xml:space="preserve">0.287</w:t>
            </w:r>
          </w:p>
        </w:tc>
        <w:tc>
          <w:tcPr>
            <w:tcW w:type="dxa" w:w="1777"/>
          </w:tcPr>
          <w:p>
            <w:pPr>
              <w:pStyle w:val="Compact"/>
              <w:jc w:val="right"/>
            </w:pPr>
            <w:r>
              <w:t xml:space="preserve">0.755</w:t>
            </w:r>
          </w:p>
        </w:tc>
        <w:tc>
          <w:tcPr>
            <w:tcW w:type="dxa" w:w="1492"/>
          </w:tcPr>
          <w:p>
            <w:pPr>
              <w:pStyle w:val="Compact"/>
              <w:jc w:val="right"/>
            </w:pPr>
            <w:r>
              <w:t xml:space="preserve">0.14</w:t>
            </w:r>
          </w:p>
        </w:tc>
        <w:tc>
          <w:tcPr>
            <w:tcW w:type="dxa" w:w="1492"/>
          </w:tcPr>
          <w:p>
            <w:pPr>
              <w:pStyle w:val="Compact"/>
              <w:jc w:val="right"/>
            </w:pPr>
            <w:r>
              <w:t xml:space="preserve">0.70</w:t>
            </w:r>
          </w:p>
        </w:tc>
      </w:tr>
      <w:tr>
        <w:trPr>
          <w:cantSplit/>
        </w:trPr>
        <w:tc>
          <w:tcPr>
            <w:tcW w:type="dxa" w:w="2388"/>
          </w:tcPr>
          <w:p>
            <w:pPr>
              <w:pStyle w:val="Compact"/>
              <w:jc w:val="left"/>
            </w:pPr>
            <w:r>
              <w:t xml:space="preserve">Haunched, calibration A</w:t>
            </w:r>
          </w:p>
        </w:tc>
        <w:tc>
          <w:tcPr>
            <w:tcW w:type="dxa" w:w="1919"/>
          </w:tcPr>
          <w:p>
            <w:pPr>
              <w:pStyle w:val="Compact"/>
              <w:jc w:val="right"/>
            </w:pPr>
            <w:r>
              <w:t xml:space="preserve">0.181</w:t>
            </w:r>
          </w:p>
        </w:tc>
        <w:tc>
          <w:tcPr>
            <w:tcW w:type="dxa" w:w="1777"/>
          </w:tcPr>
          <w:p>
            <w:pPr>
              <w:pStyle w:val="Compact"/>
              <w:jc w:val="right"/>
            </w:pPr>
            <w:r>
              <w:t xml:space="preserve">0.209</w:t>
            </w:r>
          </w:p>
        </w:tc>
        <w:tc>
          <w:tcPr>
            <w:tcW w:type="dxa" w:w="1492"/>
          </w:tcPr>
          <w:p>
            <w:pPr>
              <w:pStyle w:val="Compact"/>
              <w:jc w:val="right"/>
            </w:pPr>
            <w:r>
              <w:t xml:space="preserve">0.18</w:t>
            </w:r>
          </w:p>
        </w:tc>
        <w:tc>
          <w:tcPr>
            <w:tcW w:type="dxa" w:w="1492"/>
          </w:tcPr>
          <w:p>
            <w:pPr>
              <w:pStyle w:val="Compact"/>
              <w:jc w:val="right"/>
            </w:pPr>
            <w:r>
              <w:t xml:space="preserve">0.59</w:t>
            </w:r>
          </w:p>
        </w:tc>
      </w:tr>
      <w:tr>
        <w:trPr>
          <w:cantSplit/>
        </w:trPr>
        <w:tc>
          <w:tcPr>
            <w:tcW w:type="dxa" w:w="2388"/>
          </w:tcPr>
          <w:p>
            <w:pPr>
              <w:pStyle w:val="Compact"/>
              <w:jc w:val="left"/>
            </w:pPr>
            <w:r>
              <w:t xml:space="preserve">Haunched, calibration B</w:t>
            </w:r>
          </w:p>
        </w:tc>
        <w:tc>
          <w:tcPr>
            <w:tcW w:type="dxa" w:w="1919"/>
          </w:tcPr>
          <w:p>
            <w:pPr>
              <w:pStyle w:val="Compact"/>
              <w:jc w:val="right"/>
            </w:pPr>
            <w:r>
              <w:t xml:space="preserve">0.476ᵃ</w:t>
            </w:r>
          </w:p>
        </w:tc>
        <w:tc>
          <w:tcPr>
            <w:tcW w:type="dxa" w:w="1777"/>
          </w:tcPr>
          <w:p>
            <w:pPr>
              <w:pStyle w:val="Compact"/>
              <w:jc w:val="right"/>
            </w:pPr>
            <w:r>
              <w:t xml:space="preserve">0.234</w:t>
            </w:r>
          </w:p>
        </w:tc>
        <w:tc>
          <w:tcPr>
            <w:tcW w:type="dxa" w:w="1492"/>
          </w:tcPr>
          <w:p>
            <w:pPr>
              <w:pStyle w:val="Compact"/>
              <w:jc w:val="right"/>
            </w:pPr>
            <w:r>
              <w:t xml:space="preserve">0.56</w:t>
            </w:r>
          </w:p>
        </w:tc>
        <w:tc>
          <w:tcPr>
            <w:tcW w:type="dxa" w:w="1492"/>
          </w:tcPr>
          <w:p>
            <w:pPr>
              <w:pStyle w:val="Compact"/>
              <w:jc w:val="right"/>
            </w:pPr>
            <w:r>
              <w:t xml:space="preserve">0.77</w:t>
            </w:r>
          </w:p>
        </w:tc>
      </w:tr>
      <w:tr>
        <w:trPr>
          <w:cantSplit/>
        </w:trPr>
        <w:tc>
          <w:tcPr>
            <w:tcW w:type="dxa" w:w="2388"/>
          </w:tcPr>
          <w:p>
            <w:pPr>
              <w:pStyle w:val="Compact"/>
              <w:jc w:val="left"/>
            </w:pPr>
            <w:r>
              <w:t xml:space="preserve">Haunched, admissible set</w:t>
            </w:r>
          </w:p>
        </w:tc>
        <w:tc>
          <w:tcPr>
            <w:tcW w:type="dxa" w:w="1919"/>
          </w:tcPr>
          <w:p>
            <w:pPr>
              <w:pStyle w:val="Compact"/>
              <w:jc w:val="right"/>
            </w:pPr>
            <w:r>
              <w:t xml:space="preserve">0.124–0.822ᵇ</w:t>
            </w:r>
          </w:p>
        </w:tc>
        <w:tc>
          <w:tcPr>
            <w:tcW w:type="dxa" w:w="1777"/>
          </w:tcPr>
          <w:p>
            <w:pPr>
              <w:pStyle w:val="Compact"/>
              <w:jc w:val="right"/>
            </w:pPr>
            <w:r>
              <w:t xml:space="preserve">0.190–0.286</w:t>
            </w:r>
          </w:p>
        </w:tc>
        <w:tc>
          <w:tcPr>
            <w:tcW w:type="dxa" w:w="1492"/>
          </w:tcPr>
          <w:p>
            <w:pPr>
              <w:pStyle w:val="Compact"/>
              <w:jc w:val="right"/>
            </w:pPr>
            <w:r>
              <w:t xml:space="preserve">0.13–1.00</w:t>
            </w:r>
          </w:p>
        </w:tc>
        <w:tc>
          <w:tcPr>
            <w:tcW w:type="dxa" w:w="1492"/>
          </w:tcPr>
          <w:p>
            <w:pPr>
              <w:pStyle w:val="Compact"/>
              <w:jc w:val="right"/>
            </w:pPr>
            <w:r>
              <w:t xml:space="preserve">0.56–1.00</w:t>
            </w:r>
          </w:p>
        </w:tc>
      </w:tr>
      <w:tr>
        <w:trPr>
          <w:cantSplit/>
        </w:trPr>
        <w:tc>
          <w:tcPr>
            <w:tcW w:type="dxa" w:w="2388"/>
          </w:tcPr>
          <w:p>
            <w:pPr>
              <w:pStyle w:val="Compact"/>
              <w:jc w:val="left"/>
            </w:pPr>
            <w:r>
              <w:t xml:space="preserve">Haunched, pinned piers</w:t>
            </w:r>
          </w:p>
        </w:tc>
        <w:tc>
          <w:tcPr>
            <w:tcW w:type="dxa" w:w="1919"/>
          </w:tcPr>
          <w:p>
            <w:pPr>
              <w:pStyle w:val="Compact"/>
              <w:jc w:val="right"/>
            </w:pPr>
            <w:r>
              <w:t xml:space="preserve">0.023</w:t>
            </w:r>
          </w:p>
        </w:tc>
        <w:tc>
          <w:tcPr>
            <w:tcW w:type="dxa" w:w="1777"/>
          </w:tcPr>
          <w:p>
            <w:pPr>
              <w:pStyle w:val="Compact"/>
              <w:jc w:val="right"/>
            </w:pPr>
            <w:r>
              <w:t xml:space="preserve">0.263</w:t>
            </w:r>
          </w:p>
        </w:tc>
        <w:tc>
          <w:tcPr>
            <w:tcW w:type="dxa" w:w="1492"/>
          </w:tcPr>
          <w:p>
            <w:pPr>
              <w:pStyle w:val="Compact"/>
              <w:jc w:val="right"/>
            </w:pPr>
            <w:r>
              <w:t xml:space="preserve">–</w:t>
            </w:r>
          </w:p>
        </w:tc>
        <w:tc>
          <w:tcPr>
            <w:tcW w:type="dxa" w:w="1492"/>
          </w:tcPr>
          <w:p>
            <w:pPr>
              <w:pStyle w:val="Compact"/>
              <w:jc w:val="right"/>
            </w:pPr>
            <w:r>
              <w:t xml:space="preserve">–</w:t>
            </w:r>
          </w:p>
        </w:tc>
      </w:tr>
      <w:tr>
        <w:trPr>
          <w:cantSplit/>
        </w:trPr>
        <w:tc>
          <w:tcPr>
            <w:tcW w:type="dxa" w:w="2388"/>
          </w:tcPr>
          <w:p>
            <w:pPr>
              <w:pStyle w:val="Compact"/>
              <w:jc w:val="left"/>
            </w:pPr>
            <w:r>
              <w:t xml:space="preserve">Haunched, fixed piers</w:t>
            </w:r>
          </w:p>
        </w:tc>
        <w:tc>
          <w:tcPr>
            <w:tcW w:type="dxa" w:w="1919"/>
          </w:tcPr>
          <w:p>
            <w:pPr>
              <w:pStyle w:val="Compact"/>
              <w:jc w:val="right"/>
            </w:pPr>
            <w:r>
              <w:t xml:space="preserve">0.446</w:t>
            </w:r>
          </w:p>
        </w:tc>
        <w:tc>
          <w:tcPr>
            <w:tcW w:type="dxa" w:w="1777"/>
          </w:tcPr>
          <w:p>
            <w:pPr>
              <w:pStyle w:val="Compact"/>
              <w:jc w:val="right"/>
            </w:pPr>
            <w:r>
              <w:t xml:space="preserve">0.145</w:t>
            </w:r>
          </w:p>
        </w:tc>
        <w:tc>
          <w:tcPr>
            <w:tcW w:type="dxa" w:w="1492"/>
          </w:tcPr>
          <w:p>
            <w:pPr>
              <w:pStyle w:val="Compact"/>
              <w:jc w:val="right"/>
            </w:pPr>
            <w:r>
              <w:t xml:space="preserve">–</w:t>
            </w:r>
          </w:p>
        </w:tc>
        <w:tc>
          <w:tcPr>
            <w:tcW w:type="dxa" w:w="1492"/>
          </w:tcPr>
          <w:p>
            <w:pPr>
              <w:pStyle w:val="Compact"/>
              <w:jc w:val="right"/>
            </w:pPr>
            <w:r>
              <w:t xml:space="preserve">–</w:t>
            </w:r>
          </w:p>
        </w:tc>
      </w:tr>
    </w:tbl>
    <w:p>
      <w:pPr>
        <w:pStyle w:val="BodyText"/>
      </w:pPr>
      <w:r>
        <w:t xml:space="preserve">ᵃ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and one fifth at the pier face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in variance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keepNext/>
      </w:pPr>
      <w:r>
        <w:rPr>
          <w:bCs/>
          <w:b/>
        </w:rPr>
        <w:t xml:space="preserve">Table 4.</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For position-independent noise,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constant of the side-span deflection gauge uncertain by a factor of 6.6 at a two-standard-deviation tolerance, whereas the main-span constant is bounded within a factor of 1.5; at the design calibration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10–27 % that the noise resolves, although four day-1 gauges without axle spikes differed by 22–26 % between trucks, with speed confounded; each lane and deck gauge needed its own constant. On one day, GLS weights from vehicle-free noise were worse out of sample than the gauge average (20.4 % against 11.9 %), consistent with the much lower correlation of crossing residuals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and Mây Bridge data, the analysis scripts with the console output of each run, and the derived data behind every figure and table are provided as Supplementary Material.</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ind w:left="425" w:hanging="425"/>
        <w:jc w:val="left"/>
      </w:pPr>
      <w:r>
        <w:t xml:space="preserve">Agüero-Barrantes P, Lobo Aguilar S and Christenson RE (2021) Sparse sensing bridge weigh-in-motion for single-span bridges. Métodos y Materiales 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Elfving G (1952) Optimum allocation in linear regression theory. Annals of Mathematical Statistics 23(2): 255–262. DOI: 10.1214/aoms/1177729442.</w:t>
      </w:r>
    </w:p>
    <w:p>
      <w:pPr>
        <w:pStyle w:val="BodyText"/>
        <w:ind w:left="425" w:hanging="425"/>
        <w:jc w:val="left"/>
      </w:pPr>
      <w:r>
        <w:t xml:space="preserve">Fan Y, Zhu J, Pei J, Li Z and Wu Y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Hao T, Xie Z and Yu M (2019) The identification technology of vehicle weight based on bridge strain time-history curve. Advances in Structural Engineering 22(7): 1606–1616. DOI: 10.1177/1369433218823487.</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Katafygiotis LS and Beck JL (1998) Updating models and their uncertainties. II: Model identifiability. Journal of Engineering Mechanics 124(4): 463–467. DOI: 10.1061/(ASCE)0733-9399(1998)124:4(463).</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Lin SW, Du YL, Yi TH and Yang DH (2023) Influence lines-based model updating of suspension bridges considering boundary conditions. Advances in Structural Engineering 26(2): 316–328. DOI: 10.1177/13694332221126374.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Papadimitriou C (2004) Optimal sensor placement methodology for parametric identification of structural systems. Journal of Sound and Vibration 278(4–5): 923–947. DOI: 10.1016/j.jsv.2003.10.063.</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Udwadia FE (1994) Methodology for optimum sensor locations for parameter identification in dynamic systems. Journal of Engineering Mechanics 120(2): 368–390. DOI: 10.1061/(ASCE)0733-9399(1994)120:2(368).</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 Advances in Structural Engineering 29(4): 779–792. DOI: 10.1177/13694332251363355.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Yang C and Zhang Y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2026(1): 1361157. DOI: 10.1155/stc/1361157.</w:t>
      </w:r>
    </w:p>
    <w:p>
      <w:pPr>
        <w:pStyle w:val="BodyText"/>
        <w:ind w:left="425" w:hanging="425"/>
        <w:jc w:val="left"/>
      </w:pPr>
      <w:r>
        <w:t xml:space="preserve">Zhu J, Wang C, Qi T and Zhou Z (2022) Vehicle load identification on orthotropic steel box beam bridge based on the strain response area. Applied Sciences 12(23): 12394. DOI: 10.3390/app122312394.</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 Advances in Structural Engineering 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2026-10-19T17:18:27Z</dcterms:created>
  <dcterms:modified xsi:type="dcterms:W3CDTF">2026-10-19T17:18:27Z</dcterms:modified>
</cp:coreProperties>
</file>

<file path=docProps/custom.xml><?xml version="1.0" encoding="utf-8"?>
<Properties xmlns="http://schemas.openxmlformats.org/officeDocument/2006/custom-properties" xmlns:vt="http://schemas.openxmlformats.org/officeDocument/2006/docPropsVTypes"/>
</file>