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e84059547080af466f9bb5675d2e24099a46e6a"/>
    <w:p>
      <w:pPr>
        <w:pStyle w:val="Heading1"/>
      </w:pPr>
      <w:r>
        <w:t xml:space="preserve">Blind loci and design criteria for integral load-monitoring channels on continuous girder bridges, with laboratory verification and an assessment on public field records</w:t>
      </w:r>
    </w:p>
    <w:p>
      <w:pPr>
        <w:pStyle w:val="FirstParagraph"/>
      </w:pPr>
      <w:r>
        <w:t xml:space="preserve">Quoc-Bao Nguyen</w:t>
      </w:r>
      <w:r>
        <w:rPr>
          <w:vertAlign w:val="superscript"/>
        </w:rPr>
        <w:t xml:space="preserve">a</w:t>
      </w:r>
      <w:r>
        <w:t xml:space="preserve">, Thai-Son Vu</w:t>
      </w:r>
      <w:r>
        <w:rPr>
          <w:vertAlign w:val="superscript"/>
        </w:rPr>
        <w:t xml:space="preserve">a,*</w:t>
      </w:r>
      <w:r>
        <w:t xml:space="preserve">, Hung-Son Nguyen</w:t>
      </w:r>
      <w:r>
        <w:rPr>
          <w:vertAlign w:val="superscript"/>
        </w:rPr>
        <w:t xml:space="preserve">a</w:t>
      </w:r>
    </w:p>
    <w:p>
      <w:pPr>
        <w:pStyle w:val="BodyText"/>
      </w:pPr>
      <w:r>
        <w:rPr>
          <w:vertAlign w:val="superscript"/>
        </w:rPr>
        <w:t xml:space="preserve">a</w:t>
      </w:r>
      <w:r>
        <w:t xml:space="preserve"> </w:t>
      </w:r>
      <w:r>
        <w:t xml:space="preserve">Faculty of Bridge and Road Engineering, Hanoi University of Civil Engineering, 55 Giai Phong, Bach Mai ward, 11618 Ha Noi, Viet Nam</w:t>
      </w:r>
    </w:p>
    <w:p>
      <w:pPr>
        <w:pStyle w:val="BodyText"/>
      </w:pPr>
      <w:r>
        <w:t xml:space="preserve">* Corresponding author: Thai-Son Vu. Tel.: +84 971 899 888. E-mail: sonvt2@huce.edu.vn</w:t>
      </w:r>
    </w:p>
    <w:p>
      <w:pPr>
        <w:pStyle w:val="BodyText"/>
      </w:pPr>
      <w:r>
        <w:t xml:space="preserve">E-mail addresses: baonq@huce.edu.vn (Q.-B. Nguyen), sonvt2@huce.edu.vn (T.-S. Vu), sonnh@huce.edu.vn (H.-S. Nguyen)</w:t>
      </w:r>
    </w:p>
    <w:bookmarkStart w:id="20" w:name="abstract"/>
    <w:p>
      <w:pPr>
        <w:pStyle w:val="Heading2"/>
      </w:pPr>
      <w:r>
        <w:t xml:space="preserve">Abstract</w:t>
      </w:r>
    </w:p>
    <w:p>
      <w:pPr>
        <w:pStyle w:val="FirstParagraph"/>
      </w:pPr>
      <w:r>
        <w:t xml:space="preserve">Influence-area weigh-in-motion estimates gross vehicle weight from the area under a response record. On a continuous girder, positive and negative parts of the influence line can cancel, leaving a gauge blind to the load. This paper gives criteria for choosing, before installation, channels that observe the total load. They build on the influence-area identity: the area under a record equals the load times the channel’s response to a uniform unit load, the integral constant. Closed forms give the blind loci of five channel types (deflection, strain, rotation, shear, reaction) on continuous and haunched girders. Strain gauges are blind wherever the uniform-load moment vanishes, and nearly blind in a band around these points. A cancellation ratio separates cancellation from restraint. Optimal sensors lie at the extremes of the uniform-load response. A closed-form law gives the integral constant as a function of uncertain pier stiffness. A static test on a laboratory two-span beam confirms the identity. On public moving-truck records from a five-span box girder, invariance of the constant could be shown only within margins of 10–27 %, and the narrow range of reference weights did not allow weight discrimination to be tested. Generalised least-squares weights estimated from vehicle-free noise performed worse out of sample than the gauge average, because crossing residuals are much less correlated between gauges than vehicle-free noise. On an in-service three-span box girder, two static readings leave the constant of a side-span deflection gauge uncertain by a factor of 6.6, while the main-span gauge is well determined.</w:t>
      </w:r>
    </w:p>
    <w:p>
      <w:pPr>
        <w:pStyle w:val="BodyText"/>
      </w:pPr>
      <w:r>
        <w:rPr>
          <w:bCs/>
          <w:b/>
        </w:rPr>
        <w:t xml:space="preserve">Keywords:</w:t>
      </w:r>
      <w:r>
        <w:t xml:space="preserve"> </w:t>
      </w:r>
      <w:r>
        <w:t xml:space="preserve">Structural health monitoring; Sensor placement; Bridge weigh-in-motion; Continuous girder; Identifiability; Field assessment</w:t>
      </w:r>
    </w:p>
    <w:bookmarkEnd w:id="20"/>
    <w:bookmarkStart w:id="21" w:name="nomenclature"/>
    <w:p>
      <w:pPr>
        <w:pStyle w:val="Heading2"/>
      </w:pPr>
      <w:r>
        <w:t xml:space="preserve">Nomenclature</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2892"/>
        <w:gridCol w:w="6177"/>
      </w:tblGrid>
      <w:tr>
        <w:trPr>
          <w:tblHeader w:val="true"/>
        </w:trPr>
        <w:tc>
          <w:tcPr>
            <w:tcW w:type="dxa" w:w="2892"/>
            <w:tcBorders>
              <w:top w:val="nil"/>
              <w:left w:val="nil"/>
              <w:bottom w:val="single" w:sz="6" w:space="0" w:color="000000"/>
              <w:right w:val="nil"/>
            </w:tcBorders>
          </w:tcPr>
          <w:p>
            <w:pPr>
              <w:pStyle w:val="Compact"/>
              <w:jc w:val="left"/>
            </w:pPr>
            <w:r>
              <w:t xml:space="preserve">Symbol</w:t>
            </w:r>
          </w:p>
        </w:tc>
        <w:tc>
          <w:tcPr>
            <w:tcW w:type="dxa" w:w="6177"/>
            <w:tcBorders>
              <w:top w:val="nil"/>
              <w:left w:val="nil"/>
              <w:bottom w:val="single" w:sz="6" w:space="0" w:color="000000"/>
              <w:right w:val="nil"/>
            </w:tcBorders>
          </w:tcPr>
          <w:p>
            <w:pPr>
              <w:pStyle w:val="Compact"/>
              <w:jc w:val="left"/>
            </w:pPr>
            <w:r>
              <w:t xml:space="preserve">Meaning</w:t>
            </w:r>
          </w:p>
        </w:tc>
      </w:tr>
      <w:tr>
        <w:tc>
          <w:tcPr>
            <w:tcW w:type="dxa" w:w="2892"/>
          </w:tcPr>
          <w:p>
            <w:pPr>
              <w:pStyle w:val="Compact"/>
              <w:jc w:val="left"/>
            </w:pPr>
            <m:oMath>
              <m:sSup>
                <m:e>
                  <m:r>
                    <m:t>A</m:t>
                  </m:r>
                </m:e>
                <m:sup>
                  <m:r>
                    <m:rPr>
                      <m:sty m:val="p"/>
                    </m:rPr>
                    <m:t>+</m:t>
                  </m:r>
                </m:sup>
              </m:sSup>
            </m:oMath>
          </w:p>
        </w:tc>
        <w:tc>
          <w:tcPr>
            <w:tcW w:type="dxa" w:w="6177"/>
          </w:tcPr>
          <w:p>
            <w:pPr>
              <w:pStyle w:val="Compact"/>
              <w:jc w:val="left"/>
            </w:pPr>
            <w:r>
              <w:t xml:space="preserve">positive part of the area under an influence line</w:t>
            </w:r>
          </w:p>
        </w:tc>
      </w:tr>
      <w:tr>
        <w:tc>
          <w:tcPr>
            <w:tcW w:type="dxa" w:w="2892"/>
          </w:tcPr>
          <w:p>
            <w:pPr>
              <w:pStyle w:val="Compact"/>
              <w:jc w:val="left"/>
            </w:pPr>
            <m:oMath>
              <m:r>
                <m:t>a</m:t>
              </m:r>
            </m:oMath>
          </w:p>
        </w:tc>
        <w:tc>
          <w:tcPr>
            <w:tcW w:type="dxa" w:w="6177"/>
          </w:tcPr>
          <w:p>
            <w:pPr>
              <w:pStyle w:val="Compact"/>
              <w:jc w:val="left"/>
            </w:pPr>
            <w:r>
              <w:t xml:space="preserve">vector of channel weights of a multi-channel estimator</w:t>
            </w:r>
          </w:p>
        </w:tc>
      </w:tr>
      <w:tr>
        <w:tc>
          <w:tcPr>
            <w:tcW w:type="dxa" w:w="2892"/>
          </w:tcPr>
          <w:p>
            <w:pPr>
              <w:pStyle w:val="Compact"/>
              <w:jc w:val="left"/>
            </w:pPr>
            <m:oMath>
              <m:r>
                <m:t>b</m:t>
              </m:r>
            </m:oMath>
          </w:p>
        </w:tc>
        <w:tc>
          <w:tcPr>
            <w:tcW w:type="dxa" w:w="6177"/>
          </w:tcPr>
          <w:p>
            <w:pPr>
              <w:pStyle w:val="Compact"/>
              <w:jc w:val="left"/>
            </w:pPr>
            <w:r>
              <w:t xml:space="preserve">relative bias of the load caused by a residual offset, Eq. (12)</w:t>
            </w:r>
          </w:p>
        </w:tc>
      </w:tr>
      <w:tr>
        <w:tc>
          <w:tcPr>
            <w:tcW w:type="dxa" w:w="2892"/>
          </w:tcPr>
          <w:p>
            <w:pPr>
              <w:pStyle w:val="Compact"/>
              <w:jc w:val="left"/>
            </w:pPr>
            <m:oMath>
              <m:sSub>
                <m:e>
                  <m:r>
                    <m:t>B</m:t>
                  </m:r>
                </m:e>
                <m:sub>
                  <m:r>
                    <m:t>m</m:t>
                  </m:r>
                </m:sub>
              </m:sSub>
            </m:oMath>
          </w:p>
        </w:tc>
        <w:tc>
          <w:tcPr>
            <w:tcW w:type="dxa" w:w="6177"/>
          </w:tcPr>
          <w:p>
            <w:pPr>
              <w:pStyle w:val="Compact"/>
              <w:jc w:val="left"/>
            </w:pPr>
            <w:r>
              <w:t xml:space="preserve">boundary sensitivity</w:t>
            </w:r>
            <w:r>
              <w:t xml:space="preserve"> </w:t>
            </w:r>
            <m:oMath>
              <m:r>
                <m:rPr>
                  <m:sty m:val="p"/>
                </m:rPr>
                <m:t>|</m:t>
              </m:r>
              <m:r>
                <m:rPr>
                  <m:sty m:val="p"/>
                </m:rPr>
                <m:t>∂</m:t>
              </m:r>
              <m:r>
                <m:rPr>
                  <m:sty m:val="p"/>
                </m:rPr>
                <m:t>ln</m:t>
              </m:r>
              <m:sSub>
                <m:e>
                  <m:r>
                    <m:t>C</m:t>
                  </m:r>
                </m:e>
                <m:sub>
                  <m:r>
                    <m:t>m</m:t>
                  </m:r>
                </m:sub>
              </m:sSub>
              <m:r>
                <m:rPr>
                  <m:sty m:val="p"/>
                </m:rPr>
                <m:t>/</m:t>
              </m:r>
              <m:r>
                <m:rPr>
                  <m:sty m:val="p"/>
                </m:rPr>
                <m:t>∂</m:t>
              </m:r>
              <m:r>
                <m:rPr>
                  <m:sty m:val="p"/>
                </m:rPr>
                <m:t>ln</m:t>
              </m:r>
              <m:r>
                <m:t>κ</m:t>
              </m:r>
              <m:r>
                <m:rPr>
                  <m:sty m:val="p"/>
                </m:rPr>
                <m:t>|</m:t>
              </m:r>
            </m:oMath>
          </w:p>
        </w:tc>
      </w:tr>
      <w:tr>
        <w:tc>
          <w:tcPr>
            <w:tcW w:type="dxa" w:w="2892"/>
          </w:tcPr>
          <w:p>
            <w:pPr>
              <w:pStyle w:val="Compact"/>
              <w:jc w:val="left"/>
            </w:pPr>
            <m:oMath>
              <m:sSub>
                <m:e>
                  <m:r>
                    <m:t>C</m:t>
                  </m:r>
                </m:e>
                <m:sub>
                  <m:r>
                    <m:t>0</m:t>
                  </m:r>
                </m:sub>
              </m:sSub>
            </m:oMath>
            <w:r>
              <w:t xml:space="preserve">,</w:t>
            </w:r>
            <w:r>
              <w:t xml:space="preserve"> </w:t>
            </w:r>
            <m:oMath>
              <m:sSub>
                <m:e>
                  <m:r>
                    <m:t>C</m:t>
                  </m:r>
                </m:e>
                <m:sub>
                  <m:r>
                    <m:rPr>
                      <m:sty m:val="p"/>
                    </m:rPr>
                    <m:t>∞</m:t>
                  </m:r>
                </m:sub>
              </m:sSub>
            </m:oMath>
          </w:p>
        </w:tc>
        <w:tc>
          <w:tcPr>
            <w:tcW w:type="dxa" w:w="6177"/>
          </w:tcPr>
          <w:p>
            <w:pPr>
              <w:pStyle w:val="Compact"/>
              <w:jc w:val="left"/>
            </w:pPr>
            <w:r>
              <w:t xml:space="preserve">integral constant for pinned and for fixed piers at</w:t>
            </w:r>
            <w:r>
              <w:t xml:space="preserve"> </w:t>
            </w:r>
            <m:oMath>
              <m:r>
                <m:t>α</m:t>
              </m:r>
              <m:r>
                <m:rPr>
                  <m:sty m:val="p"/>
                </m:rPr>
                <m:t>=</m:t>
              </m:r>
              <m:r>
                <m:t>1</m:t>
              </m:r>
            </m:oMath>
            <w:r>
              <w:t xml:space="preserve">, Eq. (15)</w:t>
            </w:r>
          </w:p>
        </w:tc>
      </w:tr>
      <w:tr>
        <w:tc>
          <w:tcPr>
            <w:tcW w:type="dxa" w:w="2892"/>
          </w:tcPr>
          <w:p>
            <w:pPr>
              <w:pStyle w:val="Compact"/>
              <w:jc w:val="left"/>
            </w:pPr>
            <m:oMath>
              <m:sSub>
                <m:e>
                  <m:r>
                    <m:t>C</m:t>
                  </m:r>
                </m:e>
                <m:sub>
                  <m:r>
                    <m:t>m</m:t>
                  </m:r>
                </m:sub>
              </m:sSub>
            </m:oMath>
          </w:p>
        </w:tc>
        <w:tc>
          <w:tcPr>
            <w:tcW w:type="dxa" w:w="6177"/>
          </w:tcPr>
          <w:p>
            <w:pPr>
              <w:pStyle w:val="Compact"/>
              <w:jc w:val="left"/>
            </w:pPr>
            <w:r>
              <w:t xml:space="preserve">integral constant of the channel at</w:t>
            </w:r>
            <w:r>
              <w:t xml:space="preserve"> </w:t>
            </w:r>
            <m:oMath>
              <m:r>
                <m:t>m</m:t>
              </m:r>
            </m:oMath>
            <w:r>
              <w:t xml:space="preserve">, Eq. (2) (m²/kN for deflection); called</w:t>
            </w:r>
            <w:r>
              <w:t xml:space="preserve"> </w:t>
            </w:r>
            <w:r>
              <w:t xml:space="preserve">“</w:t>
            </w:r>
            <w:r>
              <w:t xml:space="preserve">the constant</w:t>
            </w:r>
            <w:r>
              <w:t xml:space="preserve">”</w:t>
            </w:r>
            <w:r>
              <w:t xml:space="preserve"> </w:t>
            </w:r>
            <w:r>
              <w:t xml:space="preserve">in the text</w:t>
            </w:r>
          </w:p>
        </w:tc>
      </w:tr>
      <w:tr>
        <w:tc>
          <w:tcPr>
            <w:tcW w:type="dxa" w:w="2892"/>
          </w:tcPr>
          <w:p>
            <w:pPr>
              <w:pStyle w:val="Compact"/>
              <w:jc w:val="left"/>
            </w:pPr>
            <m:oMath>
              <m:sSub>
                <m:e>
                  <m:r>
                    <m:t>C</m:t>
                  </m:r>
                </m:e>
                <m:sub>
                  <m:r>
                    <m:t>ε</m:t>
                  </m:r>
                </m:sub>
              </m:sSub>
            </m:oMath>
            <w:r>
              <w:t xml:space="preserve">,</w:t>
            </w:r>
            <w:r>
              <w:t xml:space="preserve"> </w:t>
            </w:r>
            <m:oMath>
              <m:sSub>
                <m:e>
                  <m:r>
                    <m:t>C</m:t>
                  </m:r>
                </m:e>
                <m:sub>
                  <m:r>
                    <m:t>θ</m:t>
                  </m:r>
                </m:sub>
              </m:sSub>
            </m:oMath>
            <w:r>
              <w:t xml:space="preserve">,</w:t>
            </w:r>
            <w:r>
              <w:t xml:space="preserve"> </w:t>
            </w:r>
            <m:oMath>
              <m:sSub>
                <m:e>
                  <m:r>
                    <m:t>C</m:t>
                  </m:r>
                </m:e>
                <m:sub>
                  <m:r>
                    <m:t>V</m:t>
                  </m:r>
                </m:sub>
              </m:sSub>
            </m:oMath>
          </w:p>
        </w:tc>
        <w:tc>
          <w:tcPr>
            <w:tcW w:type="dxa" w:w="6177"/>
          </w:tcPr>
          <w:p>
            <w:pPr>
              <w:pStyle w:val="Compact"/>
              <w:jc w:val="left"/>
            </w:pPr>
            <w:r>
              <w:t xml:space="preserve">integral constant of a strain, rotation and shear channel</w:t>
            </w:r>
          </w:p>
        </w:tc>
      </w:tr>
      <w:tr>
        <w:tc>
          <w:tcPr>
            <w:tcW w:type="dxa" w:w="2892"/>
          </w:tcPr>
          <w:p>
            <w:pPr>
              <w:pStyle w:val="Compact"/>
              <w:jc w:val="left"/>
            </w:pPr>
            <m:oMath>
              <m:r>
                <m:t>c</m:t>
              </m:r>
            </m:oMath>
          </w:p>
        </w:tc>
        <w:tc>
          <w:tcPr>
            <w:tcW w:type="dxa" w:w="6177"/>
          </w:tcPr>
          <w:p>
            <w:pPr>
              <w:pStyle w:val="Compact"/>
              <w:jc w:val="left"/>
            </w:pPr>
            <w:r>
              <w:t xml:space="preserve">distance of the gauged fibre from the neutral axis (m)</w:t>
            </w:r>
          </w:p>
        </w:tc>
      </w:tr>
      <w:tr>
        <w:tc>
          <w:tcPr>
            <w:tcW w:type="dxa" w:w="2892"/>
          </w:tcPr>
          <w:p>
            <w:pPr>
              <w:pStyle w:val="Compact"/>
              <w:jc w:val="left"/>
            </w:pPr>
            <m:oMath>
              <m:sSub>
                <m:e>
                  <m:r>
                    <m:t>d</m:t>
                  </m:r>
                </m:e>
                <m:sub>
                  <m:r>
                    <m:t>i</m:t>
                  </m:r>
                </m:sub>
              </m:sSub>
            </m:oMath>
          </w:p>
        </w:tc>
        <w:tc>
          <w:tcPr>
            <w:tcW w:type="dxa" w:w="6177"/>
          </w:tcPr>
          <w:p>
            <w:pPr>
              <w:pStyle w:val="Compact"/>
              <w:jc w:val="left"/>
            </w:pPr>
            <w:r>
              <w:t xml:space="preserve">distance of axle</w:t>
            </w:r>
            <w:r>
              <w:t xml:space="preserve"> </w:t>
            </w:r>
            <m:oMath>
              <m:r>
                <m:t>i</m:t>
              </m:r>
            </m:oMath>
            <w:r>
              <w:t xml:space="preserve"> </w:t>
            </w:r>
            <w:r>
              <w:t xml:space="preserve">behind the first axle (m)</w:t>
            </w:r>
          </w:p>
        </w:tc>
      </w:tr>
      <w:tr>
        <w:tc>
          <w:tcPr>
            <w:tcW w:type="dxa" w:w="2892"/>
          </w:tcPr>
          <w:p>
            <w:pPr>
              <w:pStyle w:val="Compact"/>
              <w:jc w:val="left"/>
            </w:pPr>
            <m:oMath>
              <m:r>
                <m:t>E</m:t>
              </m:r>
              <m:r>
                <m:t>I</m:t>
              </m:r>
            </m:oMath>
            <w:r>
              <w:t xml:space="preserve">,</w:t>
            </w:r>
            <w:r>
              <w:t xml:space="preserve"> </w:t>
            </w:r>
            <m:oMath>
              <m:r>
                <m:t>E</m:t>
              </m:r>
              <m:sSub>
                <m:e>
                  <m:r>
                    <m:t>I</m:t>
                  </m:r>
                </m:e>
                <m:sub>
                  <m:r>
                    <m:rPr>
                      <m:sty m:val="p"/>
                    </m:rPr>
                    <m:t>m</m:t>
                  </m:r>
                  <m:r>
                    <m:rPr>
                      <m:sty m:val="p"/>
                    </m:rPr>
                    <m:t>i</m:t>
                  </m:r>
                  <m:r>
                    <m:rPr>
                      <m:sty m:val="p"/>
                    </m:rPr>
                    <m:t>d</m:t>
                  </m:r>
                </m:sub>
              </m:sSub>
            </m:oMath>
            <w:r>
              <w:t xml:space="preserve">,</w:t>
            </w:r>
            <w:r>
              <w:t xml:space="preserve"> </w:t>
            </w:r>
            <m:oMath>
              <m:r>
                <m:t>E</m:t>
              </m:r>
              <m:sSub>
                <m:e>
                  <m:r>
                    <m:t>I</m:t>
                  </m:r>
                </m:e>
                <m:sub>
                  <m:r>
                    <m:rPr>
                      <m:sty m:val="p"/>
                    </m:rPr>
                    <m:t>r</m:t>
                  </m:r>
                  <m:r>
                    <m:rPr>
                      <m:sty m:val="p"/>
                    </m:rPr>
                    <m:t>e</m:t>
                  </m:r>
                  <m:r>
                    <m:rPr>
                      <m:sty m:val="p"/>
                    </m:rPr>
                    <m:t>f</m:t>
                  </m:r>
                </m:sub>
              </m:sSub>
            </m:oMath>
          </w:p>
        </w:tc>
        <w:tc>
          <w:tcPr>
            <w:tcW w:type="dxa" w:w="6177"/>
          </w:tcPr>
          <w:p>
            <w:pPr>
              <w:pStyle w:val="Compact"/>
              <w:jc w:val="left"/>
            </w:pPr>
            <w:r>
              <w:t xml:space="preserve">flexural rigidity; design value at mid main span; reference rigidity used to normalise</w:t>
            </w:r>
            <w:r>
              <w:t xml:space="preserve"> </w:t>
            </w:r>
            <m:oMath>
              <m:sSub>
                <m:e>
                  <m:r>
                    <m:t>N</m:t>
                  </m:r>
                </m:e>
                <m:sub>
                  <m:r>
                    <m:t>w</m:t>
                  </m:r>
                </m:sub>
              </m:sSub>
            </m:oMath>
            <w:r>
              <w:t xml:space="preserve"> </w:t>
            </w:r>
            <w:r>
              <w:t xml:space="preserve">(kN m²)</w:t>
            </w:r>
          </w:p>
        </w:tc>
      </w:tr>
      <w:tr>
        <w:tc>
          <w:tcPr>
            <w:tcW w:type="dxa" w:w="2892"/>
          </w:tcPr>
          <w:p>
            <w:pPr>
              <w:pStyle w:val="Compact"/>
              <w:jc w:val="left"/>
            </w:pPr>
            <m:oMath>
              <m:sSub>
                <m:e>
                  <m:r>
                    <m:t>F</m:t>
                  </m:r>
                </m:e>
                <m:sub>
                  <m:r>
                    <m:t>A</m:t>
                  </m:r>
                </m:sub>
              </m:sSub>
            </m:oMath>
          </w:p>
        </w:tc>
        <w:tc>
          <w:tcPr>
            <w:tcW w:type="dxa" w:w="6177"/>
          </w:tcPr>
          <w:p>
            <w:pPr>
              <w:pStyle w:val="Compact"/>
              <w:jc w:val="left"/>
            </w:pPr>
            <w:r>
              <w:t xml:space="preserve">end-support reaction (kN)</w:t>
            </w:r>
          </w:p>
        </w:tc>
      </w:tr>
      <w:tr>
        <w:tc>
          <w:tcPr>
            <w:tcW w:type="dxa" w:w="2892"/>
          </w:tcPr>
          <w:p>
            <w:pPr>
              <w:pStyle w:val="Compact"/>
              <w:jc w:val="left"/>
            </w:pPr>
            <m:oMath>
              <m:sSub>
                <m:e>
                  <m:r>
                    <m:t>f</m:t>
                  </m:r>
                </m:e>
                <m:sub>
                  <m:r>
                    <m:t>1</m:t>
                  </m:r>
                </m:sub>
              </m:sSub>
            </m:oMath>
            <w:r>
              <w:t xml:space="preserve">,</w:t>
            </w:r>
            <w:r>
              <w:t xml:space="preserve"> </w:t>
            </w:r>
            <m:oMath>
              <m:sSub>
                <m:e>
                  <m:r>
                    <m:t>T</m:t>
                  </m:r>
                </m:e>
                <m:sub>
                  <m:r>
                    <m:t>1</m:t>
                  </m:r>
                </m:sub>
              </m:sSub>
            </m:oMath>
          </w:p>
        </w:tc>
        <w:tc>
          <w:tcPr>
            <w:tcW w:type="dxa" w:w="6177"/>
          </w:tcPr>
          <w:p>
            <w:pPr>
              <w:pStyle w:val="Compact"/>
              <w:jc w:val="left"/>
            </w:pPr>
            <w:r>
              <w:t xml:space="preserve">fundamental frequency and period of the girder</w:t>
            </w:r>
          </w:p>
        </w:tc>
      </w:tr>
      <w:tr>
        <w:tc>
          <w:tcPr>
            <w:tcW w:type="dxa" w:w="2892"/>
          </w:tcPr>
          <w:p>
            <w:pPr>
              <w:pStyle w:val="Compact"/>
              <w:jc w:val="left"/>
            </w:pPr>
            <m:oMath>
              <m:r>
                <m:t>g</m:t>
              </m:r>
              <m:d>
                <m:dPr>
                  <m:begChr m:val="("/>
                  <m:endChr m:val=")"/>
                  <m:sepChr m:val=""/>
                  <m:grow/>
                </m:dPr>
                <m:e>
                  <m:r>
                    <m:t>x</m:t>
                  </m:r>
                </m:e>
              </m:d>
            </m:oMath>
          </w:p>
        </w:tc>
        <w:tc>
          <w:tcPr>
            <w:tcW w:type="dxa" w:w="6177"/>
          </w:tcPr>
          <w:p>
            <w:pPr>
              <w:pStyle w:val="Compact"/>
              <w:jc w:val="left"/>
            </w:pPr>
            <w:r>
              <w:t xml:space="preserve">weighting function applied along a record</w:t>
            </w:r>
          </w:p>
        </w:tc>
      </w:tr>
      <w:tr>
        <w:tc>
          <w:tcPr>
            <w:tcW w:type="dxa" w:w="2892"/>
          </w:tcPr>
          <w:p>
            <w:pPr>
              <w:pStyle w:val="Compact"/>
              <w:jc w:val="left"/>
            </w:pPr>
            <m:oMath>
              <m:r>
                <m:t>I</m:t>
              </m:r>
            </m:oMath>
          </w:p>
        </w:tc>
        <w:tc>
          <w:tcPr>
            <w:tcW w:type="dxa" w:w="6177"/>
          </w:tcPr>
          <w:p>
            <w:pPr>
              <w:pStyle w:val="Compact"/>
              <w:jc w:val="left"/>
            </w:pPr>
            <w:r>
              <w:t xml:space="preserve">second moment of area</w:t>
            </w:r>
          </w:p>
        </w:tc>
      </w:tr>
      <w:tr>
        <w:tc>
          <w:tcPr>
            <w:tcW w:type="dxa" w:w="2892"/>
          </w:tcPr>
          <w:p>
            <w:pPr>
              <w:pStyle w:val="Compact"/>
              <w:jc w:val="left"/>
            </w:pPr>
            <m:oMath>
              <m:sSub>
                <m:e>
                  <m:r>
                    <m:t>J</m:t>
                  </m:r>
                </m:e>
                <m:sub>
                  <m:r>
                    <m:t>m</m:t>
                  </m:r>
                </m:sub>
              </m:sSub>
            </m:oMath>
          </w:p>
        </w:tc>
        <w:tc>
          <w:tcPr>
            <w:tcW w:type="dxa" w:w="6177"/>
          </w:tcPr>
          <w:p>
            <w:pPr>
              <w:pStyle w:val="Compact"/>
              <w:jc w:val="left"/>
            </w:pPr>
            <w:r>
              <w:t xml:space="preserve">record integral of the channel at</w:t>
            </w:r>
            <w:r>
              <w:t xml:space="preserve"> </w:t>
            </w:r>
            <m:oMath>
              <m:r>
                <m:t>m</m:t>
              </m:r>
            </m:oMath>
            <w:r>
              <w:t xml:space="preserve"> </w:t>
            </w:r>
            <w:r>
              <w:t xml:space="preserve">over a complete crossing, in space</w:t>
            </w:r>
          </w:p>
        </w:tc>
      </w:tr>
      <w:tr>
        <w:tc>
          <w:tcPr>
            <w:tcW w:type="dxa" w:w="2892"/>
          </w:tcPr>
          <w:p>
            <w:pPr>
              <w:pStyle w:val="Compact"/>
              <w:jc w:val="left"/>
            </w:pPr>
            <m:oMath>
              <m:r>
                <m:t>k</m:t>
              </m:r>
            </m:oMath>
            <w:r>
              <w:t xml:space="preserve">,</w:t>
            </w:r>
            <w:r>
              <w:t xml:space="preserve"> </w:t>
            </w:r>
            <m:oMath>
              <m:sSub>
                <m:e>
                  <m:r>
                    <m:t>k</m:t>
                  </m:r>
                </m:e>
                <m:sub>
                  <m:r>
                    <m:t>g</m:t>
                  </m:r>
                </m:sub>
              </m:sSub>
            </m:oMath>
          </w:p>
        </w:tc>
        <w:tc>
          <w:tcPr>
            <w:tcW w:type="dxa" w:w="6177"/>
          </w:tcPr>
          <w:p>
            <w:pPr>
              <w:pStyle w:val="Compact"/>
              <w:jc w:val="left"/>
            </w:pPr>
            <w:r>
              <w:t xml:space="preserve">rotational stiffness of a monolithic pier; girder stiffness against antisymmetric pier rotation (kN m/rad)</w:t>
            </w:r>
          </w:p>
        </w:tc>
      </w:tr>
      <w:tr>
        <w:tc>
          <w:tcPr>
            <w:tcW w:type="dxa" w:w="2892"/>
          </w:tcPr>
          <w:p>
            <w:pPr>
              <w:pStyle w:val="Compact"/>
              <w:jc w:val="left"/>
            </w:pPr>
            <m:oMath>
              <m:acc>
                <m:accPr>
                  <m:chr m:val="̂"/>
                </m:accPr>
                <m:e>
                  <m:r>
                    <m:t>k</m:t>
                  </m:r>
                </m:e>
              </m:acc>
            </m:oMath>
          </w:p>
        </w:tc>
        <w:tc>
          <w:tcPr>
            <w:tcW w:type="dxa" w:w="6177"/>
          </w:tcPr>
          <w:p>
            <w:pPr>
              <w:pStyle w:val="Compact"/>
              <w:jc w:val="left"/>
            </w:pPr>
            <w:r>
              <w:t xml:space="preserve">pier stiffness relative to the side-span rigidity,</w:t>
            </w:r>
            <w:r>
              <w:t xml:space="preserve"> </w:t>
            </w:r>
            <m:oMath>
              <m:r>
                <m:t>k</m:t>
              </m:r>
              <m:sSub>
                <m:e>
                  <m:r>
                    <m:t>L</m:t>
                  </m:r>
                </m:e>
                <m:sub>
                  <m:r>
                    <m:rPr>
                      <m:sty m:val="p"/>
                    </m:rPr>
                    <m:t>s</m:t>
                  </m:r>
                  <m:r>
                    <m:rPr>
                      <m:sty m:val="p"/>
                    </m:rPr>
                    <m:t>i</m:t>
                  </m:r>
                  <m:r>
                    <m:rPr>
                      <m:sty m:val="p"/>
                    </m:rPr>
                    <m:t>d</m:t>
                  </m:r>
                  <m:r>
                    <m:rPr>
                      <m:sty m:val="p"/>
                    </m:rPr>
                    <m:t>e</m:t>
                  </m:r>
                </m:sub>
              </m:sSub>
              <m:r>
                <m:rPr>
                  <m:sty m:val="p"/>
                </m:rPr>
                <m:t>/</m:t>
              </m:r>
              <m:r>
                <m:t>E</m:t>
              </m:r>
              <m:sSub>
                <m:e>
                  <m:r>
                    <m:t>I</m:t>
                  </m:r>
                </m:e>
                <m:sub>
                  <m:r>
                    <m:rPr>
                      <m:sty m:val="p"/>
                    </m:rPr>
                    <m:t>s</m:t>
                  </m:r>
                  <m:r>
                    <m:rPr>
                      <m:sty m:val="p"/>
                    </m:rPr>
                    <m:t>i</m:t>
                  </m:r>
                  <m:r>
                    <m:rPr>
                      <m:sty m:val="p"/>
                    </m:rPr>
                    <m:t>d</m:t>
                  </m:r>
                  <m:r>
                    <m:rPr>
                      <m:sty m:val="p"/>
                    </m:rPr>
                    <m:t>e</m:t>
                  </m:r>
                </m:sub>
              </m:sSub>
            </m:oMath>
          </w:p>
        </w:tc>
      </w:tr>
      <w:tr>
        <w:tc>
          <w:tcPr>
            <w:tcW w:type="dxa" w:w="2892"/>
          </w:tcPr>
          <w:p>
            <w:pPr>
              <w:pStyle w:val="Compact"/>
              <w:jc w:val="left"/>
            </w:pPr>
            <m:oMath>
              <m:sSub>
                <m:e>
                  <m:r>
                    <m:t>K</m:t>
                  </m:r>
                </m:e>
                <m:sub>
                  <m:r>
                    <m:t>g</m:t>
                  </m:r>
                </m:sub>
              </m:sSub>
            </m:oMath>
            <w:r>
              <w:t xml:space="preserve">,</w:t>
            </w:r>
            <w:r>
              <w:t xml:space="preserve"> </w:t>
            </w:r>
            <m:oMath>
              <m:sSub>
                <m:e>
                  <m:r>
                    <m:t>K</m:t>
                  </m:r>
                </m:e>
                <m:sub>
                  <m:r>
                    <m:t>p</m:t>
                  </m:r>
                </m:sub>
              </m:sSub>
            </m:oMath>
          </w:p>
        </w:tc>
        <w:tc>
          <w:tcPr>
            <w:tcW w:type="dxa" w:w="6177"/>
          </w:tcPr>
          <w:p>
            <w:pPr>
              <w:pStyle w:val="Compact"/>
              <w:jc w:val="left"/>
            </w:pPr>
            <w:r>
              <w:t xml:space="preserve">girder and pier parts of the stiffness matrix</w:t>
            </w:r>
          </w:p>
        </w:tc>
      </w:tr>
      <w:tr>
        <w:tc>
          <w:tcPr>
            <w:tcW w:type="dxa" w:w="2892"/>
          </w:tcPr>
          <w:p>
            <w:pPr>
              <w:pStyle w:val="Compact"/>
              <w:jc w:val="left"/>
            </w:pPr>
            <m:oMath>
              <m:r>
                <m:t>L</m:t>
              </m:r>
            </m:oMath>
            <w:r>
              <w:t xml:space="preserve">,</w:t>
            </w:r>
            <w:r>
              <w:t xml:space="preserve"> </w:t>
            </w:r>
            <m:oMath>
              <m:r>
                <m:t>l</m:t>
              </m:r>
            </m:oMath>
          </w:p>
        </w:tc>
        <w:tc>
          <w:tcPr>
            <w:tcW w:type="dxa" w:w="6177"/>
          </w:tcPr>
          <w:p>
            <w:pPr>
              <w:pStyle w:val="Compact"/>
              <w:jc w:val="left"/>
            </w:pPr>
            <w:r>
              <w:t xml:space="preserve">length of the span containing the sensor; span of the laboratory beam (m)</w:t>
            </w:r>
          </w:p>
        </w:tc>
      </w:tr>
      <w:tr>
        <w:tc>
          <w:tcPr>
            <w:tcW w:type="dxa" w:w="2892"/>
          </w:tcPr>
          <w:p>
            <w:pPr>
              <w:pStyle w:val="Compact"/>
              <w:jc w:val="left"/>
            </w:pPr>
            <m:oMath>
              <m:sSub>
                <m:e>
                  <m:r>
                    <m:t>L</m:t>
                  </m:r>
                </m:e>
                <m:sub>
                  <m:r>
                    <m:t>p</m:t>
                  </m:r>
                </m:sub>
              </m:sSub>
            </m:oMath>
          </w:p>
        </w:tc>
        <w:tc>
          <w:tcPr>
            <w:tcW w:type="dxa" w:w="6177"/>
          </w:tcPr>
          <w:p>
            <w:pPr>
              <w:pStyle w:val="Compact"/>
              <w:jc w:val="left"/>
            </w:pPr>
            <w:r>
              <w:t xml:space="preserve">length of the loaded path (m)</w:t>
            </w:r>
          </w:p>
        </w:tc>
      </w:tr>
      <w:tr>
        <w:tc>
          <w:tcPr>
            <w:tcW w:type="dxa" w:w="2892"/>
          </w:tcPr>
          <w:p>
            <w:pPr>
              <w:pStyle w:val="Compact"/>
              <w:jc w:val="left"/>
            </w:pPr>
            <m:oMath>
              <m:sSub>
                <m:e>
                  <m:r>
                    <m:t>L</m:t>
                  </m:r>
                </m:e>
                <m:sub>
                  <m:r>
                    <m:rPr>
                      <m:sty m:val="p"/>
                    </m:rPr>
                    <m:t>t</m:t>
                  </m:r>
                  <m:r>
                    <m:rPr>
                      <m:sty m:val="p"/>
                    </m:rPr>
                    <m:t>o</m:t>
                  </m:r>
                  <m:r>
                    <m:rPr>
                      <m:sty m:val="p"/>
                    </m:rPr>
                    <m:t>t</m:t>
                  </m:r>
                </m:sub>
              </m:sSub>
            </m:oMath>
          </w:p>
        </w:tc>
        <w:tc>
          <w:tcPr>
            <w:tcW w:type="dxa" w:w="6177"/>
          </w:tcPr>
          <w:p>
            <w:pPr>
              <w:pStyle w:val="Compact"/>
              <w:jc w:val="left"/>
            </w:pPr>
            <w:r>
              <w:t xml:space="preserve">length of the integration record (m)</w:t>
            </w:r>
          </w:p>
        </w:tc>
      </w:tr>
      <w:tr>
        <w:tc>
          <w:tcPr>
            <w:tcW w:type="dxa" w:w="2892"/>
          </w:tcPr>
          <w:p>
            <w:pPr>
              <w:pStyle w:val="Compact"/>
              <w:jc w:val="left"/>
            </w:pPr>
            <m:oMath>
              <m:sSub>
                <m:e>
                  <m:r>
                    <m:t>M</m:t>
                  </m:r>
                </m:e>
                <m:sub>
                  <m:r>
                    <m:t>q</m:t>
                  </m:r>
                </m:sub>
              </m:sSub>
            </m:oMath>
          </w:p>
        </w:tc>
        <w:tc>
          <w:tcPr>
            <w:tcW w:type="dxa" w:w="6177"/>
          </w:tcPr>
          <w:p>
            <w:pPr>
              <w:pStyle w:val="Compact"/>
              <w:jc w:val="left"/>
            </w:pPr>
            <w:r>
              <w:t xml:space="preserve">bending moment under a uniform load</w:t>
            </w:r>
            <w:r>
              <w:t xml:space="preserve"> </w:t>
            </w:r>
            <m:oMath>
              <m:sSub>
                <m:e>
                  <m:r>
                    <m:t>q</m:t>
                  </m:r>
                </m:e>
                <m:sub>
                  <m:r>
                    <m:t>0</m:t>
                  </m:r>
                </m:sub>
              </m:sSub>
            </m:oMath>
            <w:r>
              <w:t xml:space="preserve"> </w:t>
            </w:r>
            <w:r>
              <w:t xml:space="preserve">over the whole path</w:t>
            </w:r>
          </w:p>
        </w:tc>
      </w:tr>
      <w:tr>
        <w:tc>
          <w:tcPr>
            <w:tcW w:type="dxa" w:w="2892"/>
          </w:tcPr>
          <w:p>
            <w:pPr>
              <w:pStyle w:val="Compact"/>
              <w:jc w:val="left"/>
            </w:pPr>
            <m:oMath>
              <m:sSub>
                <m:e>
                  <m:acc>
                    <m:accPr>
                      <m:chr m:val="‾"/>
                    </m:accPr>
                    <m:e>
                      <m:r>
                        <m:t>M</m:t>
                      </m:r>
                    </m:e>
                  </m:acc>
                </m:e>
                <m:sub>
                  <m:r>
                    <m:t>l</m:t>
                  </m:r>
                </m:sub>
              </m:sSub>
            </m:oMath>
            <w:r>
              <w:t xml:space="preserve">,</w:t>
            </w:r>
            <w:r>
              <w:t xml:space="preserve"> </w:t>
            </w:r>
            <m:oMath>
              <m:sSub>
                <m:e>
                  <m:acc>
                    <m:accPr>
                      <m:chr m:val="‾"/>
                    </m:accPr>
                    <m:e>
                      <m:r>
                        <m:t>M</m:t>
                      </m:r>
                    </m:e>
                  </m:acc>
                </m:e>
                <m:sub>
                  <m:r>
                    <m:t>r</m:t>
                  </m:r>
                </m:sub>
              </m:sSub>
            </m:oMath>
          </w:p>
        </w:tc>
        <w:tc>
          <w:tcPr>
            <w:tcW w:type="dxa" w:w="6177"/>
          </w:tcPr>
          <w:p>
            <w:pPr>
              <w:pStyle w:val="Compact"/>
              <w:jc w:val="left"/>
            </w:pPr>
            <w:r>
              <w:t xml:space="preserve">normalised end moments</w:t>
            </w:r>
            <w:r>
              <w:t xml:space="preserve"> </w:t>
            </w:r>
            <m:oMath>
              <m:r>
                <m:rPr>
                  <m:sty m:val="p"/>
                </m:rPr>
                <m:t>−</m:t>
              </m:r>
              <m:r>
                <m:t>8</m:t>
              </m:r>
              <m:r>
                <m:t>M</m:t>
              </m:r>
              <m:r>
                <m:rPr>
                  <m:sty m:val="p"/>
                </m:rPr>
                <m:t>/</m:t>
              </m:r>
              <m:d>
                <m:dPr>
                  <m:begChr m:val="("/>
                  <m:endChr m:val=")"/>
                  <m:sepChr m:val=""/>
                  <m:grow/>
                </m:dPr>
                <m:e>
                  <m:sSub>
                    <m:e>
                      <m:r>
                        <m:t>q</m:t>
                      </m:r>
                    </m:e>
                    <m:sub>
                      <m:r>
                        <m:t>0</m:t>
                      </m:r>
                    </m:sub>
                  </m:sSub>
                  <m:sSup>
                    <m:e>
                      <m:r>
                        <m:t>L</m:t>
                      </m:r>
                    </m:e>
                    <m:sup>
                      <m:r>
                        <m:t>2</m:t>
                      </m:r>
                    </m:sup>
                  </m:sSup>
                </m:e>
              </m:d>
            </m:oMath>
            <w:r>
              <w:t xml:space="preserve"> </w:t>
            </w:r>
            <w:r>
              <w:t xml:space="preserve">at the left and right ends of a span (positive for hogging)</w:t>
            </w:r>
          </w:p>
        </w:tc>
      </w:tr>
      <w:tr>
        <w:tc>
          <w:tcPr>
            <w:tcW w:type="dxa" w:w="2892"/>
          </w:tcPr>
          <w:p>
            <w:pPr>
              <w:pStyle w:val="Compact"/>
              <w:jc w:val="left"/>
            </w:pPr>
            <m:oMath>
              <m:sSub>
                <m:e>
                  <m:r>
                    <m:t>N</m:t>
                  </m:r>
                </m:e>
                <m:sub>
                  <m:r>
                    <m:t>w</m:t>
                  </m:r>
                </m:sub>
              </m:sSub>
            </m:oMath>
            <w:r>
              <w:t xml:space="preserve">,</w:t>
            </w:r>
            <w:r>
              <w:t xml:space="preserve"> </w:t>
            </w:r>
            <m:oMath>
              <m:sSub>
                <m:e>
                  <m:r>
                    <m:t>N</m:t>
                  </m:r>
                </m:e>
                <m:sub>
                  <m:r>
                    <m:t>M</m:t>
                  </m:r>
                </m:sub>
              </m:sSub>
            </m:oMath>
          </w:p>
        </w:tc>
        <w:tc>
          <w:tcPr>
            <w:tcW w:type="dxa" w:w="6177"/>
          </w:tcPr>
          <w:p>
            <w:pPr>
              <w:pStyle w:val="Compact"/>
              <w:jc w:val="left"/>
            </w:pPr>
            <w:r>
              <w:t xml:space="preserve">deflection and strain (moment) indicators, Eqs. (10) and (9)</w:t>
            </w:r>
          </w:p>
        </w:tc>
      </w:tr>
      <w:tr>
        <w:tc>
          <w:tcPr>
            <w:tcW w:type="dxa" w:w="2892"/>
          </w:tcPr>
          <w:p>
            <w:pPr>
              <w:pStyle w:val="Compact"/>
              <w:jc w:val="left"/>
            </w:pPr>
            <m:oMath>
              <m:sSub>
                <m:e>
                  <m:r>
                    <m:t>N</m:t>
                  </m:r>
                </m:e>
                <m:sub>
                  <m:r>
                    <m:t>θ</m:t>
                  </m:r>
                </m:sub>
              </m:sSub>
            </m:oMath>
            <w:r>
              <w:t xml:space="preserve">,</w:t>
            </w:r>
            <w:r>
              <w:t xml:space="preserve"> </w:t>
            </w:r>
            <m:oMath>
              <m:sSub>
                <m:e>
                  <m:r>
                    <m:t>N</m:t>
                  </m:r>
                </m:e>
                <m:sub>
                  <m:r>
                    <m:t>V</m:t>
                  </m:r>
                </m:sub>
              </m:sSub>
            </m:oMath>
            <w:r>
              <w:t xml:space="preserve">,</w:t>
            </w:r>
            <w:r>
              <w:t xml:space="preserve"> </w:t>
            </w:r>
            <m:oMath>
              <m:sSub>
                <m:e>
                  <m:r>
                    <m:t>N</m:t>
                  </m:r>
                </m:e>
                <m:sub>
                  <m:r>
                    <m:t>F</m:t>
                  </m:r>
                </m:sub>
              </m:sSub>
            </m:oMath>
          </w:p>
        </w:tc>
        <w:tc>
          <w:tcPr>
            <w:tcW w:type="dxa" w:w="6177"/>
          </w:tcPr>
          <w:p>
            <w:pPr>
              <w:pStyle w:val="Compact"/>
              <w:jc w:val="left"/>
            </w:pPr>
            <w:r>
              <w:t xml:space="preserve">rotation, shear and end-reaction indicators (Section 2.2, Appendix B)</w:t>
            </w:r>
          </w:p>
        </w:tc>
      </w:tr>
      <w:tr>
        <w:tc>
          <w:tcPr>
            <w:tcW w:type="dxa" w:w="2892"/>
          </w:tcPr>
          <w:p>
            <w:pPr>
              <w:pStyle w:val="Compact"/>
              <w:jc w:val="left"/>
            </w:pPr>
            <m:oMath>
              <m:sSub>
                <m:e>
                  <m:r>
                    <m:t>P</m:t>
                  </m:r>
                </m:e>
                <m:sub>
                  <m:r>
                    <m:rPr>
                      <m:sty m:val="p"/>
                    </m:rPr>
                    <m:t>t</m:t>
                  </m:r>
                  <m:r>
                    <m:rPr>
                      <m:sty m:val="p"/>
                    </m:rPr>
                    <m:t>o</m:t>
                  </m:r>
                  <m:r>
                    <m:rPr>
                      <m:sty m:val="p"/>
                    </m:rPr>
                    <m:t>t</m:t>
                  </m:r>
                </m:sub>
              </m:sSub>
            </m:oMath>
            <w:r>
              <w:t xml:space="preserve">,</w:t>
            </w:r>
            <w:r>
              <w:t xml:space="preserve"> </w:t>
            </w:r>
            <m:oMath>
              <m:sSub>
                <m:e>
                  <m:r>
                    <m:t>P</m:t>
                  </m:r>
                </m:e>
                <m:sub>
                  <m:r>
                    <m:t>0</m:t>
                  </m:r>
                </m:sub>
              </m:sSub>
            </m:oMath>
          </w:p>
        </w:tc>
        <w:tc>
          <w:tcPr>
            <w:tcW w:type="dxa" w:w="6177"/>
          </w:tcPr>
          <w:p>
            <w:pPr>
              <w:pStyle w:val="Compact"/>
              <w:jc w:val="left"/>
            </w:pPr>
            <w:r>
              <w:t xml:space="preserve">total load of a crossing; weighed reference load (kN)</w:t>
            </w:r>
          </w:p>
        </w:tc>
      </w:tr>
      <w:tr>
        <w:tc>
          <w:tcPr>
            <w:tcW w:type="dxa" w:w="2892"/>
          </w:tcPr>
          <w:p>
            <w:pPr>
              <w:pStyle w:val="Compact"/>
              <w:jc w:val="left"/>
            </w:pPr>
            <m:oMath>
              <m:sSub>
                <m:e>
                  <m:r>
                    <m:t>P</m:t>
                  </m:r>
                </m:e>
                <m:sub>
                  <m:r>
                    <m:t>t</m:t>
                  </m:r>
                </m:sub>
              </m:sSub>
            </m:oMath>
            <w:r>
              <w:t xml:space="preserve">,</w:t>
            </w:r>
            <w:r>
              <w:t xml:space="preserve"> </w:t>
            </w:r>
            <m:oMath>
              <m:sSub>
                <m:e>
                  <m:r>
                    <m:t>J</m:t>
                  </m:r>
                </m:e>
                <m:sub>
                  <m:r>
                    <m:t>t</m:t>
                  </m:r>
                </m:sub>
              </m:sSub>
            </m:oMath>
            <w:r>
              <w:t xml:space="preserve">,</w:t>
            </w:r>
            <w:r>
              <w:t xml:space="preserve"> </w:t>
            </w:r>
            <m:oMath>
              <m:sSub>
                <m:e>
                  <m:r>
                    <m:t>J</m:t>
                  </m:r>
                </m:e>
                <m:sub>
                  <m:r>
                    <m:t>0</m:t>
                  </m:r>
                </m:sub>
              </m:sSub>
            </m:oMath>
          </w:p>
        </w:tc>
        <w:tc>
          <w:tcPr>
            <w:tcW w:type="dxa" w:w="6177"/>
          </w:tcPr>
          <w:p>
            <w:pPr>
              <w:pStyle w:val="Compact"/>
              <w:jc w:val="left"/>
            </w:pPr>
            <w:r>
              <w:t xml:space="preserve">load and record integral of a target crossing; record integral of the reference crossing</w:t>
            </w:r>
          </w:p>
        </w:tc>
      </w:tr>
      <w:tr>
        <w:tc>
          <w:tcPr>
            <w:tcW w:type="dxa" w:w="2892"/>
          </w:tcPr>
          <w:p>
            <w:pPr>
              <w:pStyle w:val="Compact"/>
              <w:jc w:val="left"/>
            </w:pPr>
            <m:oMath>
              <m:sSub>
                <m:e>
                  <m:r>
                    <m:t>P</m:t>
                  </m:r>
                </m:e>
                <m:sub>
                  <m:r>
                    <m:t>δ</m:t>
                  </m:r>
                </m:sub>
              </m:sSub>
            </m:oMath>
          </w:p>
        </w:tc>
        <w:tc>
          <w:tcPr>
            <w:tcW w:type="dxa" w:w="6177"/>
          </w:tcPr>
          <w:p>
            <w:pPr>
              <w:pStyle w:val="Compact"/>
              <w:jc w:val="left"/>
            </w:pPr>
            <w:r>
              <w:t xml:space="preserve">offset-equivalent load</w:t>
            </w:r>
            <w:r>
              <w:t xml:space="preserve"> </w:t>
            </w:r>
            <m:oMath>
              <m:sSub>
                <m:e>
                  <m:r>
                    <m:t>δ</m:t>
                  </m:r>
                </m:e>
                <m:sub>
                  <m:r>
                    <m:t>0</m:t>
                  </m:r>
                </m:sub>
              </m:sSub>
              <m:sSub>
                <m:e>
                  <m:r>
                    <m:t>L</m:t>
                  </m:r>
                </m:e>
                <m:sub>
                  <m:r>
                    <m:rPr>
                      <m:sty m:val="p"/>
                    </m:rPr>
                    <m:t>t</m:t>
                  </m:r>
                  <m:r>
                    <m:rPr>
                      <m:sty m:val="p"/>
                    </m:rPr>
                    <m:t>o</m:t>
                  </m:r>
                  <m:r>
                    <m:rPr>
                      <m:sty m:val="p"/>
                    </m:rPr>
                    <m:t>t</m:t>
                  </m:r>
                </m:sub>
              </m:sSub>
              <m:r>
                <m:rPr>
                  <m:sty m:val="p"/>
                </m:rPr>
                <m:t>/</m:t>
              </m:r>
              <m:r>
                <m:t>C</m:t>
              </m:r>
            </m:oMath>
            <w:r>
              <w:t xml:space="preserve"> </w:t>
            </w:r>
            <w:r>
              <w:t xml:space="preserve">(kN)</w:t>
            </w:r>
          </w:p>
        </w:tc>
      </w:tr>
      <w:tr>
        <w:tc>
          <w:tcPr>
            <w:tcW w:type="dxa" w:w="2892"/>
          </w:tcPr>
          <w:p>
            <w:pPr>
              <w:pStyle w:val="Compact"/>
              <w:jc w:val="left"/>
            </w:pPr>
            <m:oMath>
              <m:r>
                <m:t>R</m:t>
              </m:r>
            </m:oMath>
          </w:p>
        </w:tc>
        <w:tc>
          <w:tcPr>
            <w:tcW w:type="dxa" w:w="6177"/>
          </w:tcPr>
          <w:p>
            <w:pPr>
              <w:pStyle w:val="Compact"/>
              <w:jc w:val="left"/>
            </w:pPr>
            <w:r>
              <w:t xml:space="preserve">cancellation ratio</w:t>
            </w:r>
            <w:r>
              <w:t xml:space="preserve"> </w:t>
            </w:r>
            <m:oMath>
              <m:r>
                <m:t>C</m:t>
              </m:r>
              <m:r>
                <m:rPr>
                  <m:sty m:val="p"/>
                </m:rPr>
                <m:t>/</m:t>
              </m:r>
              <m:sSup>
                <m:e>
                  <m:r>
                    <m:t>A</m:t>
                  </m:r>
                </m:e>
                <m:sup>
                  <m:r>
                    <m:rPr>
                      <m:sty m:val="p"/>
                    </m:rPr>
                    <m:t>+</m:t>
                  </m:r>
                </m:sup>
              </m:sSup>
            </m:oMath>
          </w:p>
        </w:tc>
      </w:tr>
      <w:tr>
        <w:tc>
          <w:tcPr>
            <w:tcW w:type="dxa" w:w="2892"/>
          </w:tcPr>
          <w:p>
            <w:pPr>
              <w:pStyle w:val="Compact"/>
              <w:jc w:val="left"/>
            </w:pPr>
            <m:oMath>
              <m:sSub>
                <m:e>
                  <m:r>
                    <m:t>r</m:t>
                  </m:r>
                </m:e>
                <m:sub>
                  <m:r>
                    <m:t>87</m:t>
                  </m:r>
                </m:sub>
              </m:sSub>
            </m:oMath>
          </w:p>
        </w:tc>
        <w:tc>
          <w:tcPr>
            <w:tcW w:type="dxa" w:w="6177"/>
          </w:tcPr>
          <w:p>
            <w:pPr>
              <w:pStyle w:val="Compact"/>
              <w:jc w:val="left"/>
            </w:pPr>
            <w:r>
              <w:t xml:space="preserve">measured-to-model ratio at gauge N8 divided by that at gauge N7;</w:t>
            </w:r>
            <w:r>
              <w:t xml:space="preserve"> </w:t>
            </w:r>
            <m:oMath>
              <m:sSub>
                <m:e>
                  <m:r>
                    <m:t>r</m:t>
                  </m:r>
                </m:e>
                <m:sub>
                  <m:r>
                    <m:t>87</m:t>
                  </m:r>
                </m:sub>
              </m:sSub>
              <m:r>
                <m:rPr>
                  <m:sty m:val="p"/>
                </m:rPr>
                <m:t>=</m:t>
              </m:r>
              <m:r>
                <m:t>1</m:t>
              </m:r>
            </m:oMath>
            <w:r>
              <w:t xml:space="preserve"> </w:t>
            </w:r>
            <w:r>
              <w:t xml:space="preserve">when one model fits both gauges</w:t>
            </w:r>
          </w:p>
        </w:tc>
      </w:tr>
      <w:tr>
        <w:tc>
          <w:tcPr>
            <w:tcW w:type="dxa" w:w="2892"/>
          </w:tcPr>
          <w:p>
            <w:pPr>
              <w:pStyle w:val="Compact"/>
              <w:jc w:val="left"/>
            </w:pPr>
            <m:oMath>
              <m:sSub>
                <m:e>
                  <m:r>
                    <m:t>S</m:t>
                  </m:r>
                </m:e>
                <m:sub>
                  <m:r>
                    <m:t>α</m:t>
                  </m:r>
                </m:sub>
              </m:sSub>
            </m:oMath>
            <w:r>
              <w:t xml:space="preserve">,</w:t>
            </w:r>
            <w:r>
              <w:t xml:space="preserve"> </w:t>
            </w:r>
            <m:oMath>
              <m:sSub>
                <m:e>
                  <m:r>
                    <m:t>S</m:t>
                  </m:r>
                </m:e>
                <m:sub>
                  <m:r>
                    <m:t>k</m:t>
                  </m:r>
                </m:sub>
              </m:sSub>
            </m:oMath>
          </w:p>
        </w:tc>
        <w:tc>
          <w:tcPr>
            <w:tcW w:type="dxa" w:w="6177"/>
          </w:tcPr>
          <w:p>
            <w:pPr>
              <w:pStyle w:val="Compact"/>
              <w:jc w:val="left"/>
            </w:pPr>
            <w:r>
              <w:t xml:space="preserve">logarithmic sensitivities</w:t>
            </w:r>
            <w:r>
              <w:t xml:space="preserve"> </w:t>
            </w:r>
            <m:oMath>
              <m:r>
                <m:rPr>
                  <m:sty m:val="p"/>
                </m:rPr>
                <m:t>∂</m:t>
              </m:r>
              <m:r>
                <m:rPr>
                  <m:sty m:val="p"/>
                </m:rPr>
                <m:t>ln</m:t>
              </m:r>
              <m:sSub>
                <m:e>
                  <m:r>
                    <m:t>C</m:t>
                  </m:r>
                </m:e>
                <m:sub>
                  <m:r>
                    <m:t>m</m:t>
                  </m:r>
                </m:sub>
              </m:sSub>
              <m:r>
                <m:rPr>
                  <m:sty m:val="p"/>
                </m:rPr>
                <m:t>/</m:t>
              </m:r>
              <m:r>
                <m:rPr>
                  <m:sty m:val="p"/>
                </m:rPr>
                <m:t>∂</m:t>
              </m:r>
              <m:r>
                <m:rPr>
                  <m:sty m:val="p"/>
                </m:rPr>
                <m:t>ln</m:t>
              </m:r>
              <m:r>
                <m:t>α</m:t>
              </m:r>
            </m:oMath>
            <w:r>
              <w:t xml:space="preserve">,</w:t>
            </w:r>
            <w:r>
              <w:t xml:space="preserve"> </w:t>
            </w:r>
            <m:oMath>
              <m:r>
                <m:rPr>
                  <m:sty m:val="p"/>
                </m:rPr>
                <m:t>∂</m:t>
              </m:r>
              <m:r>
                <m:rPr>
                  <m:sty m:val="p"/>
                </m:rPr>
                <m:t>ln</m:t>
              </m:r>
              <m:sSub>
                <m:e>
                  <m:r>
                    <m:t>C</m:t>
                  </m:r>
                </m:e>
                <m:sub>
                  <m:r>
                    <m:t>m</m:t>
                  </m:r>
                </m:sub>
              </m:sSub>
              <m:r>
                <m:rPr>
                  <m:sty m:val="p"/>
                </m:rPr>
                <m:t>/</m:t>
              </m:r>
              <m:r>
                <m:rPr>
                  <m:sty m:val="p"/>
                </m:rPr>
                <m:t>∂</m:t>
              </m:r>
              <m:r>
                <m:rPr>
                  <m:sty m:val="p"/>
                </m:rPr>
                <m:t>ln</m:t>
              </m:r>
              <m:r>
                <m:t>k</m:t>
              </m:r>
            </m:oMath>
            <w:r>
              <w:t xml:space="preserve"> </w:t>
            </w:r>
            <w:r>
              <w:t xml:space="preserve">(Appendix C)</w:t>
            </w:r>
          </w:p>
        </w:tc>
      </w:tr>
      <w:tr>
        <w:tc>
          <w:tcPr>
            <w:tcW w:type="dxa" w:w="2892"/>
          </w:tcPr>
          <w:p>
            <w:pPr>
              <w:pStyle w:val="Compact"/>
              <w:jc w:val="left"/>
            </w:pPr>
            <m:oMath>
              <m:sSub>
                <m:e>
                  <m:r>
                    <m:t>t</m:t>
                  </m:r>
                </m:e>
                <m:sub>
                  <m:r>
                    <m:rPr>
                      <m:sty m:val="p"/>
                    </m:rPr>
                    <m:t>c</m:t>
                  </m:r>
                  <m:r>
                    <m:rPr>
                      <m:sty m:val="p"/>
                    </m:rPr>
                    <m:t>r</m:t>
                  </m:r>
                </m:sub>
              </m:sSub>
            </m:oMath>
          </w:p>
        </w:tc>
        <w:tc>
          <w:tcPr>
            <w:tcW w:type="dxa" w:w="6177"/>
          </w:tcPr>
          <w:p>
            <w:pPr>
              <w:pStyle w:val="Compact"/>
              <w:jc w:val="left"/>
            </w:pPr>
            <w:r>
              <w:t xml:space="preserve">duration of a crossing (s)</w:t>
            </w:r>
          </w:p>
        </w:tc>
      </w:tr>
      <w:tr>
        <w:tc>
          <w:tcPr>
            <w:tcW w:type="dxa" w:w="2892"/>
          </w:tcPr>
          <w:p>
            <w:pPr>
              <w:pStyle w:val="Compact"/>
              <w:jc w:val="left"/>
            </w:pPr>
            <m:oMath>
              <m:r>
                <m:t>w</m:t>
              </m:r>
            </m:oMath>
            <w:r>
              <w:t xml:space="preserve">,</w:t>
            </w:r>
            <w:r>
              <w:t xml:space="preserve"> </w:t>
            </w:r>
            <m:oMath>
              <m:sSub>
                <m:e>
                  <m:r>
                    <m:t>w</m:t>
                  </m:r>
                </m:e>
                <m:sub>
                  <m:r>
                    <m:t>q</m:t>
                  </m:r>
                </m:sub>
              </m:sSub>
            </m:oMath>
          </w:p>
        </w:tc>
        <w:tc>
          <w:tcPr>
            <w:tcW w:type="dxa" w:w="6177"/>
          </w:tcPr>
          <w:p>
            <w:pPr>
              <w:pStyle w:val="Compact"/>
              <w:jc w:val="left"/>
            </w:pPr>
            <w:r>
              <w:t xml:space="preserve">deflection; deflection under the uniform load</w:t>
            </w:r>
            <w:r>
              <w:t xml:space="preserve"> </w:t>
            </w:r>
            <m:oMath>
              <m:sSub>
                <m:e>
                  <m:r>
                    <m:t>q</m:t>
                  </m:r>
                </m:e>
                <m:sub>
                  <m:r>
                    <m:t>0</m:t>
                  </m:r>
                </m:sub>
              </m:sSub>
            </m:oMath>
            <w:r>
              <w:t xml:space="preserve"> </w:t>
            </w:r>
            <w:r>
              <w:t xml:space="preserve">over the whole path</w:t>
            </w:r>
          </w:p>
        </w:tc>
      </w:tr>
      <w:tr>
        <w:tc>
          <w:tcPr>
            <w:tcW w:type="dxa" w:w="2892"/>
          </w:tcPr>
          <w:p>
            <w:pPr>
              <w:pStyle w:val="Compact"/>
              <w:jc w:val="left"/>
            </w:pPr>
            <m:oMath>
              <m:r>
                <m:t>α</m:t>
              </m:r>
            </m:oMath>
          </w:p>
        </w:tc>
        <w:tc>
          <w:tcPr>
            <w:tcW w:type="dxa" w:w="6177"/>
          </w:tcPr>
          <w:p>
            <w:pPr>
              <w:pStyle w:val="Compact"/>
              <w:jc w:val="left"/>
            </w:pPr>
            <w:r>
              <w:t xml:space="preserve">ratio of effective to design girder rigidity</w:t>
            </w:r>
          </w:p>
        </w:tc>
      </w:tr>
      <w:tr>
        <w:tc>
          <w:tcPr>
            <w:tcW w:type="dxa" w:w="2892"/>
          </w:tcPr>
          <w:p>
            <w:pPr>
              <w:pStyle w:val="Compact"/>
              <w:jc w:val="left"/>
            </w:pPr>
            <m:oMath>
              <m:r>
                <m:t>β</m:t>
              </m:r>
            </m:oMath>
          </w:p>
        </w:tc>
        <w:tc>
          <w:tcPr>
            <w:tcW w:type="dxa" w:w="6177"/>
          </w:tcPr>
          <w:p>
            <w:pPr>
              <w:pStyle w:val="Compact"/>
              <w:jc w:val="left"/>
            </w:pPr>
            <w:r>
              <w:t xml:space="preserve">main-to-side span ratio</w:t>
            </w:r>
            <w:r>
              <w:t xml:space="preserve"> </w:t>
            </w:r>
            <m:oMath>
              <m:sSub>
                <m:e>
                  <m:r>
                    <m:t>L</m:t>
                  </m:r>
                </m:e>
                <m:sub>
                  <m:r>
                    <m:rPr>
                      <m:sty m:val="p"/>
                    </m:rPr>
                    <m:t>m</m:t>
                  </m:r>
                  <m:r>
                    <m:rPr>
                      <m:sty m:val="p"/>
                    </m:rPr>
                    <m:t>a</m:t>
                  </m:r>
                  <m:r>
                    <m:rPr>
                      <m:sty m:val="p"/>
                    </m:rPr>
                    <m:t>i</m:t>
                  </m:r>
                  <m:r>
                    <m:rPr>
                      <m:sty m:val="p"/>
                    </m:rPr>
                    <m:t>n</m:t>
                  </m:r>
                </m:sub>
              </m:sSub>
              <m:r>
                <m:rPr>
                  <m:sty m:val="p"/>
                </m:rPr>
                <m:t>/</m:t>
              </m:r>
              <m:sSub>
                <m:e>
                  <m:r>
                    <m:t>L</m:t>
                  </m:r>
                </m:e>
                <m:sub>
                  <m:r>
                    <m:rPr>
                      <m:sty m:val="p"/>
                    </m:rPr>
                    <m:t>s</m:t>
                  </m:r>
                  <m:r>
                    <m:rPr>
                      <m:sty m:val="p"/>
                    </m:rPr>
                    <m:t>i</m:t>
                  </m:r>
                  <m:r>
                    <m:rPr>
                      <m:sty m:val="p"/>
                    </m:rPr>
                    <m:t>d</m:t>
                  </m:r>
                  <m:r>
                    <m:rPr>
                      <m:sty m:val="p"/>
                    </m:rPr>
                    <m:t>e</m:t>
                  </m:r>
                </m:sub>
              </m:sSub>
            </m:oMath>
            <w:r>
              <w:t xml:space="preserve"> </w:t>
            </w:r>
            <w:r>
              <w:t xml:space="preserve">(three spans)</w:t>
            </w:r>
          </w:p>
        </w:tc>
      </w:tr>
      <w:tr>
        <w:tc>
          <w:tcPr>
            <w:tcW w:type="dxa" w:w="2892"/>
          </w:tcPr>
          <w:p>
            <w:pPr>
              <w:pStyle w:val="Compact"/>
              <w:jc w:val="left"/>
            </w:pPr>
            <m:oMath>
              <m:r>
                <m:t>γ</m:t>
              </m:r>
            </m:oMath>
          </w:p>
        </w:tc>
        <w:tc>
          <w:tcPr>
            <w:tcW w:type="dxa" w:w="6177"/>
          </w:tcPr>
          <w:p>
            <w:pPr>
              <w:pStyle w:val="Compact"/>
              <w:jc w:val="left"/>
            </w:pPr>
            <w:r>
              <w:t xml:space="preserve">rigidity ratio:</w:t>
            </w:r>
            <w:r>
              <w:t xml:space="preserve"> </w:t>
            </w:r>
            <m:oMath>
              <m:r>
                <m:t>E</m:t>
              </m:r>
              <m:sSub>
                <m:e>
                  <m:r>
                    <m:t>I</m:t>
                  </m:r>
                </m:e>
                <m:sub>
                  <m:r>
                    <m:t>2</m:t>
                  </m:r>
                </m:sub>
              </m:sSub>
              <m:r>
                <m:rPr>
                  <m:sty m:val="p"/>
                </m:rPr>
                <m:t>/</m:t>
              </m:r>
              <m:r>
                <m:t>E</m:t>
              </m:r>
              <m:sSub>
                <m:e>
                  <m:r>
                    <m:t>I</m:t>
                  </m:r>
                </m:e>
                <m:sub>
                  <m:r>
                    <m:t>1</m:t>
                  </m:r>
                </m:sub>
              </m:sSub>
            </m:oMath>
            <w:r>
              <w:t xml:space="preserve"> </w:t>
            </w:r>
            <w:r>
              <w:t xml:space="preserve">(two spans, span 1 instrumented);</w:t>
            </w:r>
            <w:r>
              <w:t xml:space="preserve"> </w:t>
            </w:r>
            <m:oMath>
              <m:r>
                <m:t>E</m:t>
              </m:r>
              <m:sSub>
                <m:e>
                  <m:r>
                    <m:t>I</m:t>
                  </m:r>
                </m:e>
                <m:sub>
                  <m:r>
                    <m:rPr>
                      <m:sty m:val="p"/>
                    </m:rPr>
                    <m:t>m</m:t>
                  </m:r>
                  <m:r>
                    <m:rPr>
                      <m:sty m:val="p"/>
                    </m:rPr>
                    <m:t>a</m:t>
                  </m:r>
                  <m:r>
                    <m:rPr>
                      <m:sty m:val="p"/>
                    </m:rPr>
                    <m:t>i</m:t>
                  </m:r>
                  <m:r>
                    <m:rPr>
                      <m:sty m:val="p"/>
                    </m:rPr>
                    <m:t>n</m:t>
                  </m:r>
                </m:sub>
              </m:sSub>
              <m:r>
                <m:rPr>
                  <m:sty m:val="p"/>
                </m:rPr>
                <m:t>/</m:t>
              </m:r>
              <m:r>
                <m:t>E</m:t>
              </m:r>
              <m:sSub>
                <m:e>
                  <m:r>
                    <m:t>I</m:t>
                  </m:r>
                </m:e>
                <m:sub>
                  <m:r>
                    <m:rPr>
                      <m:sty m:val="p"/>
                    </m:rPr>
                    <m:t>s</m:t>
                  </m:r>
                  <m:r>
                    <m:rPr>
                      <m:sty m:val="p"/>
                    </m:rPr>
                    <m:t>i</m:t>
                  </m:r>
                  <m:r>
                    <m:rPr>
                      <m:sty m:val="p"/>
                    </m:rPr>
                    <m:t>d</m:t>
                  </m:r>
                  <m:r>
                    <m:rPr>
                      <m:sty m:val="p"/>
                    </m:rPr>
                    <m:t>e</m:t>
                  </m:r>
                </m:sub>
              </m:sSub>
            </m:oMath>
            <w:r>
              <w:t xml:space="preserve"> </w:t>
            </w:r>
            <w:r>
              <w:t xml:space="preserve">(three spans)</w:t>
            </w:r>
          </w:p>
        </w:tc>
      </w:tr>
      <w:tr>
        <w:tc>
          <w:tcPr>
            <w:tcW w:type="dxa" w:w="2892"/>
          </w:tcPr>
          <w:p>
            <w:pPr>
              <w:pStyle w:val="Compact"/>
              <w:jc w:val="left"/>
            </w:pPr>
            <m:oMath>
              <m:sSub>
                <m:e>
                  <m:r>
                    <m:t>δ</m:t>
                  </m:r>
                </m:e>
                <m:sub>
                  <m:r>
                    <m:t>0</m:t>
                  </m:r>
                </m:sub>
              </m:sSub>
            </m:oMath>
          </w:p>
        </w:tc>
        <w:tc>
          <w:tcPr>
            <w:tcW w:type="dxa" w:w="6177"/>
          </w:tcPr>
          <w:p>
            <w:pPr>
              <w:pStyle w:val="Compact"/>
              <w:jc w:val="left"/>
            </w:pPr>
            <w:r>
              <w:t xml:space="preserve">residual zero offset after re-zeroing before and after a crossing, in the units of the channel (mm for deflection)</w:t>
            </w:r>
          </w:p>
        </w:tc>
      </w:tr>
      <w:tr>
        <w:tc>
          <w:tcPr>
            <w:tcW w:type="dxa" w:w="2892"/>
          </w:tcPr>
          <w:p>
            <w:pPr>
              <w:pStyle w:val="Compact"/>
              <w:jc w:val="left"/>
            </w:pPr>
            <m:oMath>
              <m:r>
                <m:t>ζ</m:t>
              </m:r>
            </m:oMath>
          </w:p>
        </w:tc>
        <w:tc>
          <w:tcPr>
            <w:tcW w:type="dxa" w:w="6177"/>
          </w:tcPr>
          <w:p>
            <w:pPr>
              <w:pStyle w:val="Compact"/>
              <w:jc w:val="left"/>
            </w:pPr>
            <w:r>
              <w:t xml:space="preserve">position in the main span from the pier, as a fraction of the main span</w:t>
            </w:r>
          </w:p>
        </w:tc>
      </w:tr>
      <w:tr>
        <w:tc>
          <w:tcPr>
            <w:tcW w:type="dxa" w:w="2892"/>
          </w:tcPr>
          <w:p>
            <w:pPr>
              <w:pStyle w:val="Compact"/>
              <w:jc w:val="left"/>
            </w:pPr>
            <m:oMath>
              <m:sSub>
                <m:e>
                  <m:r>
                    <m:t>η</m:t>
                  </m:r>
                </m:e>
                <m:sub>
                  <m:r>
                    <m:t>m</m:t>
                  </m:r>
                </m:sub>
              </m:sSub>
            </m:oMath>
          </w:p>
        </w:tc>
        <w:tc>
          <w:tcPr>
            <w:tcW w:type="dxa" w:w="6177"/>
          </w:tcPr>
          <w:p>
            <w:pPr>
              <w:pStyle w:val="Compact"/>
              <w:jc w:val="left"/>
            </w:pPr>
            <w:r>
              <w:t xml:space="preserve">influence line of the channel at</w:t>
            </w:r>
            <w:r>
              <w:t xml:space="preserve"> </w:t>
            </w:r>
            <m:oMath>
              <m:r>
                <m:t>m</m:t>
              </m:r>
            </m:oMath>
          </w:p>
        </w:tc>
      </w:tr>
      <w:tr>
        <w:tc>
          <w:tcPr>
            <w:tcW w:type="dxa" w:w="2892"/>
          </w:tcPr>
          <w:p>
            <w:pPr>
              <w:pStyle w:val="Compact"/>
              <w:jc w:val="left"/>
            </w:pPr>
            <m:oMath>
              <m:r>
                <m:t>κ</m:t>
              </m:r>
            </m:oMath>
          </w:p>
        </w:tc>
        <w:tc>
          <w:tcPr>
            <w:tcW w:type="dxa" w:w="6177"/>
          </w:tcPr>
          <w:p>
            <w:pPr>
              <w:pStyle w:val="Compact"/>
              <w:jc w:val="left"/>
            </w:pPr>
            <w:r>
              <w:t xml:space="preserve">scaled pier stiffness</w:t>
            </w:r>
            <w:r>
              <w:t xml:space="preserve"> </w:t>
            </w:r>
            <m:oMath>
              <m:r>
                <m:t>k</m:t>
              </m:r>
              <m:r>
                <m:rPr>
                  <m:sty m:val="p"/>
                </m:rPr>
                <m:t>/</m:t>
              </m:r>
              <m:r>
                <m:t>α</m:t>
              </m:r>
            </m:oMath>
            <w:r>
              <w:t xml:space="preserve"> </w:t>
            </w:r>
            <w:r>
              <w:t xml:space="preserve">(kN m/rad, since</w:t>
            </w:r>
            <w:r>
              <w:t xml:space="preserve"> </w:t>
            </w:r>
            <m:oMath>
              <m:r>
                <m:t>α</m:t>
              </m:r>
            </m:oMath>
            <w:r>
              <w:t xml:space="preserve"> </w:t>
            </w:r>
            <w:r>
              <w:t xml:space="preserve">is dimensionless)</w:t>
            </w:r>
          </w:p>
        </w:tc>
      </w:tr>
      <w:tr>
        <w:tc>
          <w:tcPr>
            <w:tcW w:type="dxa" w:w="2892"/>
          </w:tcPr>
          <w:p>
            <w:pPr>
              <w:pStyle w:val="Compact"/>
              <w:jc w:val="left"/>
            </w:pPr>
            <m:oMath>
              <m:r>
                <m:t>λ</m:t>
              </m:r>
            </m:oMath>
          </w:p>
        </w:tc>
        <w:tc>
          <w:tcPr>
            <w:tcW w:type="dxa" w:w="6177"/>
          </w:tcPr>
          <w:p>
            <w:pPr>
              <w:pStyle w:val="Compact"/>
              <w:jc w:val="left"/>
            </w:pPr>
            <w:r>
              <w:t xml:space="preserve">span ratio</w:t>
            </w:r>
            <w:r>
              <w:t xml:space="preserve"> </w:t>
            </w:r>
            <m:oMath>
              <m:sSub>
                <m:e>
                  <m:r>
                    <m:t>L</m:t>
                  </m:r>
                </m:e>
                <m:sub>
                  <m:r>
                    <m:t>2</m:t>
                  </m:r>
                </m:sub>
              </m:sSub>
              <m:r>
                <m:rPr>
                  <m:sty m:val="p"/>
                </m:rPr>
                <m:t>/</m:t>
              </m:r>
              <m:sSub>
                <m:e>
                  <m:r>
                    <m:t>L</m:t>
                  </m:r>
                </m:e>
                <m:sub>
                  <m:r>
                    <m:t>1</m:t>
                  </m:r>
                </m:sub>
              </m:sSub>
            </m:oMath>
            <w:r>
              <w:t xml:space="preserve"> </w:t>
            </w:r>
            <w:r>
              <w:t xml:space="preserve">of the adjacent to the instrumented span (two spans)</w:t>
            </w:r>
          </w:p>
        </w:tc>
      </w:tr>
      <w:tr>
        <w:tc>
          <w:tcPr>
            <w:tcW w:type="dxa" w:w="2892"/>
          </w:tcPr>
          <w:p>
            <w:pPr>
              <w:pStyle w:val="Compact"/>
              <w:jc w:val="left"/>
            </w:pPr>
            <m:oMath>
              <m:r>
                <m:t>μ</m:t>
              </m:r>
            </m:oMath>
          </w:p>
        </w:tc>
        <w:tc>
          <w:tcPr>
            <w:tcW w:type="dxa" w:w="6177"/>
          </w:tcPr>
          <w:p>
            <w:pPr>
              <w:pStyle w:val="Compact"/>
              <w:jc w:val="left"/>
            </w:pPr>
            <w:r>
              <w:t xml:space="preserve">interior-moment parameter,</w:t>
            </w:r>
            <w:r>
              <w:t xml:space="preserve"> </w:t>
            </w:r>
            <m:oMath>
              <m:r>
                <m:t>μ</m:t>
              </m:r>
              <m:r>
                <m:rPr>
                  <m:sty m:val="p"/>
                </m:rPr>
                <m:t>=</m:t>
              </m:r>
              <m:r>
                <m:rPr>
                  <m:sty m:val="p"/>
                </m:rPr>
                <m:t>−</m:t>
              </m:r>
              <m:r>
                <m:t>8</m:t>
              </m:r>
              <m:sSub>
                <m:e>
                  <m:r>
                    <m:t>M</m:t>
                  </m:r>
                </m:e>
                <m:sub>
                  <m:r>
                    <m:t>B</m:t>
                  </m:r>
                </m:sub>
              </m:sSub>
              <m:r>
                <m:rPr>
                  <m:sty m:val="p"/>
                </m:rPr>
                <m:t>/</m:t>
              </m:r>
              <m:d>
                <m:dPr>
                  <m:begChr m:val="("/>
                  <m:endChr m:val=")"/>
                  <m:sepChr m:val=""/>
                  <m:grow/>
                </m:dPr>
                <m:e>
                  <m:sSub>
                    <m:e>
                      <m:r>
                        <m:t>q</m:t>
                      </m:r>
                    </m:e>
                    <m:sub>
                      <m:r>
                        <m:t>0</m:t>
                      </m:r>
                    </m:sub>
                  </m:sSub>
                  <m:sSubSup>
                    <m:e>
                      <m:r>
                        <m:t>L</m:t>
                      </m:r>
                    </m:e>
                    <m:sub>
                      <m:r>
                        <m:t>1</m:t>
                      </m:r>
                    </m:sub>
                    <m:sup>
                      <m:r>
                        <m:t>2</m:t>
                      </m:r>
                    </m:sup>
                  </m:sSubSup>
                </m:e>
              </m:d>
            </m:oMath>
          </w:p>
        </w:tc>
      </w:tr>
      <w:tr>
        <w:tc>
          <w:tcPr>
            <w:tcW w:type="dxa" w:w="2892"/>
          </w:tcPr>
          <w:p>
            <w:pPr>
              <w:pStyle w:val="Compact"/>
              <w:jc w:val="left"/>
            </w:pPr>
            <m:oMath>
              <m:r>
                <m:t>ρ</m:t>
              </m:r>
            </m:oMath>
          </w:p>
        </w:tc>
        <w:tc>
          <w:tcPr>
            <w:tcW w:type="dxa" w:w="6177"/>
          </w:tcPr>
          <w:p>
            <w:pPr>
              <w:pStyle w:val="Compact"/>
              <w:jc w:val="left"/>
            </w:pPr>
            <w:r>
              <w:t xml:space="preserve">common-mode fraction of the offset or noise between channels</w:t>
            </w:r>
          </w:p>
        </w:tc>
      </w:tr>
      <w:tr>
        <w:tc>
          <w:tcPr>
            <w:tcW w:type="dxa" w:w="2892"/>
          </w:tcPr>
          <w:p>
            <w:pPr>
              <w:pStyle w:val="Compact"/>
              <w:jc w:val="left"/>
            </w:pPr>
            <m:oMath>
              <m:r>
                <m:t>Σ</m:t>
              </m:r>
            </m:oMath>
          </w:p>
        </w:tc>
        <w:tc>
          <w:tcPr>
            <w:tcW w:type="dxa" w:w="6177"/>
          </w:tcPr>
          <w:p>
            <w:pPr>
              <w:pStyle w:val="Compact"/>
              <w:jc w:val="left"/>
            </w:pPr>
            <w:r>
              <w:t xml:space="preserve">covariance matrix of the channel integrals</w:t>
            </w:r>
          </w:p>
        </w:tc>
      </w:tr>
      <w:tr>
        <w:tc>
          <w:tcPr>
            <w:tcW w:type="dxa" w:w="2892"/>
          </w:tcPr>
          <w:p>
            <w:pPr>
              <w:pStyle w:val="Compact"/>
              <w:jc w:val="left"/>
            </w:pPr>
            <m:oMath>
              <m:r>
                <m:t>σ</m:t>
              </m:r>
            </m:oMath>
            <w:r>
              <w:t xml:space="preserve">,</w:t>
            </w:r>
            <w:r>
              <w:t xml:space="preserve"> </w:t>
            </w:r>
            <m:oMath>
              <m:r>
                <m:t>Δ</m:t>
              </m:r>
              <m:r>
                <m:t>x</m:t>
              </m:r>
            </m:oMath>
          </w:p>
        </w:tc>
        <w:tc>
          <w:tcPr>
            <w:tcW w:type="dxa" w:w="6177"/>
          </w:tcPr>
          <w:p>
            <w:pPr>
              <w:pStyle w:val="Compact"/>
              <w:jc w:val="left"/>
            </w:pPr>
            <w:r>
              <w:t xml:space="preserve">standard deviation of the white noise of a record; sampling interval along the record</w:t>
            </w:r>
          </w:p>
        </w:tc>
      </w:tr>
      <w:tr>
        <w:tc>
          <w:tcPr>
            <w:tcW w:type="dxa" w:w="2892"/>
          </w:tcPr>
          <w:p>
            <w:pPr>
              <w:pStyle w:val="Compact"/>
              <w:jc w:val="left"/>
            </w:pPr>
            <m:oMath>
              <m:sSub>
                <m:e>
                  <m:r>
                    <m:t>σ</m:t>
                  </m:r>
                </m:e>
                <m:sub>
                  <m:r>
                    <m:t>P</m:t>
                  </m:r>
                  <m:r>
                    <m:rPr>
                      <m:sty m:val="p"/>
                    </m:rPr>
                    <m:t>,</m:t>
                  </m:r>
                  <m:r>
                    <m:rPr>
                      <m:sty m:val="p"/>
                    </m:rPr>
                    <m:t>n</m:t>
                  </m:r>
                  <m:r>
                    <m:rPr>
                      <m:sty m:val="p"/>
                    </m:rPr>
                    <m:t>o</m:t>
                  </m:r>
                  <m:r>
                    <m:rPr>
                      <m:sty m:val="p"/>
                    </m:rPr>
                    <m:t>i</m:t>
                  </m:r>
                  <m:r>
                    <m:rPr>
                      <m:sty m:val="p"/>
                    </m:rPr>
                    <m:t>s</m:t>
                  </m:r>
                  <m:r>
                    <m:rPr>
                      <m:sty m:val="p"/>
                    </m:rPr>
                    <m:t>e</m:t>
                  </m:r>
                </m:sub>
              </m:sSub>
            </m:oMath>
          </w:p>
        </w:tc>
        <w:tc>
          <w:tcPr>
            <w:tcW w:type="dxa" w:w="6177"/>
          </w:tcPr>
          <w:p>
            <w:pPr>
              <w:pStyle w:val="Compact"/>
              <w:jc w:val="left"/>
            </w:pPr>
            <w:r>
              <w:t xml:space="preserve">standard deviation of the load estimate caused by white noise</w:t>
            </w:r>
          </w:p>
        </w:tc>
      </w:tr>
      <w:tr>
        <w:tc>
          <w:tcPr>
            <w:tcW w:type="dxa" w:w="2892"/>
          </w:tcPr>
          <w:p>
            <w:pPr>
              <w:pStyle w:val="Compact"/>
              <w:jc w:val="left"/>
            </w:pPr>
            <m:oMath>
              <m:r>
                <m:t>τ</m:t>
              </m:r>
            </m:oMath>
          </w:p>
        </w:tc>
        <w:tc>
          <w:tcPr>
            <w:tcW w:type="dxa" w:w="6177"/>
          </w:tcPr>
          <w:p>
            <w:pPr>
              <w:pStyle w:val="Compact"/>
              <w:jc w:val="left"/>
            </w:pPr>
            <w:r>
              <w:t xml:space="preserve">tolerance on the static misfit of a gauge</w:t>
            </w:r>
          </w:p>
        </w:tc>
      </w:tr>
      <w:tr>
        <w:tc>
          <w:tcPr>
            <w:tcW w:type="dxa" w:w="2892"/>
          </w:tcPr>
          <w:p>
            <w:pPr>
              <w:pStyle w:val="Compact"/>
              <w:jc w:val="left"/>
            </w:pPr>
            <m:oMath>
              <m:r>
                <m:t>ξ</m:t>
              </m:r>
            </m:oMath>
          </w:p>
        </w:tc>
        <w:tc>
          <w:tcPr>
            <w:tcW w:type="dxa" w:w="6177"/>
          </w:tcPr>
          <w:p>
            <w:pPr>
              <w:pStyle w:val="Compact"/>
              <w:jc w:val="left"/>
            </w:pPr>
            <w:r>
              <w:t xml:space="preserve">sensor position as a fraction of its span</w:t>
            </w:r>
          </w:p>
        </w:tc>
      </w:tr>
      <w:tr>
        <w:tc>
          <w:tcPr>
            <w:tcW w:type="dxa" w:w="2892"/>
          </w:tcPr>
          <w:p>
            <w:pPr>
              <w:pStyle w:val="Compact"/>
              <w:jc w:val="left"/>
            </w:pPr>
            <w:r>
              <w:t xml:space="preserve">BPM</w:t>
            </w:r>
          </w:p>
        </w:tc>
        <w:tc>
          <w:tcPr>
            <w:tcW w:type="dxa" w:w="6177"/>
          </w:tcPr>
          <w:p>
            <w:pPr>
              <w:pStyle w:val="Compact"/>
              <w:jc w:val="left"/>
            </w:pPr>
            <w:r>
              <w:t xml:space="preserve">beam-property method: load = record integral / modelled constant</w:t>
            </w:r>
          </w:p>
        </w:tc>
      </w:tr>
      <w:tr>
        <w:tc>
          <w:tcPr>
            <w:tcW w:type="dxa" w:w="2892"/>
          </w:tcPr>
          <w:p>
            <w:pPr>
              <w:pStyle w:val="Compact"/>
              <w:jc w:val="left"/>
            </w:pPr>
            <w:r>
              <w:t xml:space="preserve">SLM</w:t>
            </w:r>
          </w:p>
        </w:tc>
        <w:tc>
          <w:tcPr>
            <w:tcW w:type="dxa" w:w="6177"/>
          </w:tcPr>
          <w:p>
            <w:pPr>
              <w:pStyle w:val="Compact"/>
              <w:jc w:val="left"/>
            </w:pPr>
            <w:r>
              <w:t xml:space="preserve">standard-load method: constant taken from a crossing of known weight</w:t>
            </w:r>
          </w:p>
        </w:tc>
      </w:tr>
      <w:tr>
        <w:tc>
          <w:tcPr>
            <w:tcW w:type="dxa" w:w="2892"/>
          </w:tcPr>
          <w:p>
            <w:pPr>
              <w:pStyle w:val="Compact"/>
              <w:jc w:val="left"/>
            </w:pPr>
            <w:r>
              <w:t xml:space="preserve">WIM, BWIM, NOR</w:t>
            </w:r>
          </w:p>
        </w:tc>
        <w:tc>
          <w:tcPr>
            <w:tcW w:type="dxa" w:w="6177"/>
          </w:tcPr>
          <w:p>
            <w:pPr>
              <w:pStyle w:val="Compact"/>
              <w:jc w:val="left"/>
            </w:pPr>
            <w:r>
              <w:t xml:space="preserve">weigh-in-motion; bridge weigh-in-motion; Nothing-on-Road (no sensors on the road surface)</w:t>
            </w:r>
          </w:p>
        </w:tc>
      </w:tr>
      <w:tr>
        <w:tc>
          <w:tcPr>
            <w:tcW w:type="dxa" w:w="2892"/>
          </w:tcPr>
          <w:p>
            <w:pPr>
              <w:pStyle w:val="Compact"/>
              <w:jc w:val="left"/>
            </w:pPr>
            <w:r>
              <w:t xml:space="preserve">CI, CV, MAE, SD</w:t>
            </w:r>
          </w:p>
        </w:tc>
        <w:tc>
          <w:tcPr>
            <w:tcW w:type="dxa" w:w="6177"/>
          </w:tcPr>
          <w:p>
            <w:pPr>
              <w:pStyle w:val="Compact"/>
              <w:jc w:val="left"/>
            </w:pPr>
            <w:r>
              <w:t xml:space="preserve">confidence interval; coefficient of variation; mean absolute error; standard deviation</w:t>
            </w:r>
          </w:p>
        </w:tc>
      </w:tr>
      <w:tr>
        <w:tc>
          <w:tcPr>
            <w:tcW w:type="dxa" w:w="2892"/>
          </w:tcPr>
          <w:p>
            <w:pPr>
              <w:pStyle w:val="Compact"/>
              <w:jc w:val="left"/>
            </w:pPr>
            <w:r>
              <w:t xml:space="preserve">FE</w:t>
            </w:r>
          </w:p>
        </w:tc>
        <w:tc>
          <w:tcPr>
            <w:tcW w:type="dxa" w:w="6177"/>
          </w:tcPr>
          <w:p>
            <w:pPr>
              <w:pStyle w:val="Compact"/>
              <w:jc w:val="left"/>
            </w:pPr>
            <w:r>
              <w:t xml:space="preserve">finite element</w:t>
            </w:r>
          </w:p>
        </w:tc>
      </w:tr>
      <w:tr>
        <w:tc>
          <w:tcPr>
            <w:tcW w:type="dxa" w:w="2892"/>
          </w:tcPr>
          <w:p>
            <w:pPr>
              <w:pStyle w:val="Compact"/>
              <w:jc w:val="left"/>
            </w:pPr>
            <w:r>
              <w:t xml:space="preserve">GLS</w:t>
            </w:r>
          </w:p>
        </w:tc>
        <w:tc>
          <w:tcPr>
            <w:tcW w:type="dxa" w:w="6177"/>
          </w:tcPr>
          <w:p>
            <w:pPr>
              <w:pStyle w:val="Compact"/>
              <w:jc w:val="left"/>
            </w:pPr>
            <w:r>
              <w:t xml:space="preserve">generalised least squares</w:t>
            </w:r>
          </w:p>
        </w:tc>
      </w:tr>
      <w:tr>
        <w:tc>
          <w:tcPr>
            <w:tcW w:type="dxa" w:w="2892"/>
          </w:tcPr>
          <w:p>
            <w:pPr>
              <w:pStyle w:val="Compact"/>
              <w:jc w:val="left"/>
            </w:pPr>
            <w:r>
              <w:t xml:space="preserve">GUM</w:t>
            </w:r>
          </w:p>
        </w:tc>
        <w:tc>
          <w:tcPr>
            <w:tcW w:type="dxa" w:w="6177"/>
          </w:tcPr>
          <w:p>
            <w:pPr>
              <w:pStyle w:val="Compact"/>
              <w:jc w:val="left"/>
            </w:pPr>
            <w:r>
              <w:t xml:space="preserve">Guide to the Expression of Uncertainty in Measurement</w:t>
            </w:r>
          </w:p>
        </w:tc>
      </w:tr>
      <w:tr>
        <w:tc>
          <w:tcPr>
            <w:tcW w:type="dxa" w:w="2892"/>
          </w:tcPr>
          <w:p>
            <w:pPr>
              <w:pStyle w:val="Compact"/>
              <w:jc w:val="left"/>
            </w:pPr>
            <w:r>
              <w:t xml:space="preserve">GVW</w:t>
            </w:r>
          </w:p>
        </w:tc>
        <w:tc>
          <w:tcPr>
            <w:tcW w:type="dxa" w:w="6177"/>
          </w:tcPr>
          <w:p>
            <w:pPr>
              <w:pStyle w:val="Compact"/>
              <w:jc w:val="left"/>
            </w:pPr>
            <w:r>
              <w:t xml:space="preserve">gross vehicle weight</w:t>
            </w:r>
          </w:p>
        </w:tc>
      </w:tr>
      <w:tr>
        <w:tc>
          <w:tcPr>
            <w:tcW w:type="dxa" w:w="2892"/>
          </w:tcPr>
          <w:p>
            <w:pPr>
              <w:pStyle w:val="Compact"/>
              <w:jc w:val="left"/>
            </w:pPr>
            <w:r>
              <w:t xml:space="preserve">LOO, LOTO</w:t>
            </w:r>
          </w:p>
        </w:tc>
        <w:tc>
          <w:tcPr>
            <w:tcW w:type="dxa" w:w="6177"/>
          </w:tcPr>
          <w:p>
            <w:pPr>
              <w:pStyle w:val="Compact"/>
              <w:jc w:val="left"/>
            </w:pPr>
            <w:r>
              <w:t xml:space="preserve">leave-one-run-out and leave-one-truck-out cross-validation</w:t>
            </w:r>
          </w:p>
        </w:tc>
      </w:tr>
      <w:tr>
        <w:tc>
          <w:tcPr>
            <w:tcW w:type="dxa" w:w="2892"/>
          </w:tcPr>
          <w:p>
            <w:pPr>
              <w:pStyle w:val="Compact"/>
              <w:jc w:val="left"/>
            </w:pPr>
            <m:oMath>
              <m:sSup>
                <m:e>
                  <m:r>
                    <m:t>r</m:t>
                  </m:r>
                </m:e>
                <m:sup>
                  <m:r>
                    <m:t>2</m:t>
                  </m:r>
                </m:sup>
              </m:sSup>
            </m:oMath>
          </w:p>
        </w:tc>
        <w:tc>
          <w:tcPr>
            <w:tcW w:type="dxa" w:w="6177"/>
          </w:tcPr>
          <w:p>
            <w:pPr>
              <w:pStyle w:val="Compact"/>
              <w:jc w:val="left"/>
            </w:pPr>
            <w:r>
              <w:t xml:space="preserve">coefficient of determination</w:t>
            </w:r>
          </w:p>
        </w:tc>
      </w:tr>
      <w:tr>
        <w:tc>
          <w:tcPr>
            <w:tcW w:type="dxa" w:w="2892"/>
          </w:tcPr>
          <w:p>
            <w:pPr>
              <w:pStyle w:val="Compact"/>
              <w:jc w:val="left"/>
            </w:pPr>
            <w:r>
              <w:t xml:space="preserve">TOST</w:t>
            </w:r>
          </w:p>
        </w:tc>
        <w:tc>
          <w:tcPr>
            <w:tcW w:type="dxa" w:w="6177"/>
          </w:tcPr>
          <w:p>
            <w:pPr>
              <w:pStyle w:val="Compact"/>
              <w:jc w:val="left"/>
            </w:pPr>
            <w:r>
              <w:t xml:space="preserve">two one-sided tests of equivalence</w:t>
            </w:r>
          </w:p>
        </w:tc>
      </w:tr>
      <w:tr>
        <w:tc>
          <w:tcPr>
            <w:tcW w:type="dxa" w:w="2892"/>
          </w:tcPr>
          <w:p>
            <w:pPr>
              <w:pStyle w:val="Compact"/>
              <w:jc w:val="left"/>
            </w:pPr>
            <w:r>
              <w:t xml:space="preserve">N7, N8</w:t>
            </w:r>
          </w:p>
        </w:tc>
        <w:tc>
          <w:tcPr>
            <w:tcW w:type="dxa" w:w="6177"/>
          </w:tcPr>
          <w:p>
            <w:pPr>
              <w:pStyle w:val="Compact"/>
              <w:jc w:val="left"/>
            </w:pPr>
            <w:r>
              <w:t xml:space="preserve">deflection gauges at mid main span and at 0.4L of a side span (Cầu Mây)</w:t>
            </w:r>
          </w:p>
        </w:tc>
      </w:tr>
      <w:tr>
        <w:tc>
          <w:tcPr>
            <w:tcW w:type="dxa" w:w="2892"/>
          </w:tcPr>
          <w:p>
            <w:pPr>
              <w:pStyle w:val="Compact"/>
              <w:jc w:val="left"/>
            </w:pPr>
            <w:r>
              <w:t xml:space="preserve">T5, T7, T8</w:t>
            </w:r>
          </w:p>
        </w:tc>
        <w:tc>
          <w:tcPr>
            <w:tcW w:type="dxa" w:w="6177"/>
          </w:tcPr>
          <w:p>
            <w:pPr>
              <w:pStyle w:val="Compact"/>
              <w:jc w:val="left"/>
            </w:pPr>
            <w:r>
              <w:t xml:space="preserve">supports of the Cầu Mây main bridge (Section 5.1)</w:t>
            </w:r>
          </w:p>
        </w:tc>
      </w:tr>
    </w:tbl>
    <w:bookmarkEnd w:id="21"/>
    <w:bookmarkStart w:id="22" w:name="introduction"/>
    <w:p>
      <w:pPr>
        <w:pStyle w:val="Heading2"/>
      </w:pPr>
      <w:r>
        <w:t xml:space="preserve">1. Introduction</w:t>
      </w:r>
    </w:p>
    <w:p>
      <w:pPr>
        <w:pStyle w:val="FirstParagraph"/>
      </w:pPr>
      <w:r>
        <w:t xml:space="preserve">Heavy vehicles above the design envelope shorten the life of highway bridges and, in extreme cases, contribute to collapse. A span of the Yangmingtan Bridge failed in 2012 under four overloaded trucks crossing together [1]. In other documented failures, heavy traffic acted together with design deficiencies or material degradation [2,3]. Knowing the loads that a bridge actually carries is therefore part of risk-informed asset management [4].</w:t>
      </w:r>
    </w:p>
    <w:p>
      <w:pPr>
        <w:pStyle w:val="BodyText"/>
      </w:pPr>
      <w:r>
        <w:t xml:space="preserve">Pavement weigh-in-motion (WIM) is mature [5,6] and has codified accuracy classes [7], but it weighs the vehicle rather than the load on a particular bridge. Bridge weigh-in-motion (BWIM), introduced by Moses [8], fits the measured response to axle loads times influence-line ordinates. It now includes influence lines calibrated from measurements [9], regularised solutions [10], accuracy improvements [11,12], contactless sensing [13] and virtual-axle methods without axle detectors [14]. Nothing-on-Road (NOR) systems also estimate the transverse position of the vehicle [15]. Moving-force identification recovers axle-load histories in the time or frequency domain [16–18]. It has been applied to multi-span bridges [19] and extended with dynamic and Kalman-filter formulations [20–22]. These methods aim at axle loads and need several sensors, a structural model or a regularised inversion.</w:t>
      </w:r>
    </w:p>
    <w:p>
      <w:pPr>
        <w:pStyle w:val="BodyText"/>
      </w:pPr>
      <w:r>
        <w:t xml:space="preserve">A simpler family estimates only the gross weight from the area under the response. Ojio and Yamada integrated the strain records of plate-girder stringers, multiplied the result by the speed and calibrated it against a truck of known weight [23]; this calibration is called the standard-load method (SLM) below. The method has been used in long-term monitoring [24]. On a seven-span slab-on-girder bridge it was accurate to within 5 % for test trucks with well-estimated speeds [25,26]. Later work added strain-area and strain-integral variants [27–29], shear-strain weighing [30], a sparse-sensing influence-area system that chose the number and location of strain gauges on a single-span bridge [31], simplified BWIM in the field [32] and load-cell reactions [33]. Yan et al. proposed a probabilistic, influence-line-free gross-weight scheme based on a transmissibility-like index [34]. The integral of the influence line has also served as a damage feature [35,36], and the present authors used the integral of mid-span deflection on a simply supported beam [37].</w:t>
      </w:r>
    </w:p>
    <w:p>
      <w:pPr>
        <w:pStyle w:val="BodyText"/>
      </w:pPr>
      <w:r>
        <w:t xml:space="preserve">The identity behind all of these methods is classical: the area under an influence line equals the response to a uniform unit load, which is how design codes evaluate distributed lane loads [38]. Combining several channels by generalised least squares (GLS) is equally standard, and its zero-sum variant, with channel weights that add up to zero, is the familiar differential measurement against a reference.</w:t>
      </w:r>
    </w:p>
    <w:p>
      <w:pPr>
        <w:pStyle w:val="BodyText"/>
      </w:pPr>
      <w:r>
        <w:t xml:space="preserve">On continuous girders, however, the influence line changes sign over each interior support, and positive and negative areas partly cancel. Gross weight has been obtained without influence lines from distributed fibre-optic strain on a five-span continuous bridge [39]. Lane-specific influence lines were needed on a continuous multi-girder bridge [40], and long-span continuous box girders have been weighed from deck strain [41–43]. Deng et al. used the area under displacement influence lines of a continuous rigid-frame bridge and, because the net area of a multi-span influence line is small, replaced it by the area of its absolute value [44]. Optimal sensor placement for BWIM has been posed through an augmented Kalman filter [45], deflection-based load identification as a regularised stochastic problem [46,47], and measured deflection influence lines have been inverted for the stiffness of continuous girders [48]. None of these studies gives a criterion, available before installation, that says which channel at which position can observe the total load at all, how robustly to uncertain boundary conditions, and what a multi-channel integral estimator can deliver on real records.</w:t>
      </w:r>
    </w:p>
    <w:p>
      <w:pPr>
        <w:pStyle w:val="BodyText"/>
      </w:pPr>
      <w:r>
        <w:t xml:space="preserve">This paper supplies such criteria. Neither the influence-area identity nor the GLS estimator is new; the contribution lies in the criteria built on them:</w:t>
      </w:r>
    </w:p>
    <w:p>
      <w:pPr>
        <w:numPr>
          <w:ilvl w:val="0"/>
          <w:numId w:val="1001"/>
        </w:numPr>
        <w:pStyle w:val="BodyText"/>
      </w:pPr>
      <w:r>
        <w:t xml:space="preserve">a closed-form catalogue of blind loci for deflection, strain, rotation, shear and reaction channels on two- and three-span and haunched girders, including the near-blind band that can contain strain gauges set back from the piers;</w:t>
      </w:r>
    </w:p>
    <w:p>
      <w:pPr>
        <w:numPr>
          <w:ilvl w:val="0"/>
          <w:numId w:val="1001"/>
        </w:numPr>
        <w:pStyle w:val="BodyText"/>
      </w:pPr>
      <w:r>
        <w:t xml:space="preserve">the strain indicator</w:t>
      </w:r>
      <w:r>
        <w:t xml:space="preserve"> </w:t>
      </w:r>
      <m:oMath>
        <m:sSub>
          <m:e>
            <m:r>
              <m:t>N</m:t>
            </m:r>
          </m:e>
          <m:sub>
            <m:r>
              <m:t>M</m:t>
            </m:r>
          </m:sub>
        </m:sSub>
      </m:oMath>
      <w:r>
        <w:t xml:space="preserve">, which needs no reference rigidity, the cancellation ratio</w:t>
      </w:r>
      <w:r>
        <w:t xml:space="preserve"> </w:t>
      </w:r>
      <m:oMath>
        <m:r>
          <m:t>R</m:t>
        </m:r>
      </m:oMath>
      <w:r>
        <w:t xml:space="preserve">, which separates cancellation from restraint, and a normalisation of the deflection indicator that makes its threshold explicit;</w:t>
      </w:r>
    </w:p>
    <w:p>
      <w:pPr>
        <w:numPr>
          <w:ilvl w:val="0"/>
          <w:numId w:val="1001"/>
        </w:numPr>
        <w:pStyle w:val="BodyText"/>
      </w:pPr>
      <w:r>
        <w:t xml:space="preserve">a placement rule: optimal sensors lie at the extremes of the uniform-load response, for strain at the extremes of</w:t>
      </w:r>
      <w:r>
        <w:t xml:space="preserve"> </w:t>
      </w:r>
      <m:oMath>
        <m:r>
          <m:t>c</m:t>
        </m:r>
        <m:sSub>
          <m:e>
            <m:r>
              <m:t>M</m:t>
            </m:r>
          </m:e>
          <m:sub>
            <m:r>
              <m:t>q</m:t>
            </m:r>
          </m:sub>
        </m:sSub>
        <m:r>
          <m:rPr>
            <m:sty m:val="p"/>
          </m:rPr>
          <m:t>/</m:t>
        </m:r>
        <m:r>
          <m:t>E</m:t>
        </m:r>
        <m:r>
          <m:t>I</m:t>
        </m:r>
      </m:oMath>
      <w:r>
        <w:t xml:space="preserve">;</w:t>
      </w:r>
    </w:p>
    <w:p>
      <w:pPr>
        <w:numPr>
          <w:ilvl w:val="0"/>
          <w:numId w:val="1001"/>
        </w:numPr>
        <w:pStyle w:val="BodyText"/>
      </w:pPr>
      <w:r>
        <w:t xml:space="preserve">an identifiability analysis of the constant under boundary uncertainty: the constant depends on pier stiffness only through the scaled pier stiffness</w:t>
      </w:r>
      <w:r>
        <w:t xml:space="preserve"> </w:t>
      </w:r>
      <m:oMath>
        <m:r>
          <m:t>κ</m:t>
        </m:r>
        <m:r>
          <m:rPr>
            <m:sty m:val="p"/>
          </m:rPr>
          <m:t>=</m:t>
        </m:r>
        <m:r>
          <m:t>k</m:t>
        </m:r>
        <m:r>
          <m:rPr>
            <m:sty m:val="p"/>
          </m:rPr>
          <m:t>/</m:t>
        </m:r>
        <m:r>
          <m:t>α</m:t>
        </m:r>
      </m:oMath>
      <w:r>
        <w:t xml:space="preserve">, following a linear-fractional (Möbius) law, and the analysis names the measurement that resolves it;</w:t>
      </w:r>
    </w:p>
    <w:p>
      <w:pPr>
        <w:numPr>
          <w:ilvl w:val="0"/>
          <w:numId w:val="1001"/>
        </w:numPr>
        <w:pStyle w:val="BodyText"/>
      </w:pPr>
      <w:r>
        <w:t xml:space="preserve">an assessment, on a laboratory beam and on public moving-truck records, of what single- and multi-channel integral estimators can and cannot deliver.</w:t>
      </w:r>
    </w:p>
    <w:p>
      <w:pPr>
        <w:pStyle w:val="FirstParagraph"/>
      </w:pPr>
      <w:r>
        <w:t xml:space="preserve">Section 2 develops the theory, Section 3 checks it in the laboratory, Section 4 assesses it on public field records, Section 5 applies it to an in-service box girder, and Sections 6 and 7 give the error budget and the design workflow.</w:t>
      </w:r>
    </w:p>
    <w:bookmarkEnd w:id="22"/>
    <w:bookmarkStart w:id="28" w:name="theory"/>
    <w:p>
      <w:pPr>
        <w:pStyle w:val="Heading2"/>
      </w:pPr>
      <w:r>
        <w:t xml:space="preserve">2. Theory</w:t>
      </w:r>
    </w:p>
    <w:p>
      <w:pPr>
        <w:pStyle w:val="FirstParagraph"/>
      </w:pPr>
      <w:r>
        <w:t xml:space="preserve">This section states the classical identity with its validity envelope, then derives the blind loci, the indicators, the multi-channel estimator with its placement rule, and the identifiability of the constant. Derivations are in Appendices A–C.</w:t>
      </w:r>
    </w:p>
    <w:bookmarkStart w:id="23" w:name="influence-area-identity"/>
    <w:p>
      <w:pPr>
        <w:pStyle w:val="Heading3"/>
      </w:pPr>
      <w:r>
        <w:t xml:space="preserve">2.1. Influence-area identity</w:t>
      </w:r>
    </w:p>
    <w:p>
      <w:pPr>
        <w:pStyle w:val="FirstParagraph"/>
      </w:pPr>
      <w:r>
        <w:t xml:space="preserve">Consider a linear-elastic structure whose properties do not change during a crossing, with any distribution</w:t>
      </w:r>
      <w:r>
        <w:t xml:space="preserve"> </w:t>
      </w:r>
      <m:oMath>
        <m:r>
          <m:t>E</m:t>
        </m:r>
        <m:r>
          <m:t>I</m:t>
        </m:r>
        <m:d>
          <m:dPr>
            <m:begChr m:val="("/>
            <m:endChr m:val=")"/>
            <m:sepChr m:val=""/>
            <m:grow/>
          </m:dPr>
          <m:e>
            <m:r>
              <m:t>x</m:t>
            </m:r>
          </m:e>
        </m:d>
      </m:oMath>
      <w:r>
        <w:t xml:space="preserve"> </w:t>
      </w:r>
      <w:r>
        <w:t xml:space="preserve">and any linear-elastic supports. A response channel at a fixed point</w:t>
      </w:r>
      <w:r>
        <w:t xml:space="preserve"> </w:t>
      </w:r>
      <m:oMath>
        <m:r>
          <m:t>m</m:t>
        </m:r>
      </m:oMath>
      <w:r>
        <w:t xml:space="preserve"> </w:t>
      </w:r>
      <w:r>
        <w:t xml:space="preserve">is any fixed linear functional of the displacement field, measured from the unloaded state: the deflection</w:t>
      </w:r>
      <w:r>
        <w:t xml:space="preserve"> </w:t>
      </w:r>
      <m:oMath>
        <m:r>
          <m:t>w</m:t>
        </m:r>
        <m:d>
          <m:dPr>
            <m:begChr m:val="("/>
            <m:endChr m:val=")"/>
            <m:sepChr m:val=""/>
            <m:grow/>
          </m:dPr>
          <m:e>
            <m:sSub>
              <m:e>
                <m:r>
                  <m:t>x</m:t>
                </m:r>
              </m:e>
              <m:sub>
                <m:r>
                  <m:t>m</m:t>
                </m:r>
              </m:sub>
            </m:sSub>
          </m:e>
        </m:d>
      </m:oMath>
      <w:r>
        <w:t xml:space="preserve">, the rotation</w:t>
      </w:r>
      <w:r>
        <w:t xml:space="preserve"> </w:t>
      </w:r>
      <m:oMath>
        <m:r>
          <m:t>w</m:t>
        </m:r>
        <m:r>
          <m:rPr>
            <m:sty m:val="p"/>
          </m:rPr>
          <m:t>′</m:t>
        </m:r>
        <m:d>
          <m:dPr>
            <m:begChr m:val="("/>
            <m:endChr m:val=")"/>
            <m:sepChr m:val=""/>
            <m:grow/>
          </m:dPr>
          <m:e>
            <m:sSub>
              <m:e>
                <m:r>
                  <m:t>x</m:t>
                </m:r>
              </m:e>
              <m:sub>
                <m:r>
                  <m:t>m</m:t>
                </m:r>
              </m:sub>
            </m:sSub>
          </m:e>
        </m:d>
      </m:oMath>
      <w:r>
        <w:t xml:space="preserve">, the bending moment, the fibre strain</w:t>
      </w:r>
      <w:r>
        <w:t xml:space="preserve"> </w:t>
      </w:r>
      <m:oMath>
        <m:r>
          <m:t>ε</m:t>
        </m:r>
        <m:r>
          <m:rPr>
            <m:sty m:val="p"/>
          </m:rPr>
          <m:t>=</m:t>
        </m:r>
        <m:r>
          <m:t>c</m:t>
        </m:r>
        <m:r>
          <m:t>M</m:t>
        </m:r>
        <m:r>
          <m:rPr>
            <m:sty m:val="p"/>
          </m:rPr>
          <m:t>/</m:t>
        </m:r>
        <m:r>
          <m:t>E</m:t>
        </m:r>
        <m:r>
          <m:t>I</m:t>
        </m:r>
      </m:oMath>
      <w:r>
        <w:t xml:space="preserve">, the shear force or a support reaction. Let</w:t>
      </w:r>
      <w:r>
        <w:t xml:space="preserve"> </w:t>
      </w:r>
      <m:oMath>
        <m:sSub>
          <m:e>
            <m:r>
              <m:t>η</m:t>
            </m:r>
          </m:e>
          <m:sub>
            <m:r>
              <m:t>m</m:t>
            </m:r>
          </m:sub>
        </m:sSub>
        <m:d>
          <m:dPr>
            <m:begChr m:val="("/>
            <m:endChr m:val=")"/>
            <m:sepChr m:val=""/>
            <m:grow/>
          </m:dPr>
          <m:e>
            <m:r>
              <m:t>x</m:t>
            </m:r>
          </m:e>
        </m:d>
      </m:oMath>
      <w:r>
        <w:t xml:space="preserve"> </w:t>
      </w:r>
      <w:r>
        <w:t xml:space="preserve">be its influence line, with</w:t>
      </w:r>
      <w:r>
        <w:t xml:space="preserve"> </w:t>
      </w:r>
      <m:oMath>
        <m:sSub>
          <m:e>
            <m:r>
              <m:t>η</m:t>
            </m:r>
          </m:e>
          <m:sub>
            <m:r>
              <m:t>m</m:t>
            </m:r>
          </m:sub>
        </m:sSub>
        <m:r>
          <m:rPr>
            <m:sty m:val="p"/>
          </m:rPr>
          <m:t>=</m:t>
        </m:r>
        <m:r>
          <m:t>0</m:t>
        </m:r>
      </m:oMath>
      <w:r>
        <w:t xml:space="preserve"> </w:t>
      </w:r>
      <w:r>
        <w:t xml:space="preserve">outside the loaded path</w:t>
      </w:r>
      <w:r>
        <w:t xml:space="preserve"> </w:t>
      </w:r>
      <m:oMath>
        <m:d>
          <m:dPr>
            <m:begChr m:val="["/>
            <m:endChr m:val="]"/>
            <m:sepChr m:val=""/>
            <m:grow/>
          </m:dPr>
          <m:e>
            <m:r>
              <m:t>0</m:t>
            </m:r>
            <m:r>
              <m:rPr>
                <m:sty m:val="p"/>
              </m:rPr>
              <m:t>,</m:t>
            </m:r>
            <m:sSub>
              <m:e>
                <m:r>
                  <m:t>L</m:t>
                </m:r>
              </m:e>
              <m:sub>
                <m:r>
                  <m:t>p</m:t>
                </m:r>
              </m:sub>
            </m:sSub>
          </m:e>
        </m:d>
      </m:oMath>
      <w:r>
        <w:t xml:space="preserve">. A convoy of axle loads</w:t>
      </w:r>
      <w:r>
        <w:t xml:space="preserve"> </w:t>
      </w:r>
      <m:oMath>
        <m:sSub>
          <m:e>
            <m:r>
              <m:t>P</m:t>
            </m:r>
          </m:e>
          <m:sub>
            <m:r>
              <m:t>i</m:t>
            </m:r>
          </m:sub>
        </m:sSub>
      </m:oMath>
      <w:r>
        <w:t xml:space="preserve"> </w:t>
      </w:r>
      <w:r>
        <w:t xml:space="preserve">at fixed offsets</w:t>
      </w:r>
      <w:r>
        <w:t xml:space="preserve"> </w:t>
      </w:r>
      <m:oMath>
        <m:sSub>
          <m:e>
            <m:r>
              <m:t>d</m:t>
            </m:r>
          </m:e>
          <m:sub>
            <m:r>
              <m:t>i</m:t>
            </m:r>
          </m:sub>
        </m:sSub>
      </m:oMath>
      <w:r>
        <w:t xml:space="preserve"> </w:t>
      </w:r>
      <w:r>
        <w:t xml:space="preserve">(</w:t>
      </w:r>
      <m:oMath>
        <m:sSub>
          <m:e>
            <m:r>
              <m:t>d</m:t>
            </m:r>
          </m:e>
          <m:sub>
            <m:r>
              <m:t>1</m:t>
            </m:r>
          </m:sub>
        </m:sSub>
        <m:r>
          <m:rPr>
            <m:sty m:val="p"/>
          </m:rPr>
          <m:t>=</m:t>
        </m:r>
        <m:r>
          <m:t>0</m:t>
        </m:r>
      </m:oMath>
      <w:r>
        <w:t xml:space="preserve">) crosses quasi-statically, so the record is</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y</m:t>
                    </m:r>
                  </m:e>
                  <m:sub>
                    <m:r>
                      <m:t>m</m:t>
                    </m:r>
                  </m:sub>
                </m:sSub>
                <m:d>
                  <m:dPr>
                    <m:begChr m:val="("/>
                    <m:endChr m:val=")"/>
                    <m:sepChr m:val=""/>
                    <m:grow/>
                  </m:dPr>
                  <m:e>
                    <m:r>
                      <m:t>x</m:t>
                    </m:r>
                  </m:e>
                </m:d>
                <m:r>
                  <m:rPr>
                    <m:sty m:val="p"/>
                  </m:rPr>
                  <m:t>=</m:t>
                </m:r>
                <m:nary>
                  <m:naryPr>
                    <m:chr m:val="∑"/>
                    <m:limLoc m:val="undOvr"/>
                    <m:subHide m:val="off"/>
                    <m:supHide m:val="off"/>
                  </m:naryPr>
                  <m:sub>
                    <m:r>
                      <m:t>i</m:t>
                    </m:r>
                    <m:r>
                      <m:rPr>
                        <m:sty m:val="p"/>
                      </m:rPr>
                      <m:t>=</m:t>
                    </m:r>
                    <m:r>
                      <m:t>1</m:t>
                    </m:r>
                  </m:sub>
                  <m:sup>
                    <m:r>
                      <m:t>n</m:t>
                    </m:r>
                  </m:sup>
                  <m:e>
                    <m:sSub>
                      <m:e>
                        <m:r>
                          <m:t>P</m:t>
                        </m:r>
                      </m:e>
                      <m:sub>
                        <m:r>
                          <m:t>i</m:t>
                        </m:r>
                      </m:sub>
                    </m:sSub>
                  </m:e>
                </m:nary>
                <m:r>
                  <m:t> </m:t>
                </m:r>
                <m:sSub>
                  <m:e>
                    <m:r>
                      <m:t>η</m:t>
                    </m:r>
                  </m:e>
                  <m:sub>
                    <m:r>
                      <m:t>m</m:t>
                    </m:r>
                  </m:sub>
                </m:sSub>
                <m:d>
                  <m:dPr>
                    <m:begChr m:val="("/>
                    <m:endChr m:val=")"/>
                    <m:sepChr m:val=""/>
                    <m:grow/>
                  </m:dPr>
                  <m:e>
                    <m:r>
                      <m:t>x</m:t>
                    </m:r>
                    <m:r>
                      <m:rPr>
                        <m:sty m:val="p"/>
                      </m:rPr>
                      <m:t>−</m:t>
                    </m:r>
                    <m:sSub>
                      <m:e>
                        <m:r>
                          <m:t>d</m:t>
                        </m:r>
                      </m:e>
                      <m:sub>
                        <m:r>
                          <m:t>i</m:t>
                        </m:r>
                      </m:sub>
                    </m:sSub>
                  </m:e>
                </m:d>
                <m:r>
                  <m:rPr>
                    <m:sty m:val="p"/>
                  </m:rPr>
                  <m:t>.</m:t>
                </m:r>
              </m:oMath>
            </m:oMathPara>
          </w:p>
        </w:tc>
        <w:tc>
          <w:tcPr>
            <w:tcW w:type="dxa" w:w="1088"/>
            <w:vAlign w:val="center"/>
          </w:tcPr>
          <w:p>
            <w:pPr>
              <w:jc w:val="right"/>
            </w:pPr>
            <w:r>
              <w:t xml:space="preserve">(1)</w:t>
            </w:r>
          </w:p>
        </w:tc>
      </w:tr>
    </w:tbl>
    <w:p>
      <w:pPr>
        <w:pStyle w:val="BodyText"/>
      </w:pPr>
      <w:r>
        <w:t xml:space="preserve">Integrating Eq. (1) over the complete crossing and substituting</w:t>
      </w:r>
      <w:r>
        <w:t xml:space="preserve"> </w:t>
      </w:r>
      <m:oMath>
        <m:r>
          <m:t>u</m:t>
        </m:r>
        <m:r>
          <m:rPr>
            <m:sty m:val="p"/>
          </m:rPr>
          <m:t>=</m:t>
        </m:r>
        <m:r>
          <m:t>x</m:t>
        </m:r>
        <m:r>
          <m:rPr>
            <m:sty m:val="p"/>
          </m:rPr>
          <m:t>−</m:t>
        </m:r>
        <m:sSub>
          <m:e>
            <m:r>
              <m:t>d</m:t>
            </m:r>
          </m:e>
          <m:sub>
            <m:r>
              <m:t>i</m:t>
            </m:r>
          </m:sub>
        </m:sSub>
      </m:oMath>
      <w:r>
        <w:t xml:space="preserve"> </w:t>
      </w:r>
      <w:r>
        <w:t xml:space="preserve">term by term gives the record integral</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J</m:t>
                    </m:r>
                  </m:e>
                  <m:sub>
                    <m:r>
                      <m:t>m</m:t>
                    </m:r>
                  </m:sub>
                </m:sSub>
                <m:r>
                  <m:rPr>
                    <m:sty m:val="p"/>
                  </m:rPr>
                  <m:t>=</m:t>
                </m:r>
                <m:nary>
                  <m:naryPr>
                    <m:chr m:val="∫"/>
                    <m:limLoc m:val="subSup"/>
                    <m:subHide m:val="off"/>
                    <m:supHide m:val="off"/>
                  </m:naryPr>
                  <m:sub>
                    <m:r>
                      <m:t>0</m:t>
                    </m:r>
                  </m:sub>
                  <m:sup>
                    <m:sSub>
                      <m:e>
                        <m:r>
                          <m:t>L</m:t>
                        </m:r>
                      </m:e>
                      <m:sub>
                        <m:r>
                          <m:t>p</m:t>
                        </m:r>
                      </m:sub>
                    </m:sSub>
                    <m:r>
                      <m:rPr>
                        <m:sty m:val="p"/>
                      </m:rPr>
                      <m:t>+</m:t>
                    </m:r>
                    <m:sSub>
                      <m:e>
                        <m:r>
                          <m:t>d</m:t>
                        </m:r>
                      </m:e>
                      <m:sub>
                        <m:r>
                          <m:rPr>
                            <m:sty m:val="p"/>
                          </m:rPr>
                          <m:t>m</m:t>
                        </m:r>
                        <m:r>
                          <m:rPr>
                            <m:sty m:val="p"/>
                          </m:rPr>
                          <m:t>a</m:t>
                        </m:r>
                        <m:r>
                          <m:rPr>
                            <m:sty m:val="p"/>
                          </m:rPr>
                          <m:t>x</m:t>
                        </m:r>
                      </m:sub>
                    </m:sSub>
                  </m:sup>
                  <m:e>
                    <m:sSub>
                      <m:e>
                        <m:r>
                          <m:t>y</m:t>
                        </m:r>
                      </m:e>
                      <m:sub>
                        <m:r>
                          <m:t>m</m:t>
                        </m:r>
                      </m:sub>
                    </m:sSub>
                  </m:e>
                </m:nary>
                <m:r>
                  <m:t> </m:t>
                </m:r>
                <m:r>
                  <m:rPr>
                    <m:sty m:val="p"/>
                  </m:rPr>
                  <m:t>d</m:t>
                </m:r>
                <m:r>
                  <m:t>x</m:t>
                </m:r>
                <m:r>
                  <m:rPr>
                    <m:sty m:val="p"/>
                  </m:rPr>
                  <m:t>=</m:t>
                </m:r>
                <m:sSub>
                  <m:e>
                    <m:r>
                      <m:t>P</m:t>
                    </m:r>
                  </m:e>
                  <m:sub>
                    <m:r>
                      <m:rPr>
                        <m:sty m:val="p"/>
                      </m:rPr>
                      <m:t>t</m:t>
                    </m:r>
                    <m:r>
                      <m:rPr>
                        <m:sty m:val="p"/>
                      </m:rPr>
                      <m:t>o</m:t>
                    </m:r>
                    <m:r>
                      <m:rPr>
                        <m:sty m:val="p"/>
                      </m:rPr>
                      <m:t>t</m:t>
                    </m:r>
                  </m:sub>
                </m:sSub>
                <m:r>
                  <m:t> </m:t>
                </m:r>
                <m:sSub>
                  <m:e>
                    <m:r>
                      <m:t>C</m:t>
                    </m:r>
                  </m:e>
                  <m:sub>
                    <m:r>
                      <m:t>m</m:t>
                    </m:r>
                  </m:sub>
                </m:sSub>
                <m:r>
                  <m:rPr>
                    <m:sty m:val="p"/>
                  </m:rPr>
                  <m:t>,</m:t>
                </m:r>
                <m:r>
                  <m:t>  </m:t>
                </m:r>
                <m:sSub>
                  <m:e>
                    <m:r>
                      <m:t>C</m:t>
                    </m:r>
                  </m:e>
                  <m:sub>
                    <m:r>
                      <m:t>m</m:t>
                    </m:r>
                  </m:sub>
                </m:sSub>
                <m:r>
                  <m:rPr>
                    <m:sty m:val="p"/>
                  </m:rPr>
                  <m:t>=</m:t>
                </m:r>
                <m:nary>
                  <m:naryPr>
                    <m:chr m:val="∫"/>
                    <m:limLoc m:val="subSup"/>
                    <m:subHide m:val="off"/>
                    <m:supHide m:val="off"/>
                  </m:naryPr>
                  <m:sub>
                    <m:r>
                      <m:t>0</m:t>
                    </m:r>
                  </m:sub>
                  <m:sup>
                    <m:sSub>
                      <m:e>
                        <m:r>
                          <m:t>L</m:t>
                        </m:r>
                      </m:e>
                      <m:sub>
                        <m:r>
                          <m:t>p</m:t>
                        </m:r>
                      </m:sub>
                    </m:sSub>
                  </m:sup>
                  <m:e>
                    <m:sSub>
                      <m:e>
                        <m:r>
                          <m:t>η</m:t>
                        </m:r>
                      </m:e>
                      <m:sub>
                        <m:r>
                          <m:t>m</m:t>
                        </m:r>
                      </m:sub>
                    </m:sSub>
                  </m:e>
                </m:nary>
                <m:d>
                  <m:dPr>
                    <m:begChr m:val="("/>
                    <m:endChr m:val=")"/>
                    <m:sepChr m:val=""/>
                    <m:grow/>
                  </m:dPr>
                  <m:e>
                    <m:r>
                      <m:t>u</m:t>
                    </m:r>
                  </m:e>
                </m:d>
                <m:r>
                  <m:t> </m:t>
                </m:r>
                <m:r>
                  <m:rPr>
                    <m:sty m:val="p"/>
                  </m:rPr>
                  <m:t>d</m:t>
                </m:r>
                <m:r>
                  <m:t>u</m:t>
                </m:r>
                <m:r>
                  <m:rPr>
                    <m:sty m:val="p"/>
                  </m:rPr>
                  <m:t>=</m:t>
                </m:r>
                <m:f>
                  <m:fPr>
                    <m:type m:val="bar"/>
                  </m:fPr>
                  <m:num>
                    <m:sSub>
                      <m:e>
                        <m:r>
                          <m:t>y</m:t>
                        </m:r>
                      </m:e>
                      <m:sub>
                        <m:r>
                          <m:t>m</m:t>
                        </m:r>
                      </m:sub>
                    </m:sSub>
                    <m:d>
                      <m:dPr>
                        <m:begChr m:val="["/>
                        <m:endChr m:val="]"/>
                        <m:sepChr m:val=""/>
                        <m:grow/>
                      </m:dPr>
                      <m:e>
                        <m:sSub>
                          <m:e>
                            <m:r>
                              <m:t>q</m:t>
                            </m:r>
                          </m:e>
                          <m:sub>
                            <m:r>
                              <m:t>0</m:t>
                            </m:r>
                          </m:sub>
                        </m:sSub>
                      </m:e>
                    </m:d>
                  </m:num>
                  <m:den>
                    <m:sSub>
                      <m:e>
                        <m:r>
                          <m:t>q</m:t>
                        </m:r>
                      </m:e>
                      <m:sub>
                        <m:r>
                          <m:t>0</m:t>
                        </m:r>
                      </m:sub>
                    </m:sSub>
                  </m:den>
                </m:f>
                <m:r>
                  <m:rPr>
                    <m:sty m:val="p"/>
                  </m:rPr>
                  <m:t>,</m:t>
                </m:r>
              </m:oMath>
            </m:oMathPara>
          </w:p>
        </w:tc>
        <w:tc>
          <w:tcPr>
            <w:tcW w:type="dxa" w:w="1088"/>
            <w:vAlign w:val="center"/>
          </w:tcPr>
          <w:p>
            <w:pPr>
              <w:jc w:val="right"/>
            </w:pPr>
            <w:r>
              <w:t xml:space="preserve">(2)</w:t>
            </w:r>
          </w:p>
        </w:tc>
      </w:tr>
    </w:tbl>
    <w:p>
      <w:pPr>
        <w:pStyle w:val="BodyText"/>
      </w:pPr>
      <w:r>
        <w:t xml:space="preserve">where</w:t>
      </w:r>
      <w:r>
        <w:t xml:space="preserve"> </w:t>
      </w:r>
      <m:oMath>
        <m:sSub>
          <m:e>
            <m:r>
              <m:t>y</m:t>
            </m:r>
          </m:e>
          <m:sub>
            <m:r>
              <m:t>m</m:t>
            </m:r>
          </m:sub>
        </m:sSub>
        <m:d>
          <m:dPr>
            <m:begChr m:val="["/>
            <m:endChr m:val="]"/>
            <m:sepChr m:val=""/>
            <m:grow/>
          </m:dPr>
          <m:e>
            <m:sSub>
              <m:e>
                <m:r>
                  <m:t>q</m:t>
                </m:r>
              </m:e>
              <m:sub>
                <m:r>
                  <m:t>0</m:t>
                </m:r>
              </m:sub>
            </m:sSub>
          </m:e>
        </m:d>
      </m:oMath>
      <w:r>
        <w:t xml:space="preserve"> </w:t>
      </w:r>
      <w:r>
        <w:t xml:space="preserve">is the response of the channel to a uniform load</w:t>
      </w:r>
      <w:r>
        <w:t xml:space="preserve"> </w:t>
      </w:r>
      <m:oMath>
        <m:sSub>
          <m:e>
            <m:r>
              <m:t>q</m:t>
            </m:r>
          </m:e>
          <m:sub>
            <m:r>
              <m:t>0</m:t>
            </m:r>
          </m:sub>
        </m:sSub>
      </m:oMath>
      <w:r>
        <w:t xml:space="preserve"> </w:t>
      </w:r>
      <w:r>
        <w:t xml:space="preserve">over the whole path. This is the classical influence-area identity [23,38]; the second equality needs superposition only.</w:t>
      </w:r>
      <w:r>
        <w:t xml:space="preserve"> </w:t>
      </w:r>
      <m:oMath>
        <m:sSub>
          <m:e>
            <m:r>
              <m:t>C</m:t>
            </m:r>
          </m:e>
          <m:sub>
            <m:r>
              <m:t>m</m:t>
            </m:r>
          </m:sub>
        </m:sSub>
      </m:oMath>
      <w:r>
        <w:t xml:space="preserve"> </w:t>
      </w:r>
      <w:r>
        <w:t xml:space="preserve">is called the integral constant, or simply the constant;</w:t>
      </w:r>
      <w:r>
        <w:t xml:space="preserve"> </w:t>
      </w:r>
      <m:oMath>
        <m:sSub>
          <m:e>
            <m:r>
              <m:t>C</m:t>
            </m:r>
          </m:e>
          <m:sub>
            <m:r>
              <m:t>ε</m:t>
            </m:r>
          </m:sub>
        </m:sSub>
      </m:oMath>
      <w:r>
        <w:t xml:space="preserve">,</w:t>
      </w:r>
      <w:r>
        <w:t xml:space="preserve"> </w:t>
      </w:r>
      <m:oMath>
        <m:sSub>
          <m:e>
            <m:r>
              <m:t>C</m:t>
            </m:r>
          </m:e>
          <m:sub>
            <m:r>
              <m:t>θ</m:t>
            </m:r>
          </m:sub>
        </m:sSub>
      </m:oMath>
      <w:r>
        <w:t xml:space="preserve"> </w:t>
      </w:r>
      <w:r>
        <w:t xml:space="preserve">and</w:t>
      </w:r>
      <w:r>
        <w:t xml:space="preserve"> </w:t>
      </w:r>
      <m:oMath>
        <m:sSub>
          <m:e>
            <m:r>
              <m:t>C</m:t>
            </m:r>
          </m:e>
          <m:sub>
            <m:r>
              <m:t>V</m:t>
            </m:r>
          </m:sub>
        </m:sSub>
      </m:oMath>
      <w:r>
        <w:t xml:space="preserve"> </w:t>
      </w:r>
      <w:r>
        <w:t xml:space="preserve">denote it for strain, rotation and shear channels. For a strain gauge,</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C</m:t>
                    </m:r>
                  </m:e>
                  <m:sub>
                    <m:r>
                      <m:t>ε</m:t>
                    </m:r>
                  </m:sub>
                </m:sSub>
                <m:r>
                  <m:rPr>
                    <m:sty m:val="p"/>
                  </m:rPr>
                  <m:t>=</m:t>
                </m:r>
                <m:f>
                  <m:fPr>
                    <m:type m:val="bar"/>
                  </m:fPr>
                  <m:num>
                    <m:sSub>
                      <m:e>
                        <m:r>
                          <m:t>c</m:t>
                        </m:r>
                      </m:e>
                      <m:sub>
                        <m:r>
                          <m:t>m</m:t>
                        </m:r>
                      </m:sub>
                    </m:sSub>
                    <m:r>
                      <m:t> </m:t>
                    </m:r>
                    <m:sSub>
                      <m:e>
                        <m:r>
                          <m:t>M</m:t>
                        </m:r>
                      </m:e>
                      <m:sub>
                        <m:r>
                          <m:t>q</m:t>
                        </m:r>
                      </m:sub>
                    </m:sSub>
                    <m:d>
                      <m:dPr>
                        <m:begChr m:val="("/>
                        <m:endChr m:val=")"/>
                        <m:sepChr m:val=""/>
                        <m:grow/>
                      </m:dPr>
                      <m:e>
                        <m:sSub>
                          <m:e>
                            <m:r>
                              <m:t>x</m:t>
                            </m:r>
                          </m:e>
                          <m:sub>
                            <m:r>
                              <m:t>m</m:t>
                            </m:r>
                          </m:sub>
                        </m:sSub>
                      </m:e>
                    </m:d>
                  </m:num>
                  <m:den>
                    <m:r>
                      <m:t>E</m:t>
                    </m:r>
                    <m:sSub>
                      <m:e>
                        <m:r>
                          <m:t>I</m:t>
                        </m:r>
                      </m:e>
                      <m:sub>
                        <m:r>
                          <m:t>m</m:t>
                        </m:r>
                      </m:sub>
                    </m:sSub>
                    <m:r>
                      <m:t> </m:t>
                    </m:r>
                    <m:sSub>
                      <m:e>
                        <m:r>
                          <m:t>q</m:t>
                        </m:r>
                      </m:e>
                      <m:sub>
                        <m:r>
                          <m:t>0</m:t>
                        </m:r>
                      </m:sub>
                    </m:sSub>
                  </m:den>
                </m:f>
                <m:r>
                  <m:rPr>
                    <m:sty m:val="p"/>
                  </m:rPr>
                  <m:t>.</m:t>
                </m:r>
              </m:oMath>
            </m:oMathPara>
          </w:p>
        </w:tc>
        <w:tc>
          <w:tcPr>
            <w:tcW w:type="dxa" w:w="1088"/>
            <w:vAlign w:val="center"/>
          </w:tcPr>
          <w:p>
            <w:pPr>
              <w:jc w:val="right"/>
            </w:pPr>
            <w:r>
              <w:t xml:space="preserve">(3)</w:t>
            </w:r>
          </w:p>
        </w:tc>
      </w:tr>
    </w:tbl>
    <w:p>
      <w:pPr>
        <w:pStyle w:val="BodyText"/>
      </w:pPr>
      <w:r>
        <w:t xml:space="preserve">The local section constants enter Eq. (3) only as a gain, so a strain channel is blind exactly at the zeros of the uniform-load moment diagram, for any</w:t>
      </w:r>
      <w:r>
        <w:t xml:space="preserve"> </w:t>
      </w:r>
      <m:oMath>
        <m:r>
          <m:t>E</m:t>
        </m:r>
        <m:r>
          <m:t>I</m:t>
        </m:r>
        <m:d>
          <m:dPr>
            <m:begChr m:val="("/>
            <m:endChr m:val=")"/>
            <m:sepChr m:val=""/>
            <m:grow/>
          </m:dPr>
          <m:e>
            <m:r>
              <m:t>x</m:t>
            </m:r>
          </m:e>
        </m:d>
      </m:oMath>
      <w:r>
        <w:t xml:space="preserve"> </w:t>
      </w:r>
      <w:r>
        <w:t xml:space="preserve">and any elastic supports. At constant speed</w:t>
      </w:r>
      <w:r>
        <w:t xml:space="preserve"> </w:t>
      </w:r>
      <m:oMath>
        <m:r>
          <m:t>v</m:t>
        </m:r>
      </m:oMath>
      <w:r>
        <w:t xml:space="preserve"> </w:t>
      </w:r>
      <w:r>
        <w:t xml:space="preserve">the time integral is</w:t>
      </w:r>
      <w:r>
        <w:t xml:space="preserve"> </w:t>
      </w:r>
      <m:oMath>
        <m:sSub>
          <m:e>
            <m:r>
              <m:t>J</m:t>
            </m:r>
          </m:e>
          <m:sub>
            <m:r>
              <m:t>m</m:t>
            </m:r>
          </m:sub>
        </m:sSub>
        <m:r>
          <m:rPr>
            <m:sty m:val="p"/>
          </m:rPr>
          <m:t>/</m:t>
        </m:r>
        <m:r>
          <m:t>v</m:t>
        </m:r>
      </m:oMath>
      <w:r>
        <w:t xml:space="preserve">.</w:t>
      </w:r>
    </w:p>
    <w:p>
      <w:pPr>
        <w:pStyle w:val="BodyText"/>
      </w:pPr>
      <w:r>
        <w:t xml:space="preserve">Two single-channel estimators follow from Eq. (2). The beam-property method (BPM) computes</w:t>
      </w:r>
      <w:r>
        <w:t xml:space="preserve"> </w:t>
      </w:r>
      <m:oMath>
        <m:r>
          <m:t>C</m:t>
        </m:r>
      </m:oMath>
      <w:r>
        <w:t xml:space="preserve"> </w:t>
      </w:r>
      <w:r>
        <w:t xml:space="preserve">from a structural model and returns</w:t>
      </w:r>
      <w:r>
        <w:t xml:space="preserve"> </w:t>
      </w:r>
      <m:oMath>
        <m:r>
          <m:t>P</m:t>
        </m:r>
        <m:r>
          <m:rPr>
            <m:sty m:val="p"/>
          </m:rPr>
          <m:t>=</m:t>
        </m:r>
        <m:r>
          <m:t>J</m:t>
        </m:r>
        <m:r>
          <m:rPr>
            <m:sty m:val="p"/>
          </m:rPr>
          <m:t>/</m:t>
        </m:r>
        <m:r>
          <m:t>C</m:t>
        </m:r>
      </m:oMath>
      <w:r>
        <w:t xml:space="preserve">. The standard-load method (SLM) takes the constant from a reference crossing of known weight</w:t>
      </w:r>
      <w:r>
        <w:t xml:space="preserve"> </w:t>
      </w:r>
      <m:oMath>
        <m:sSub>
          <m:e>
            <m:r>
              <m:t>P</m:t>
            </m:r>
          </m:e>
          <m:sub>
            <m:r>
              <m:t>0</m:t>
            </m:r>
          </m:sub>
        </m:sSub>
      </m:oMath>
      <w:r>
        <w:t xml:space="preserve"> </w:t>
      </w:r>
      <w:r>
        <w:t xml:space="preserve">and returns</w:t>
      </w:r>
      <w:r>
        <w:t xml:space="preserve"> </w:t>
      </w:r>
      <m:oMath>
        <m:sSub>
          <m:e>
            <m:r>
              <m:t>P</m:t>
            </m:r>
          </m:e>
          <m:sub>
            <m:r>
              <m:t>t</m:t>
            </m:r>
          </m:sub>
        </m:sSub>
        <m:r>
          <m:rPr>
            <m:sty m:val="p"/>
          </m:rPr>
          <m:t>=</m:t>
        </m:r>
        <m:sSub>
          <m:e>
            <m:r>
              <m:t>P</m:t>
            </m:r>
          </m:e>
          <m:sub>
            <m:r>
              <m:t>0</m:t>
            </m:r>
          </m:sub>
        </m:sSub>
        <m:sSub>
          <m:e>
            <m:r>
              <m:t>J</m:t>
            </m:r>
          </m:e>
          <m:sub>
            <m:r>
              <m:t>t</m:t>
            </m:r>
          </m:sub>
        </m:sSub>
        <m:r>
          <m:rPr>
            <m:sty m:val="p"/>
          </m:rPr>
          <m:t>/</m:t>
        </m:r>
        <m:sSub>
          <m:e>
            <m:r>
              <m:t>J</m:t>
            </m:r>
          </m:e>
          <m:sub>
            <m:r>
              <m:t>0</m:t>
            </m:r>
          </m:sub>
        </m:sSub>
      </m:oMath>
      <w:r>
        <w:t xml:space="preserve"> </w:t>
      </w:r>
      <w:r>
        <w:t xml:space="preserve">[23].</w:t>
      </w:r>
    </w:p>
    <w:p>
      <w:pPr>
        <w:pStyle w:val="BodyText"/>
      </w:pPr>
      <w:r>
        <w:t xml:space="preserve">Eq. (2) holds under five conditions, each of which the later sections test. The structure must be linear and time-invariant during the crossing (Section 3 and the superposition test of Section 4.2). A quasi-static response is assumed (Section 6). Because the axles must follow the path on which</w:t>
      </w:r>
      <w:r>
        <w:t xml:space="preserve"> </w:t>
      </w:r>
      <m:oMath>
        <m:sSub>
          <m:e>
            <m:r>
              <m:t>η</m:t>
            </m:r>
          </m:e>
          <m:sub>
            <m:r>
              <m:t>m</m:t>
            </m:r>
          </m:sub>
        </m:sSub>
      </m:oMath>
      <w:r>
        <w:t xml:space="preserve"> </w:t>
      </w:r>
      <w:r>
        <w:t xml:space="preserve">is defined, each lane has its own constant (Section 4.2). A complete crossing is needed: truncating the record when the first axle leaves changes the rotation integral by up to 59 % on a two-span example (Appendix B). The record must be re-zeroed to the unloaded state, and any residual offset or slow drift enters the integral directly (Sections 2.3 and 4.3).</w:t>
      </w:r>
    </w:p>
    <w:bookmarkEnd w:id="23"/>
    <w:bookmarkStart w:id="24" w:name="closed-form-blind-loci"/>
    <w:p>
      <w:pPr>
        <w:pStyle w:val="Heading3"/>
      </w:pPr>
      <w:r>
        <w:t xml:space="preserve">2.2. Closed-form blind loci</w:t>
      </w:r>
    </w:p>
    <w:p>
      <w:pPr>
        <w:pStyle w:val="FirstParagraph"/>
      </w:pPr>
      <w:r>
        <w:t xml:space="preserve">For a prismatic span under a uniform load, every channel is fixed by the two end moments. Each end moment</w:t>
      </w:r>
      <w:r>
        <w:t xml:space="preserve"> </w:t>
      </w:r>
      <m:oMath>
        <m:r>
          <m:t>M</m:t>
        </m:r>
      </m:oMath>
      <w:r>
        <w:t xml:space="preserve"> </w:t>
      </w:r>
      <w:r>
        <w:t xml:space="preserve">is written in dimensionless form as</w:t>
      </w:r>
      <w:r>
        <w:t xml:space="preserve"> </w:t>
      </w:r>
      <m:oMath>
        <m:acc>
          <m:accPr>
            <m:chr m:val="‾"/>
          </m:accPr>
          <m:e>
            <m:r>
              <m:t>M</m:t>
            </m:r>
          </m:e>
        </m:acc>
        <m:r>
          <m:rPr>
            <m:sty m:val="p"/>
          </m:rPr>
          <m:t>=</m:t>
        </m:r>
        <m:r>
          <m:rPr>
            <m:sty m:val="p"/>
          </m:rPr>
          <m:t>−</m:t>
        </m:r>
        <m:r>
          <m:t>8</m:t>
        </m:r>
        <m:r>
          <m:t>M</m:t>
        </m:r>
        <m:r>
          <m:rPr>
            <m:sty m:val="p"/>
          </m:rPr>
          <m:t>/</m:t>
        </m:r>
        <m:d>
          <m:dPr>
            <m:begChr m:val="("/>
            <m:endChr m:val=")"/>
            <m:sepChr m:val=""/>
            <m:grow/>
          </m:dPr>
          <m:e>
            <m:sSub>
              <m:e>
                <m:r>
                  <m:t>q</m:t>
                </m:r>
              </m:e>
              <m:sub>
                <m:r>
                  <m:t>0</m:t>
                </m:r>
              </m:sub>
            </m:sSub>
            <m:sSup>
              <m:e>
                <m:r>
                  <m:t>L</m:t>
                </m:r>
              </m:e>
              <m:sup>
                <m:r>
                  <m:t>2</m:t>
                </m:r>
              </m:sup>
            </m:sSup>
          </m:e>
        </m:d>
      </m:oMath>
      <w:r>
        <w:t xml:space="preserve">, positive for hogging:</w:t>
      </w:r>
      <w:r>
        <w:t xml:space="preserve"> </w:t>
      </w:r>
      <m:oMath>
        <m:sSub>
          <m:e>
            <m:acc>
              <m:accPr>
                <m:chr m:val="‾"/>
              </m:accPr>
              <m:e>
                <m:r>
                  <m:t>M</m:t>
                </m:r>
              </m:e>
            </m:acc>
          </m:e>
          <m:sub>
            <m:r>
              <m:t>l</m:t>
            </m:r>
          </m:sub>
        </m:sSub>
      </m:oMath>
      <w:r>
        <w:t xml:space="preserve"> </w:t>
      </w:r>
      <w:r>
        <w:t xml:space="preserve">at the left end and</w:t>
      </w:r>
      <w:r>
        <w:t xml:space="preserve"> </w:t>
      </w:r>
      <m:oMath>
        <m:sSub>
          <m:e>
            <m:acc>
              <m:accPr>
                <m:chr m:val="‾"/>
              </m:accPr>
              <m:e>
                <m:r>
                  <m:t>M</m:t>
                </m:r>
              </m:e>
            </m:acc>
          </m:e>
          <m:sub>
            <m:r>
              <m:t>r</m:t>
            </m:r>
          </m:sub>
        </m:sSub>
      </m:oMath>
      <w:r>
        <w:t xml:space="preserve"> </w:t>
      </w:r>
      <w:r>
        <w:t xml:space="preserve">at the right end. In the instrumented span of a two-span beam and in the side span of a symmetric three-span beam,</w:t>
      </w:r>
      <w:r>
        <w:t xml:space="preserve"> </w:t>
      </w:r>
      <m:oMath>
        <m:d>
          <m:dPr>
            <m:begChr m:val="("/>
            <m:endChr m:val=")"/>
            <m:sepChr m:val=""/>
            <m:grow/>
          </m:dPr>
          <m:e>
            <m:sSub>
              <m:e>
                <m:acc>
                  <m:accPr>
                    <m:chr m:val="‾"/>
                  </m:accPr>
                  <m:e>
                    <m:r>
                      <m:t>M</m:t>
                    </m:r>
                  </m:e>
                </m:acc>
              </m:e>
              <m:sub>
                <m:r>
                  <m:t>l</m:t>
                </m:r>
              </m:sub>
            </m:sSub>
            <m:r>
              <m:rPr>
                <m:sty m:val="p"/>
              </m:rPr>
              <m:t>,</m:t>
            </m:r>
            <m:sSub>
              <m:e>
                <m:acc>
                  <m:accPr>
                    <m:chr m:val="‾"/>
                  </m:accPr>
                  <m:e>
                    <m:r>
                      <m:t>M</m:t>
                    </m:r>
                  </m:e>
                </m:acc>
              </m:e>
              <m:sub>
                <m:r>
                  <m:t>r</m:t>
                </m:r>
              </m:sub>
            </m:sSub>
          </m:e>
        </m:d>
        <m:r>
          <m:rPr>
            <m:sty m:val="p"/>
          </m:rPr>
          <m:t>=</m:t>
        </m:r>
        <m:d>
          <m:dPr>
            <m:begChr m:val="("/>
            <m:endChr m:val=")"/>
            <m:sepChr m:val=""/>
            <m:grow/>
          </m:dPr>
          <m:e>
            <m:r>
              <m:t>0</m:t>
            </m:r>
            <m:r>
              <m:rPr>
                <m:sty m:val="p"/>
              </m:rPr>
              <m:t>,</m:t>
            </m:r>
            <m:r>
              <m:t>μ</m:t>
            </m:r>
          </m:e>
        </m:d>
      </m:oMath>
      <w:r>
        <w:t xml:space="preserve">, where</w:t>
      </w:r>
      <w:r>
        <w:t xml:space="preserve"> </w:t>
      </w:r>
      <m:oMath>
        <m:r>
          <m:t>μ</m:t>
        </m:r>
      </m:oMath>
      <w:r>
        <w:t xml:space="preserve"> </w:t>
      </w:r>
      <w:r>
        <w:t xml:space="preserve">is the classical interior-moment parameter (Appendix A; [38]). It depends on the span ratio,</w:t>
      </w:r>
      <w:r>
        <w:t xml:space="preserve"> </w:t>
      </w:r>
      <m:oMath>
        <m:r>
          <m:t>λ</m:t>
        </m:r>
        <m:r>
          <m:rPr>
            <m:sty m:val="p"/>
          </m:rPr>
          <m:t>=</m:t>
        </m:r>
        <m:sSub>
          <m:e>
            <m:r>
              <m:t>L</m:t>
            </m:r>
          </m:e>
          <m:sub>
            <m:r>
              <m:t>2</m:t>
            </m:r>
          </m:sub>
        </m:sSub>
        <m:r>
          <m:rPr>
            <m:sty m:val="p"/>
          </m:rPr>
          <m:t>/</m:t>
        </m:r>
        <m:sSub>
          <m:e>
            <m:r>
              <m:t>L</m:t>
            </m:r>
          </m:e>
          <m:sub>
            <m:r>
              <m:t>1</m:t>
            </m:r>
          </m:sub>
        </m:sSub>
      </m:oMath>
      <w:r>
        <w:t xml:space="preserve"> </w:t>
      </w:r>
      <w:r>
        <w:t xml:space="preserve">for two spans and</w:t>
      </w:r>
      <w:r>
        <w:t xml:space="preserve"> </w:t>
      </w:r>
      <m:oMath>
        <m:r>
          <m:t>β</m:t>
        </m:r>
        <m:r>
          <m:rPr>
            <m:sty m:val="p"/>
          </m:rPr>
          <m:t>=</m:t>
        </m:r>
        <m:sSub>
          <m:e>
            <m:r>
              <m:t>L</m:t>
            </m:r>
          </m:e>
          <m:sub>
            <m:r>
              <m:rPr>
                <m:sty m:val="p"/>
              </m:rPr>
              <m:t>m</m:t>
            </m:r>
            <m:r>
              <m:rPr>
                <m:sty m:val="p"/>
              </m:rPr>
              <m:t>a</m:t>
            </m:r>
            <m:r>
              <m:rPr>
                <m:sty m:val="p"/>
              </m:rPr>
              <m:t>i</m:t>
            </m:r>
            <m:r>
              <m:rPr>
                <m:sty m:val="p"/>
              </m:rPr>
              <m:t>n</m:t>
            </m:r>
          </m:sub>
        </m:sSub>
        <m:r>
          <m:rPr>
            <m:sty m:val="p"/>
          </m:rPr>
          <m:t>/</m:t>
        </m:r>
        <m:sSub>
          <m:e>
            <m:r>
              <m:t>L</m:t>
            </m:r>
          </m:e>
          <m:sub>
            <m:r>
              <m:rPr>
                <m:sty m:val="p"/>
              </m:rPr>
              <m:t>s</m:t>
            </m:r>
            <m:r>
              <m:rPr>
                <m:sty m:val="p"/>
              </m:rPr>
              <m:t>i</m:t>
            </m:r>
            <m:r>
              <m:rPr>
                <m:sty m:val="p"/>
              </m:rPr>
              <m:t>d</m:t>
            </m:r>
            <m:r>
              <m:rPr>
                <m:sty m:val="p"/>
              </m:rPr>
              <m:t>e</m:t>
            </m:r>
          </m:sub>
        </m:sSub>
      </m:oMath>
      <w:r>
        <w:t xml:space="preserve"> </w:t>
      </w:r>
      <w:r>
        <w:t xml:space="preserve">for three spans, and on the rigidity ratio</w:t>
      </w:r>
      <w:r>
        <w:t xml:space="preserve"> </w:t>
      </w:r>
      <m:oMath>
        <m:r>
          <m:t>γ</m:t>
        </m:r>
      </m:oMath>
      <w:r>
        <w:t xml:space="preserve">, which is</w:t>
      </w:r>
      <w:r>
        <w:t xml:space="preserve"> </w:t>
      </w:r>
      <m:oMath>
        <m:r>
          <m:t>E</m:t>
        </m:r>
        <m:sSub>
          <m:e>
            <m:r>
              <m:t>I</m:t>
            </m:r>
          </m:e>
          <m:sub>
            <m:r>
              <m:t>2</m:t>
            </m:r>
          </m:sub>
        </m:sSub>
        <m:r>
          <m:rPr>
            <m:sty m:val="p"/>
          </m:rPr>
          <m:t>/</m:t>
        </m:r>
        <m:r>
          <m:t>E</m:t>
        </m:r>
        <m:sSub>
          <m:e>
            <m:r>
              <m:t>I</m:t>
            </m:r>
          </m:e>
          <m:sub>
            <m:r>
              <m:t>1</m:t>
            </m:r>
          </m:sub>
        </m:sSub>
      </m:oMath>
      <w:r>
        <w:t xml:space="preserve"> </w:t>
      </w:r>
      <w:r>
        <w:t xml:space="preserve">for two spans and</w:t>
      </w:r>
      <w:r>
        <w:t xml:space="preserve"> </w:t>
      </w:r>
      <m:oMath>
        <m:r>
          <m:t>E</m:t>
        </m:r>
        <m:sSub>
          <m:e>
            <m:r>
              <m:t>I</m:t>
            </m:r>
          </m:e>
          <m:sub>
            <m:r>
              <m:rPr>
                <m:sty m:val="p"/>
              </m:rPr>
              <m:t>m</m:t>
            </m:r>
            <m:r>
              <m:rPr>
                <m:sty m:val="p"/>
              </m:rPr>
              <m:t>a</m:t>
            </m:r>
            <m:r>
              <m:rPr>
                <m:sty m:val="p"/>
              </m:rPr>
              <m:t>i</m:t>
            </m:r>
            <m:r>
              <m:rPr>
                <m:sty m:val="p"/>
              </m:rPr>
              <m:t>n</m:t>
            </m:r>
          </m:sub>
        </m:sSub>
        <m:r>
          <m:rPr>
            <m:sty m:val="p"/>
          </m:rPr>
          <m:t>/</m:t>
        </m:r>
        <m:r>
          <m:t>E</m:t>
        </m:r>
        <m:sSub>
          <m:e>
            <m:r>
              <m:t>I</m:t>
            </m:r>
          </m:e>
          <m:sub>
            <m:r>
              <m:rPr>
                <m:sty m:val="p"/>
              </m:rPr>
              <m:t>s</m:t>
            </m:r>
            <m:r>
              <m:rPr>
                <m:sty m:val="p"/>
              </m:rPr>
              <m:t>i</m:t>
            </m:r>
            <m:r>
              <m:rPr>
                <m:sty m:val="p"/>
              </m:rPr>
              <m:t>d</m:t>
            </m:r>
            <m:r>
              <m:rPr>
                <m:sty m:val="p"/>
              </m:rPr>
              <m:t>e</m:t>
            </m:r>
          </m:sub>
        </m:sSub>
      </m:oMath>
      <w:r>
        <w:t xml:space="preserve"> </w:t>
      </w:r>
      <w:r>
        <w:t xml:space="preserve">for three spans:</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μ</m:t>
                    </m:r>
                  </m:e>
                  <m:sub>
                    <m:r>
                      <m:rPr>
                        <m:sty m:val="p"/>
                      </m:rPr>
                      <m:t>2</m:t>
                    </m:r>
                    <m:r>
                      <m:rPr>
                        <m:sty m:val="p"/>
                      </m:rPr>
                      <m:t>s</m:t>
                    </m:r>
                    <m:r>
                      <m:rPr>
                        <m:sty m:val="p"/>
                      </m:rPr>
                      <m:t>p</m:t>
                    </m:r>
                    <m:r>
                      <m:rPr>
                        <m:sty m:val="p"/>
                      </m:rPr>
                      <m:t>a</m:t>
                    </m:r>
                    <m:r>
                      <m:rPr>
                        <m:sty m:val="p"/>
                      </m:rPr>
                      <m:t>n</m:t>
                    </m:r>
                  </m:sub>
                </m:sSub>
                <m:r>
                  <m:rPr>
                    <m:sty m:val="p"/>
                  </m:rPr>
                  <m:t>=</m:t>
                </m:r>
                <m:f>
                  <m:fPr>
                    <m:type m:val="bar"/>
                  </m:fPr>
                  <m:num>
                    <m:r>
                      <m:t>1</m:t>
                    </m:r>
                    <m:r>
                      <m:rPr>
                        <m:sty m:val="p"/>
                      </m:rPr>
                      <m:t>+</m:t>
                    </m:r>
                    <m:sSup>
                      <m:e>
                        <m:r>
                          <m:t>λ</m:t>
                        </m:r>
                      </m:e>
                      <m:sup>
                        <m:r>
                          <m:t>3</m:t>
                        </m:r>
                      </m:sup>
                    </m:sSup>
                    <m:r>
                      <m:rPr>
                        <m:sty m:val="p"/>
                      </m:rPr>
                      <m:t>/</m:t>
                    </m:r>
                    <m:r>
                      <m:t>γ</m:t>
                    </m:r>
                  </m:num>
                  <m:den>
                    <m:r>
                      <m:t>1</m:t>
                    </m:r>
                    <m:r>
                      <m:rPr>
                        <m:sty m:val="p"/>
                      </m:rPr>
                      <m:t>+</m:t>
                    </m:r>
                    <m:r>
                      <m:t>λ</m:t>
                    </m:r>
                    <m:r>
                      <m:rPr>
                        <m:sty m:val="p"/>
                      </m:rPr>
                      <m:t>/</m:t>
                    </m:r>
                    <m:r>
                      <m:t>γ</m:t>
                    </m:r>
                  </m:den>
                </m:f>
                <m:r>
                  <m:rPr>
                    <m:sty m:val="p"/>
                  </m:rPr>
                  <m:t>,</m:t>
                </m:r>
                <m:r>
                  <m:t>  </m:t>
                </m:r>
                <m:sSub>
                  <m:e>
                    <m:r>
                      <m:t>μ</m:t>
                    </m:r>
                  </m:e>
                  <m:sub>
                    <m:r>
                      <m:rPr>
                        <m:sty m:val="p"/>
                      </m:rPr>
                      <m:t>3</m:t>
                    </m:r>
                    <m:r>
                      <m:rPr>
                        <m:sty m:val="p"/>
                      </m:rPr>
                      <m:t>s</m:t>
                    </m:r>
                    <m:r>
                      <m:rPr>
                        <m:sty m:val="p"/>
                      </m:rPr>
                      <m:t>p</m:t>
                    </m:r>
                    <m:r>
                      <m:rPr>
                        <m:sty m:val="p"/>
                      </m:rPr>
                      <m:t>a</m:t>
                    </m:r>
                    <m:r>
                      <m:rPr>
                        <m:sty m:val="p"/>
                      </m:rPr>
                      <m:t>n</m:t>
                    </m:r>
                  </m:sub>
                </m:sSub>
                <m:r>
                  <m:rPr>
                    <m:sty m:val="p"/>
                  </m:rPr>
                  <m:t>=</m:t>
                </m:r>
                <m:f>
                  <m:fPr>
                    <m:type m:val="bar"/>
                  </m:fPr>
                  <m:num>
                    <m:r>
                      <m:t>2</m:t>
                    </m:r>
                    <m:d>
                      <m:dPr>
                        <m:begChr m:val="("/>
                        <m:endChr m:val=")"/>
                        <m:sepChr m:val=""/>
                        <m:grow/>
                      </m:dPr>
                      <m:e>
                        <m:r>
                          <m:t>γ</m:t>
                        </m:r>
                        <m:r>
                          <m:rPr>
                            <m:sty m:val="p"/>
                          </m:rPr>
                          <m:t>+</m:t>
                        </m:r>
                        <m:sSup>
                          <m:e>
                            <m:r>
                              <m:t>β</m:t>
                            </m:r>
                          </m:e>
                          <m:sup>
                            <m:r>
                              <m:t>3</m:t>
                            </m:r>
                          </m:sup>
                        </m:sSup>
                      </m:e>
                    </m:d>
                  </m:num>
                  <m:den>
                    <m:r>
                      <m:t>2</m:t>
                    </m:r>
                    <m:r>
                      <m:t>γ</m:t>
                    </m:r>
                    <m:r>
                      <m:rPr>
                        <m:sty m:val="p"/>
                      </m:rPr>
                      <m:t>+</m:t>
                    </m:r>
                    <m:r>
                      <m:t>3</m:t>
                    </m:r>
                    <m:r>
                      <m:t>β</m:t>
                    </m:r>
                  </m:den>
                </m:f>
                <m:r>
                  <m:rPr>
                    <m:sty m:val="p"/>
                  </m:rPr>
                  <m:t>.</m:t>
                </m:r>
              </m:oMath>
            </m:oMathPara>
          </w:p>
        </w:tc>
        <w:tc>
          <w:tcPr>
            <w:tcW w:type="dxa" w:w="1088"/>
            <w:vAlign w:val="center"/>
          </w:tcPr>
          <w:p>
            <w:pPr>
              <w:jc w:val="right"/>
            </w:pPr>
            <w:r>
              <w:t xml:space="preserve">(4)</w:t>
            </w:r>
          </w:p>
        </w:tc>
      </w:tr>
    </w:tbl>
    <w:p>
      <w:pPr>
        <w:pStyle w:val="BodyText"/>
      </w:pPr>
      <w:r>
        <w:t xml:space="preserve">The deflection constant at</w:t>
      </w:r>
      <w:r>
        <w:t xml:space="preserve"> </w:t>
      </w:r>
      <m:oMath>
        <m:r>
          <m:t>ξ</m:t>
        </m:r>
        <m:r>
          <m:rPr>
            <m:sty m:val="p"/>
          </m:rPr>
          <m:t>=</m:t>
        </m:r>
        <m:sSub>
          <m:e>
            <m:r>
              <m:t>x</m:t>
            </m:r>
          </m:e>
          <m:sub>
            <m:r>
              <m:t>m</m:t>
            </m:r>
          </m:sub>
        </m:sSub>
        <m:r>
          <m:rPr>
            <m:sty m:val="p"/>
          </m:rPr>
          <m:t>/</m:t>
        </m:r>
        <m:r>
          <m:t>L</m:t>
        </m:r>
      </m:oMath>
      <w:r>
        <w:t xml:space="preserve"> </w:t>
      </w:r>
      <w:r>
        <w:t xml:space="preserve">is</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f>
                  <m:fPr>
                    <m:type m:val="bar"/>
                  </m:fPr>
                  <m:num>
                    <m:r>
                      <m:t>192</m:t>
                    </m:r>
                    <m:r>
                      <m:t>E</m:t>
                    </m:r>
                    <m:r>
                      <m:t>I</m:t>
                    </m:r>
                    <m:r>
                      <m:t> </m:t>
                    </m:r>
                    <m:sSub>
                      <m:e>
                        <m:r>
                          <m:t>C</m:t>
                        </m:r>
                      </m:e>
                      <m:sub>
                        <m:r>
                          <m:t>m</m:t>
                        </m:r>
                      </m:sub>
                    </m:sSub>
                  </m:num>
                  <m:den>
                    <m:sSup>
                      <m:e>
                        <m:r>
                          <m:t>L</m:t>
                        </m:r>
                      </m:e>
                      <m:sup>
                        <m:r>
                          <m:t>4</m:t>
                        </m:r>
                      </m:sup>
                    </m:sSup>
                  </m:den>
                </m:f>
                <m:r>
                  <m:rPr>
                    <m:sty m:val="p"/>
                  </m:rPr>
                  <m:t>=</m:t>
                </m:r>
                <m:r>
                  <m:t>8</m:t>
                </m:r>
                <m:r>
                  <m:t>F</m:t>
                </m:r>
                <m:d>
                  <m:dPr>
                    <m:begChr m:val="("/>
                    <m:endChr m:val=")"/>
                    <m:sepChr m:val=""/>
                    <m:grow/>
                  </m:dPr>
                  <m:e>
                    <m:r>
                      <m:t>ξ</m:t>
                    </m:r>
                    <m:r>
                      <m:rPr>
                        <m:sty m:val="p"/>
                      </m:rPr>
                      <m:t>,</m:t>
                    </m:r>
                    <m:r>
                      <m:t>μ</m:t>
                    </m:r>
                  </m:e>
                </m:d>
                <m:r>
                  <m:rPr>
                    <m:sty m:val="p"/>
                  </m:rPr>
                  <m:t>,</m:t>
                </m:r>
                <m:r>
                  <m:t>  </m:t>
                </m:r>
                <m:r>
                  <m:t>F</m:t>
                </m:r>
                <m:d>
                  <m:dPr>
                    <m:begChr m:val="("/>
                    <m:endChr m:val=")"/>
                    <m:sepChr m:val=""/>
                    <m:grow/>
                  </m:dPr>
                  <m:e>
                    <m:r>
                      <m:t>ξ</m:t>
                    </m:r>
                    <m:r>
                      <m:rPr>
                        <m:sty m:val="p"/>
                      </m:rPr>
                      <m:t>,</m:t>
                    </m:r>
                    <m:r>
                      <m:t>μ</m:t>
                    </m:r>
                  </m:e>
                </m:d>
                <m:r>
                  <m:rPr>
                    <m:sty m:val="p"/>
                  </m:rPr>
                  <m:t>=</m:t>
                </m:r>
                <m:r>
                  <m:t>ξ</m:t>
                </m:r>
                <m:d>
                  <m:dPr>
                    <m:begChr m:val="("/>
                    <m:endChr m:val=")"/>
                    <m:sepChr m:val=""/>
                    <m:grow/>
                  </m:dPr>
                  <m:e>
                    <m:r>
                      <m:t>1</m:t>
                    </m:r>
                    <m:r>
                      <m:rPr>
                        <m:sty m:val="p"/>
                      </m:rPr>
                      <m:t>−</m:t>
                    </m:r>
                    <m:r>
                      <m:t>2</m:t>
                    </m:r>
                    <m:sSup>
                      <m:e>
                        <m:r>
                          <m:t>ξ</m:t>
                        </m:r>
                      </m:e>
                      <m:sup>
                        <m:r>
                          <m:t>2</m:t>
                        </m:r>
                      </m:sup>
                    </m:sSup>
                    <m:r>
                      <m:rPr>
                        <m:sty m:val="p"/>
                      </m:rPr>
                      <m:t>+</m:t>
                    </m:r>
                    <m:sSup>
                      <m:e>
                        <m:r>
                          <m:t>ξ</m:t>
                        </m:r>
                      </m:e>
                      <m:sup>
                        <m:r>
                          <m:t>3</m:t>
                        </m:r>
                      </m:sup>
                    </m:sSup>
                  </m:e>
                </m:d>
                <m:r>
                  <m:rPr>
                    <m:sty m:val="p"/>
                  </m:rPr>
                  <m:t>−</m:t>
                </m:r>
                <m:f>
                  <m:fPr>
                    <m:type m:val="bar"/>
                  </m:fPr>
                  <m:num>
                    <m:r>
                      <m:t>μ</m:t>
                    </m:r>
                  </m:num>
                  <m:den>
                    <m:r>
                      <m:t>2</m:t>
                    </m:r>
                  </m:den>
                </m:f>
                <m:r>
                  <m:t> </m:t>
                </m:r>
                <m:r>
                  <m:t>ξ</m:t>
                </m:r>
                <m:d>
                  <m:dPr>
                    <m:begChr m:val="("/>
                    <m:endChr m:val=")"/>
                    <m:sepChr m:val=""/>
                    <m:grow/>
                  </m:dPr>
                  <m:e>
                    <m:r>
                      <m:t>1</m:t>
                    </m:r>
                    <m:r>
                      <m:rPr>
                        <m:sty m:val="p"/>
                      </m:rPr>
                      <m:t>−</m:t>
                    </m:r>
                    <m:sSup>
                      <m:e>
                        <m:r>
                          <m:t>ξ</m:t>
                        </m:r>
                      </m:e>
                      <m:sup>
                        <m:r>
                          <m:t>2</m:t>
                        </m:r>
                      </m:sup>
                    </m:sSup>
                  </m:e>
                </m:d>
                <m:r>
                  <m:rPr>
                    <m:sty m:val="p"/>
                  </m:rPr>
                  <m:t>.</m:t>
                </m:r>
              </m:oMath>
            </m:oMathPara>
          </w:p>
        </w:tc>
        <w:tc>
          <w:tcPr>
            <w:tcW w:type="dxa" w:w="1088"/>
            <w:vAlign w:val="center"/>
          </w:tcPr>
          <w:p>
            <w:pPr>
              <w:jc w:val="right"/>
            </w:pPr>
            <w:r>
              <w:t xml:space="preserve">(5)</w:t>
            </w:r>
          </w:p>
        </w:tc>
      </w:tr>
    </w:tbl>
    <w:p>
      <w:pPr>
        <w:pStyle w:val="BodyText"/>
      </w:pPr>
      <w:r>
        <w:t xml:space="preserve">The left-hand side of Eq. (5) is the deflection indicator of Section 2.3, Eq. (10), with</w:t>
      </w:r>
      <w:r>
        <w:t xml:space="preserve"> </w:t>
      </w:r>
      <m:oMath>
        <m:r>
          <m:t>E</m:t>
        </m:r>
        <m:sSub>
          <m:e>
            <m:r>
              <m:t>I</m:t>
            </m:r>
          </m:e>
          <m:sub>
            <m:r>
              <m:rPr>
                <m:sty m:val="p"/>
              </m:rPr>
              <m:t>r</m:t>
            </m:r>
            <m:r>
              <m:rPr>
                <m:sty m:val="p"/>
              </m:rPr>
              <m:t>e</m:t>
            </m:r>
            <m:r>
              <m:rPr>
                <m:sty m:val="p"/>
              </m:rPr>
              <m:t>f</m:t>
            </m:r>
          </m:sub>
        </m:sSub>
        <m:r>
          <m:rPr>
            <m:sty m:val="p"/>
          </m:rPr>
          <m:t>=</m:t>
        </m:r>
        <m:r>
          <m:t>E</m:t>
        </m:r>
        <m:r>
          <m:t>I</m:t>
        </m:r>
      </m:oMath>
      <w:r>
        <w:t xml:space="preserve">. Setting</w:t>
      </w:r>
      <w:r>
        <w:t xml:space="preserve"> </w:t>
      </w:r>
      <m:oMath>
        <m:r>
          <m:t>F</m:t>
        </m:r>
        <m:r>
          <m:rPr>
            <m:sty m:val="p"/>
          </m:rPr>
          <m:t>=</m:t>
        </m:r>
        <m:r>
          <m:t>0</m:t>
        </m:r>
      </m:oMath>
      <w:r>
        <w:t xml:space="preserve"> </w:t>
      </w:r>
      <w:r>
        <w:t xml:space="preserve">gives the deflection blind condition, which depends on</w:t>
      </w:r>
      <w:r>
        <w:t xml:space="preserve"> </w:t>
      </w:r>
      <m:oMath>
        <m:r>
          <m:t>μ</m:t>
        </m:r>
      </m:oMath>
      <w:r>
        <w:t xml:space="preserve"> </w:t>
      </w:r>
      <w:r>
        <w:t xml:space="preserve">alone:</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C</m:t>
                    </m:r>
                  </m:e>
                  <m:sub>
                    <m:r>
                      <m:t>m</m:t>
                    </m:r>
                  </m:sub>
                </m:sSub>
                <m:r>
                  <m:rPr>
                    <m:sty m:val="p"/>
                  </m:rPr>
                  <m:t>=</m:t>
                </m:r>
                <m:r>
                  <m:t>0</m:t>
                </m:r>
                <m:r>
                  <m:t> </m:t>
                </m:r>
                <m:r>
                  <m:rPr>
                    <m:sty m:val="p"/>
                  </m:rPr>
                  <m:t>⇔</m:t>
                </m:r>
                <m:r>
                  <m:t> </m:t>
                </m:r>
                <m:r>
                  <m:t>μ</m:t>
                </m:r>
                <m:r>
                  <m:rPr>
                    <m:sty m:val="p"/>
                  </m:rPr>
                  <m:t>=</m:t>
                </m:r>
                <m:sSub>
                  <m:e>
                    <m:r>
                      <m:t>μ</m:t>
                    </m:r>
                  </m:e>
                  <m:sub>
                    <m:r>
                      <m:rPr>
                        <m:sty m:val="p"/>
                      </m:rPr>
                      <m:t>c</m:t>
                    </m:r>
                    <m:r>
                      <m:rPr>
                        <m:sty m:val="p"/>
                      </m:rPr>
                      <m:t>r</m:t>
                    </m:r>
                    <m:r>
                      <m:rPr>
                        <m:sty m:val="p"/>
                      </m:rPr>
                      <m:t>i</m:t>
                    </m:r>
                    <m:r>
                      <m:rPr>
                        <m:sty m:val="p"/>
                      </m:rPr>
                      <m:t>t</m:t>
                    </m:r>
                  </m:sub>
                </m:sSub>
                <m:d>
                  <m:dPr>
                    <m:begChr m:val="("/>
                    <m:endChr m:val=")"/>
                    <m:sepChr m:val=""/>
                    <m:grow/>
                  </m:dPr>
                  <m:e>
                    <m:r>
                      <m:t>ξ</m:t>
                    </m:r>
                  </m:e>
                </m:d>
                <m:r>
                  <m:rPr>
                    <m:sty m:val="p"/>
                  </m:rPr>
                  <m:t>=</m:t>
                </m:r>
                <m:f>
                  <m:fPr>
                    <m:type m:val="bar"/>
                  </m:fPr>
                  <m:num>
                    <m:r>
                      <m:t>2</m:t>
                    </m:r>
                    <m:d>
                      <m:dPr>
                        <m:begChr m:val="("/>
                        <m:endChr m:val=")"/>
                        <m:sepChr m:val=""/>
                        <m:grow/>
                      </m:dPr>
                      <m:e>
                        <m:r>
                          <m:t>1</m:t>
                        </m:r>
                        <m:r>
                          <m:rPr>
                            <m:sty m:val="p"/>
                          </m:rPr>
                          <m:t>+</m:t>
                        </m:r>
                        <m:r>
                          <m:t>ξ</m:t>
                        </m:r>
                        <m:r>
                          <m:rPr>
                            <m:sty m:val="p"/>
                          </m:rPr>
                          <m:t>−</m:t>
                        </m:r>
                        <m:sSup>
                          <m:e>
                            <m:r>
                              <m:t>ξ</m:t>
                            </m:r>
                          </m:e>
                          <m:sup>
                            <m:r>
                              <m:t>2</m:t>
                            </m:r>
                          </m:sup>
                        </m:sSup>
                      </m:e>
                    </m:d>
                  </m:num>
                  <m:den>
                    <m:r>
                      <m:t>1</m:t>
                    </m:r>
                    <m:r>
                      <m:rPr>
                        <m:sty m:val="p"/>
                      </m:rPr>
                      <m:t>+</m:t>
                    </m:r>
                    <m:r>
                      <m:t>ξ</m:t>
                    </m:r>
                  </m:den>
                </m:f>
                <m:r>
                  <m:rPr>
                    <m:sty m:val="p"/>
                  </m:rPr>
                  <m:t>.</m:t>
                </m:r>
              </m:oMath>
            </m:oMathPara>
          </w:p>
        </w:tc>
        <w:tc>
          <w:tcPr>
            <w:tcW w:type="dxa" w:w="1088"/>
            <w:vAlign w:val="center"/>
          </w:tcPr>
          <w:p>
            <w:pPr>
              <w:jc w:val="right"/>
            </w:pPr>
            <w:r>
              <w:t xml:space="preserve">(6)</w:t>
            </w:r>
          </w:p>
        </w:tc>
      </w:tr>
    </w:tbl>
    <w:p>
      <w:pPr>
        <w:pStyle w:val="BodyText"/>
      </w:pPr>
      <w:r>
        <w:t xml:space="preserve">A deflection blind point therefore exists only for</w:t>
      </w:r>
      <w:r>
        <w:t xml:space="preserve"> </w:t>
      </w:r>
      <m:oMath>
        <m:r>
          <m:t>1</m:t>
        </m:r>
        <m:r>
          <m:rPr>
            <m:sty m:val="p"/>
          </m:rPr>
          <m:t>&lt;</m:t>
        </m:r>
        <m:r>
          <m:t>μ</m:t>
        </m:r>
        <m:r>
          <m:rPr>
            <m:sty m:val="p"/>
          </m:rPr>
          <m:t>&lt;</m:t>
        </m:r>
        <m:r>
          <m:t>2</m:t>
        </m:r>
      </m:oMath>
      <w:r>
        <w:t xml:space="preserve">. For a mid-span sensor on two spans of equal rigidity, the blind span ratio and, for equal spans, the optimal sensor position are</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λ</m:t>
                    </m:r>
                  </m:e>
                  <m:sub>
                    <m:r>
                      <m:rPr>
                        <m:sty m:val="p"/>
                      </m:rPr>
                      <m:t>c</m:t>
                    </m:r>
                    <m:r>
                      <m:rPr>
                        <m:sty m:val="p"/>
                      </m:rPr>
                      <m:t>r</m:t>
                    </m:r>
                    <m:r>
                      <m:rPr>
                        <m:sty m:val="p"/>
                      </m:rPr>
                      <m:t>i</m:t>
                    </m:r>
                    <m:r>
                      <m:rPr>
                        <m:sty m:val="p"/>
                      </m:rPr>
                      <m:t>t</m:t>
                    </m:r>
                  </m:sub>
                </m:sSub>
                <m:r>
                  <m:rPr>
                    <m:sty m:val="p"/>
                  </m:rPr>
                  <m:t>=</m:t>
                </m:r>
                <m:f>
                  <m:fPr>
                    <m:type m:val="bar"/>
                  </m:fPr>
                  <m:num>
                    <m:r>
                      <m:t>3</m:t>
                    </m:r>
                    <m:r>
                      <m:rPr>
                        <m:sty m:val="p"/>
                      </m:rPr>
                      <m:t>+</m:t>
                    </m:r>
                    <m:rad>
                      <m:radPr>
                        <m:degHide m:val="on"/>
                      </m:radPr>
                      <m:deg/>
                      <m:e>
                        <m:r>
                          <m:t>33</m:t>
                        </m:r>
                      </m:e>
                    </m:rad>
                  </m:num>
                  <m:den>
                    <m:r>
                      <m:t>6</m:t>
                    </m:r>
                  </m:den>
                </m:f>
                <m:r>
                  <m:rPr>
                    <m:sty m:val="p"/>
                  </m:rPr>
                  <m:t>=</m:t>
                </m:r>
                <m:r>
                  <m:t>1.4574</m:t>
                </m:r>
                <m:r>
                  <m:rPr>
                    <m:sty m:val="p"/>
                  </m:rPr>
                  <m:t>,</m:t>
                </m:r>
                <m:r>
                  <m:t>  </m:t>
                </m:r>
                <m:sSup>
                  <m:e>
                    <m:r>
                      <m:t>ξ</m:t>
                    </m:r>
                  </m:e>
                  <m:sup>
                    <m:r>
                      <m:rPr>
                        <m:sty m:val="p"/>
                      </m:rPr>
                      <m:t>*</m:t>
                    </m:r>
                  </m:sup>
                </m:sSup>
                <m:r>
                  <m:rPr>
                    <m:sty m:val="p"/>
                  </m:rPr>
                  <m:t>=</m:t>
                </m:r>
                <m:f>
                  <m:fPr>
                    <m:type m:val="bar"/>
                  </m:fPr>
                  <m:num>
                    <m:r>
                      <m:t>1</m:t>
                    </m:r>
                    <m:r>
                      <m:rPr>
                        <m:sty m:val="p"/>
                      </m:rPr>
                      <m:t>+</m:t>
                    </m:r>
                    <m:rad>
                      <m:radPr>
                        <m:degHide m:val="on"/>
                      </m:radPr>
                      <m:deg/>
                      <m:e>
                        <m:r>
                          <m:t>33</m:t>
                        </m:r>
                      </m:e>
                    </m:rad>
                  </m:num>
                  <m:den>
                    <m:r>
                      <m:t>16</m:t>
                    </m:r>
                  </m:den>
                </m:f>
                <m:r>
                  <m:rPr>
                    <m:sty m:val="p"/>
                  </m:rPr>
                  <m:t>=</m:t>
                </m:r>
                <m:r>
                  <m:t>0.4215</m:t>
                </m:r>
                <m:r>
                  <m:rPr>
                    <m:sty m:val="p"/>
                  </m:rPr>
                  <m:t>.</m:t>
                </m:r>
              </m:oMath>
            </m:oMathPara>
          </w:p>
        </w:tc>
        <w:tc>
          <w:tcPr>
            <w:tcW w:type="dxa" w:w="1088"/>
            <w:vAlign w:val="center"/>
          </w:tcPr>
          <w:p>
            <w:pPr>
              <w:jc w:val="right"/>
            </w:pPr>
            <w:r>
              <w:t xml:space="preserve">(7)</w:t>
            </w:r>
          </w:p>
        </w:tc>
      </w:tr>
    </w:tbl>
    <w:p>
      <w:pPr>
        <w:pStyle w:val="BodyText"/>
      </w:pPr>
      <w:r>
        <w:t xml:space="preserve">For the symmetric three-span beam with uniform rigidity and a sensor at mid side span, the blind main-to-side ratio is the positive root of</w:t>
      </w:r>
      <w:r>
        <w:t xml:space="preserve"> </w:t>
      </w:r>
      <m:oMath>
        <m:r>
          <m:t>6</m:t>
        </m:r>
        <m:sSup>
          <m:e>
            <m:r>
              <m:t>β</m:t>
            </m:r>
          </m:e>
          <m:sup>
            <m:r>
              <m:t>3</m:t>
            </m:r>
          </m:sup>
        </m:sSup>
        <m:r>
          <m:rPr>
            <m:sty m:val="p"/>
          </m:rPr>
          <m:t>−</m:t>
        </m:r>
        <m:r>
          <m:t>15</m:t>
        </m:r>
        <m:r>
          <m:t>β</m:t>
        </m:r>
        <m:r>
          <m:rPr>
            <m:sty m:val="p"/>
          </m:rPr>
          <m:t>−</m:t>
        </m:r>
        <m:r>
          <m:t>4</m:t>
        </m:r>
        <m:r>
          <m:rPr>
            <m:sty m:val="p"/>
          </m:rPr>
          <m:t>=</m:t>
        </m:r>
        <m:r>
          <m:t>0</m:t>
        </m:r>
      </m:oMath>
      <w:r>
        <w:t xml:space="preserve">:</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β</m:t>
                    </m:r>
                  </m:e>
                  <m:sub>
                    <m:r>
                      <m:rPr>
                        <m:sty m:val="p"/>
                      </m:rPr>
                      <m:t>c</m:t>
                    </m:r>
                    <m:r>
                      <m:rPr>
                        <m:sty m:val="p"/>
                      </m:rPr>
                      <m:t>r</m:t>
                    </m:r>
                    <m:r>
                      <m:rPr>
                        <m:sty m:val="p"/>
                      </m:rPr>
                      <m:t>i</m:t>
                    </m:r>
                    <m:r>
                      <m:rPr>
                        <m:sty m:val="p"/>
                      </m:rPr>
                      <m:t>t</m:t>
                    </m:r>
                  </m:sub>
                </m:sSub>
                <m:r>
                  <m:rPr>
                    <m:sty m:val="p"/>
                  </m:rPr>
                  <m:t>=</m:t>
                </m:r>
                <m:rad>
                  <m:radPr>
                    <m:degHide m:val="on"/>
                  </m:radPr>
                  <m:deg/>
                  <m:e>
                    <m:r>
                      <m:t>10</m:t>
                    </m:r>
                    <m:r>
                      <m:rPr>
                        <m:sty m:val="p"/>
                      </m:rPr>
                      <m:t>/</m:t>
                    </m:r>
                    <m:r>
                      <m:t>3</m:t>
                    </m:r>
                  </m:e>
                </m:rad>
                <m:r>
                  <m:t> </m:t>
                </m:r>
                <m:r>
                  <m:rPr>
                    <m:sty m:val="p"/>
                  </m:rPr>
                  <m:t>cos</m:t>
                </m:r>
                <m:r>
                  <m:t>​</m:t>
                </m:r>
                <m:d>
                  <m:dPr>
                    <m:begChr m:val="["/>
                    <m:endChr m:val="]"/>
                    <m:sepChr m:val=""/>
                    <m:grow/>
                  </m:dPr>
                  <m:e>
                    <m:f>
                      <m:fPr>
                        <m:type m:val="lin"/>
                      </m:fPr>
                      <m:num>
                        <m:r>
                          <m:t>1</m:t>
                        </m:r>
                      </m:num>
                      <m:den>
                        <m:r>
                          <m:t>3</m:t>
                        </m:r>
                      </m:den>
                    </m:f>
                    <m:r>
                      <m:rPr>
                        <m:sty m:val="p"/>
                      </m:rPr>
                      <m:t>arccos</m:t>
                    </m:r>
                    <m:r>
                      <m:t>​</m:t>
                    </m:r>
                    <m:d>
                      <m:dPr>
                        <m:begChr m:val="("/>
                        <m:endChr m:val=")"/>
                        <m:sepChr m:val=""/>
                        <m:grow/>
                      </m:dPr>
                      <m:e>
                        <m:f>
                          <m:fPr>
                            <m:type m:val="lin"/>
                          </m:fPr>
                          <m:num>
                            <m:r>
                              <m:t>2</m:t>
                            </m:r>
                          </m:num>
                          <m:den>
                            <m:r>
                              <m:t>5</m:t>
                            </m:r>
                          </m:den>
                        </m:f>
                        <m:rad>
                          <m:radPr>
                            <m:degHide m:val="on"/>
                          </m:radPr>
                          <m:deg/>
                          <m:e>
                            <m:r>
                              <m:t>6</m:t>
                            </m:r>
                            <m:r>
                              <m:rPr>
                                <m:sty m:val="p"/>
                              </m:rPr>
                              <m:t>/</m:t>
                            </m:r>
                            <m:r>
                              <m:t>5</m:t>
                            </m:r>
                          </m:e>
                        </m:rad>
                      </m:e>
                    </m:d>
                  </m:e>
                </m:d>
                <m:r>
                  <m:rPr>
                    <m:sty m:val="p"/>
                  </m:rPr>
                  <m:t>=</m:t>
                </m:r>
                <m:r>
                  <m:t>1.7006</m:t>
                </m:r>
                <m:r>
                  <m:rPr>
                    <m:sty m:val="p"/>
                  </m:rPr>
                  <m:t>.</m:t>
                </m:r>
              </m:oMath>
            </m:oMathPara>
          </w:p>
        </w:tc>
        <w:tc>
          <w:tcPr>
            <w:tcW w:type="dxa" w:w="1088"/>
            <w:vAlign w:val="center"/>
          </w:tcPr>
          <w:p>
            <w:pPr>
              <w:jc w:val="right"/>
            </w:pPr>
            <w:r>
              <w:t xml:space="preserve">(8)</w:t>
            </w:r>
          </w:p>
        </w:tc>
      </w:tr>
    </w:tbl>
    <w:p>
      <w:pPr>
        <w:pStyle w:val="BodyText"/>
      </w:pPr>
      <w:r>
        <w:t xml:space="preserve">The side-span blind locus ends at</w:t>
      </w:r>
      <w:r>
        <w:t xml:space="preserve"> </w:t>
      </w:r>
      <m:oMath>
        <m:r>
          <m:t>β</m:t>
        </m:r>
        <m:r>
          <m:rPr>
            <m:sty m:val="p"/>
          </m:rPr>
          <m:t>=</m:t>
        </m:r>
        <m:r>
          <m:t>2</m:t>
        </m:r>
        <m:r>
          <m:rPr>
            <m:sty m:val="p"/>
          </m:rPr>
          <m:t>cos</m:t>
        </m:r>
        <m:d>
          <m:dPr>
            <m:begChr m:val="("/>
            <m:endChr m:val=")"/>
            <m:sepChr m:val=""/>
            <m:grow/>
          </m:dPr>
          <m:e>
            <m:r>
              <m:t>π</m:t>
            </m:r>
            <m:r>
              <m:rPr>
                <m:sty m:val="p"/>
              </m:rPr>
              <m:t>/</m:t>
            </m:r>
            <m:r>
              <m:t>9</m:t>
            </m:r>
          </m:e>
        </m:d>
        <m:r>
          <m:rPr>
            <m:sty m:val="p"/>
          </m:rPr>
          <m:t>=</m:t>
        </m:r>
        <m:r>
          <m:t>1.8794</m:t>
        </m:r>
      </m:oMath>
      <w:r>
        <w:t xml:space="preserve">, where the end rotation under the uniform load vanishes.</w:t>
      </w:r>
    </w:p>
    <w:p>
      <w:pPr>
        <w:pStyle w:val="BodyText"/>
      </w:pPr>
      <w:r>
        <w:t xml:space="preserve">Close to a blind locus a channel is poorly conditioned. A channel is called near-blind when its indicator (Section 2.3) is below 0.2 in magnitude, and the set of such positions or span ratios is the near-blind band. For a mid side-span deflection gauge on three spans the band covers</w:t>
      </w:r>
      <w:r>
        <w:t xml:space="preserve"> </w:t>
      </w:r>
      <m:oMath>
        <m:r>
          <m:t>1.621</m:t>
        </m:r>
        <m:r>
          <m:rPr>
            <m:sty m:val="p"/>
          </m:rPr>
          <m:t>&lt;</m:t>
        </m:r>
        <m:r>
          <m:t>β</m:t>
        </m:r>
        <m:r>
          <m:rPr>
            <m:sty m:val="p"/>
          </m:rPr>
          <m:t>&lt;</m:t>
        </m:r>
        <m:r>
          <m:t>1.775</m:t>
        </m:r>
      </m:oMath>
      <w:r>
        <w:t xml:space="preserve">; Table 1 gives the other bands. Fig. 1 defines the notation, Fig. 2 maps the observability, and Table A.1 gives the optimal side-span positions. All closed forms agree with finite element (FE) evaluations of Eq. (2) (Appendix B).</w:t>
      </w:r>
    </w:p>
    <w:p>
      <w:pPr>
        <w:pStyle w:val="BodyText"/>
      </w:pPr>
      <w:r>
        <w:t xml:space="preserve">The strain channel follows from the same end moments; for</w:t>
      </w:r>
      <w:r>
        <w:t xml:space="preserve"> </w:t>
      </w:r>
      <m:oMath>
        <m:d>
          <m:dPr>
            <m:begChr m:val="("/>
            <m:endChr m:val=")"/>
            <m:sepChr m:val=""/>
            <m:grow/>
          </m:dPr>
          <m:e>
            <m:sSub>
              <m:e>
                <m:acc>
                  <m:accPr>
                    <m:chr m:val="‾"/>
                  </m:accPr>
                  <m:e>
                    <m:r>
                      <m:t>M</m:t>
                    </m:r>
                  </m:e>
                </m:acc>
              </m:e>
              <m:sub>
                <m:r>
                  <m:t>l</m:t>
                </m:r>
              </m:sub>
            </m:sSub>
            <m:r>
              <m:rPr>
                <m:sty m:val="p"/>
              </m:rPr>
              <m:t>,</m:t>
            </m:r>
            <m:sSub>
              <m:e>
                <m:acc>
                  <m:accPr>
                    <m:chr m:val="‾"/>
                  </m:accPr>
                  <m:e>
                    <m:r>
                      <m:t>M</m:t>
                    </m:r>
                  </m:e>
                </m:acc>
              </m:e>
              <m:sub>
                <m:r>
                  <m:t>r</m:t>
                </m:r>
              </m:sub>
            </m:sSub>
          </m:e>
        </m:d>
        <m:r>
          <m:rPr>
            <m:sty m:val="p"/>
          </m:rPr>
          <m:t>=</m:t>
        </m:r>
        <m:d>
          <m:dPr>
            <m:begChr m:val="("/>
            <m:endChr m:val=")"/>
            <m:sepChr m:val=""/>
            <m:grow/>
          </m:dPr>
          <m:e>
            <m:r>
              <m:t>0</m:t>
            </m:r>
            <m:r>
              <m:rPr>
                <m:sty m:val="p"/>
              </m:rPr>
              <m:t>,</m:t>
            </m:r>
            <m:r>
              <m:t>μ</m:t>
            </m:r>
          </m:e>
        </m:d>
      </m:oMath>
      <w:r>
        <w:t xml:space="preserve"> </w:t>
      </w:r>
      <w:r>
        <w:t xml:space="preserve">its blind point is</w:t>
      </w:r>
      <w:r>
        <w:t xml:space="preserve"> </w:t>
      </w:r>
      <m:oMath>
        <m:sSub>
          <m:e>
            <m:r>
              <m:t>ξ</m:t>
            </m:r>
          </m:e>
          <m:sub>
            <m:r>
              <m:t>0</m:t>
            </m:r>
          </m:sub>
        </m:sSub>
      </m:oMath>
      <w:r>
        <w:t xml:space="preserve">:</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N</m:t>
                    </m:r>
                  </m:e>
                  <m:sub>
                    <m:r>
                      <m:t>M</m:t>
                    </m:r>
                  </m:sub>
                </m:sSub>
                <m:r>
                  <m:rPr>
                    <m:sty m:val="p"/>
                  </m:rPr>
                  <m:t>=</m:t>
                </m:r>
                <m:f>
                  <m:fPr>
                    <m:type m:val="bar"/>
                  </m:fPr>
                  <m:num>
                    <m:r>
                      <m:t>8</m:t>
                    </m:r>
                    <m:sSub>
                      <m:e>
                        <m:r>
                          <m:t>M</m:t>
                        </m:r>
                      </m:e>
                      <m:sub>
                        <m:r>
                          <m:t>q</m:t>
                        </m:r>
                      </m:sub>
                    </m:sSub>
                    <m:d>
                      <m:dPr>
                        <m:begChr m:val="("/>
                        <m:endChr m:val=")"/>
                        <m:sepChr m:val=""/>
                        <m:grow/>
                      </m:dPr>
                      <m:e>
                        <m:sSub>
                          <m:e>
                            <m:r>
                              <m:t>x</m:t>
                            </m:r>
                          </m:e>
                          <m:sub>
                            <m:r>
                              <m:t>m</m:t>
                            </m:r>
                          </m:sub>
                        </m:sSub>
                      </m:e>
                    </m:d>
                  </m:num>
                  <m:den>
                    <m:sSub>
                      <m:e>
                        <m:r>
                          <m:t>q</m:t>
                        </m:r>
                      </m:e>
                      <m:sub>
                        <m:r>
                          <m:t>0</m:t>
                        </m:r>
                      </m:sub>
                    </m:sSub>
                    <m:sSup>
                      <m:e>
                        <m:r>
                          <m:t>L</m:t>
                        </m:r>
                      </m:e>
                      <m:sup>
                        <m:r>
                          <m:t>2</m:t>
                        </m:r>
                      </m:sup>
                    </m:sSup>
                  </m:den>
                </m:f>
                <m:r>
                  <m:rPr>
                    <m:sty m:val="p"/>
                  </m:rPr>
                  <m:t>=</m:t>
                </m:r>
                <m:r>
                  <m:t>4</m:t>
                </m:r>
                <m:r>
                  <m:t>ξ</m:t>
                </m:r>
                <m:d>
                  <m:dPr>
                    <m:begChr m:val="("/>
                    <m:endChr m:val=")"/>
                    <m:sepChr m:val=""/>
                    <m:grow/>
                  </m:dPr>
                  <m:e>
                    <m:r>
                      <m:t>1</m:t>
                    </m:r>
                    <m:r>
                      <m:rPr>
                        <m:sty m:val="p"/>
                      </m:rPr>
                      <m:t>−</m:t>
                    </m:r>
                    <m:r>
                      <m:t>ξ</m:t>
                    </m:r>
                  </m:e>
                </m:d>
                <m:r>
                  <m:rPr>
                    <m:sty m:val="p"/>
                  </m:rPr>
                  <m:t>−</m:t>
                </m:r>
                <m:sSub>
                  <m:e>
                    <m:acc>
                      <m:accPr>
                        <m:chr m:val="‾"/>
                      </m:accPr>
                      <m:e>
                        <m:r>
                          <m:t>M</m:t>
                        </m:r>
                      </m:e>
                    </m:acc>
                  </m:e>
                  <m:sub>
                    <m:r>
                      <m:t>l</m:t>
                    </m:r>
                  </m:sub>
                </m:sSub>
                <m:d>
                  <m:dPr>
                    <m:begChr m:val="("/>
                    <m:endChr m:val=")"/>
                    <m:sepChr m:val=""/>
                    <m:grow/>
                  </m:dPr>
                  <m:e>
                    <m:r>
                      <m:t>1</m:t>
                    </m:r>
                    <m:r>
                      <m:rPr>
                        <m:sty m:val="p"/>
                      </m:rPr>
                      <m:t>−</m:t>
                    </m:r>
                    <m:r>
                      <m:t>ξ</m:t>
                    </m:r>
                  </m:e>
                </m:d>
                <m:r>
                  <m:rPr>
                    <m:sty m:val="p"/>
                  </m:rPr>
                  <m:t>−</m:t>
                </m:r>
                <m:sSub>
                  <m:e>
                    <m:acc>
                      <m:accPr>
                        <m:chr m:val="‾"/>
                      </m:accPr>
                      <m:e>
                        <m:r>
                          <m:t>M</m:t>
                        </m:r>
                      </m:e>
                    </m:acc>
                  </m:e>
                  <m:sub>
                    <m:r>
                      <m:t>r</m:t>
                    </m:r>
                  </m:sub>
                </m:sSub>
                <m:r>
                  <m:t>ξ</m:t>
                </m:r>
                <m:r>
                  <m:rPr>
                    <m:sty m:val="p"/>
                  </m:rPr>
                  <m:t>,</m:t>
                </m:r>
                <m:r>
                  <m:t>  </m:t>
                </m:r>
                <m:sSub>
                  <m:e>
                    <m:r>
                      <m:t>ξ</m:t>
                    </m:r>
                  </m:e>
                  <m:sub>
                    <m:r>
                      <m:t>0</m:t>
                    </m:r>
                  </m:sub>
                </m:sSub>
                <m:r>
                  <m:rPr>
                    <m:sty m:val="p"/>
                  </m:rPr>
                  <m:t>=</m:t>
                </m:r>
                <m:r>
                  <m:t>1</m:t>
                </m:r>
                <m:r>
                  <m:rPr>
                    <m:sty m:val="p"/>
                  </m:rPr>
                  <m:t>−</m:t>
                </m:r>
                <m:f>
                  <m:fPr>
                    <m:type m:val="bar"/>
                  </m:fPr>
                  <m:num>
                    <m:r>
                      <m:t>μ</m:t>
                    </m:r>
                  </m:num>
                  <m:den>
                    <m:r>
                      <m:t>4</m:t>
                    </m:r>
                  </m:den>
                </m:f>
                <m:r>
                  <m:rPr>
                    <m:sty m:val="p"/>
                  </m:rPr>
                  <m:t>.</m:t>
                </m:r>
              </m:oMath>
            </m:oMathPara>
          </w:p>
        </w:tc>
        <w:tc>
          <w:tcPr>
            <w:tcW w:type="dxa" w:w="1088"/>
            <w:vAlign w:val="center"/>
          </w:tcPr>
          <w:p>
            <w:pPr>
              <w:jc w:val="right"/>
            </w:pPr>
            <w:r>
              <w:t xml:space="preserve">(9)</w:t>
            </w:r>
          </w:p>
        </w:tc>
      </w:tr>
    </w:tbl>
    <w:p>
      <w:pPr>
        <w:pStyle w:val="BodyText"/>
      </w:pPr>
      <w:r>
        <w:t xml:space="preserve">In the instrumented span of two equal spans the strain blind point is</w:t>
      </w:r>
      <w:r>
        <w:t xml:space="preserve"> </w:t>
      </w:r>
      <m:oMath>
        <m:sSub>
          <m:e>
            <m:r>
              <m:t>ξ</m:t>
            </m:r>
          </m:e>
          <m:sub>
            <m:r>
              <m:t>0</m:t>
            </m:r>
          </m:sub>
        </m:sSub>
        <m:r>
          <m:rPr>
            <m:sty m:val="p"/>
          </m:rPr>
          <m:t>=</m:t>
        </m:r>
        <m:r>
          <m:t>0.75</m:t>
        </m:r>
      </m:oMath>
      <w:r>
        <w:t xml:space="preserve">. Strain blind points exist in every span that has a sagging zone (</w:t>
      </w:r>
      <m:oMath>
        <m:r>
          <m:t>μ</m:t>
        </m:r>
        <m:r>
          <m:rPr>
            <m:sty m:val="p"/>
          </m:rPr>
          <m:t>&lt;</m:t>
        </m:r>
        <m:r>
          <m:t>4</m:t>
        </m:r>
      </m:oMath>
      <w:r>
        <w:t xml:space="preserve">), so every continuous girder has them, whatever its span ratios. Table 1 gives the blind point in the main span.</w:t>
      </w:r>
    </w:p>
    <w:p>
      <w:pPr>
        <w:pStyle w:val="BodyText"/>
      </w:pPr>
      <w:r>
        <w:t xml:space="preserve">Each strain blind point is surrounded by a near-blind band,</w:t>
      </w:r>
      <w:r>
        <w:t xml:space="preserve"> </w:t>
      </w:r>
      <m:oMath>
        <m:d>
          <m:dPr>
            <m:begChr m:val="|"/>
            <m:endChr m:val="|"/>
            <m:sepChr m:val=""/>
            <m:grow/>
          </m:dPr>
          <m:e>
            <m:sSub>
              <m:e>
                <m:r>
                  <m:t>N</m:t>
                </m:r>
              </m:e>
              <m:sub>
                <m:r>
                  <m:t>M</m:t>
                </m:r>
              </m:sub>
            </m:sSub>
          </m:e>
        </m:d>
        <m:r>
          <m:rPr>
            <m:sty m:val="p"/>
          </m:rPr>
          <m:t>&lt;</m:t>
        </m:r>
        <m:r>
          <m:t>0.2</m:t>
        </m:r>
      </m:oMath>
      <w:r>
        <w:t xml:space="preserve">. For two equal spans the band lies 0.19–0.32 of the span from the interior support. A gauge at the support section itself is well conditioned, with</w:t>
      </w:r>
      <w:r>
        <w:t xml:space="preserve"> </w:t>
      </w:r>
      <m:oMath>
        <m:d>
          <m:dPr>
            <m:begChr m:val="|"/>
            <m:endChr m:val="|"/>
            <m:sepChr m:val=""/>
            <m:grow/>
          </m:dPr>
          <m:e>
            <m:sSub>
              <m:e>
                <m:r>
                  <m:t>N</m:t>
                </m:r>
              </m:e>
              <m:sub>
                <m:r>
                  <m:t>M</m:t>
                </m:r>
              </m:sub>
            </m:sSub>
          </m:e>
        </m:d>
        <m:r>
          <m:rPr>
            <m:sty m:val="p"/>
          </m:rPr>
          <m:t>=</m:t>
        </m:r>
        <m:r>
          <m:t>μ</m:t>
        </m:r>
      </m:oMath>
      <w:r>
        <w:t xml:space="preserve">. A gauge set back from the pier to clear the diaphragm, or placed at a quarter point, can fall into the band. Table 1 collects the blind loci of all channels, and Fig. 3 shows the indicators along two prismatic girders.</w:t>
      </w:r>
    </w:p>
    <w:p>
      <w:pPr>
        <w:pStyle w:val="BodyText"/>
      </w:pPr>
      <w:r>
        <w:rPr>
          <w:bCs/>
          <w:b/>
        </w:rPr>
        <w:t xml:space="preserve">Table 1.</w:t>
      </w:r>
      <w:r>
        <w:t xml:space="preserve"> </w:t>
      </w:r>
      <w:r>
        <w:t xml:space="preserve">Blind loci of response channels, that is, positions or span ratios at which the integral constant</w:t>
      </w:r>
      <w:r>
        <w:t xml:space="preserve"> </w:t>
      </w:r>
      <m:oMath>
        <m:r>
          <m:t>C</m:t>
        </m:r>
      </m:oMath>
      <w:r>
        <w:t xml:space="preserve"> </w:t>
      </w:r>
      <w:r>
        <w:t xml:space="preserve">of Eq. (2) vanishes. Prismatic beams with</w:t>
      </w:r>
      <w:r>
        <w:t xml:space="preserve"> </w:t>
      </w:r>
      <m:oMath>
        <m:r>
          <m:t>γ</m:t>
        </m:r>
        <m:r>
          <m:rPr>
            <m:sty m:val="p"/>
          </m:rPr>
          <m:t>=</m:t>
        </m:r>
        <m:r>
          <m:t>1</m:t>
        </m:r>
      </m:oMath>
      <w:r>
        <w:t xml:space="preserve"> </w:t>
      </w:r>
      <w:r>
        <w:t xml:space="preserve">unless stated;</w:t>
      </w:r>
      <w:r>
        <w:t xml:space="preserve"> </w:t>
      </w:r>
      <m:oMath>
        <m:r>
          <m:t>μ</m:t>
        </m:r>
      </m:oMath>
      <w:r>
        <w:t xml:space="preserve"> </w:t>
      </w:r>
      <w:r>
        <w:t xml:space="preserve">from Eq. (4). Near-blind band: indicator below 0.2 in magnitude.</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1971"/>
        <w:gridCol w:w="2366"/>
        <w:gridCol w:w="2366"/>
        <w:gridCol w:w="2366"/>
      </w:tblGrid>
      <w:tr>
        <w:trPr>
          <w:tblHeader w:val="true"/>
        </w:trPr>
        <w:tc>
          <w:tcPr>
            <w:tcW w:type="dxa" w:w="1971"/>
            <w:tcBorders>
              <w:top w:val="nil"/>
              <w:left w:val="nil"/>
              <w:bottom w:val="single" w:sz="6" w:space="0" w:color="000000"/>
              <w:right w:val="nil"/>
            </w:tcBorders>
          </w:tcPr>
          <w:p>
            <w:pPr>
              <w:pStyle w:val="Compact"/>
              <w:jc w:val="left"/>
            </w:pPr>
            <w:r>
              <w:t xml:space="preserve">Channel</w:t>
            </w:r>
          </w:p>
        </w:tc>
        <w:tc>
          <w:tcPr>
            <w:tcW w:type="dxa" w:w="2366"/>
            <w:tcBorders>
              <w:top w:val="nil"/>
              <w:left w:val="nil"/>
              <w:bottom w:val="single" w:sz="6" w:space="0" w:color="000000"/>
              <w:right w:val="nil"/>
            </w:tcBorders>
          </w:tcPr>
          <w:p>
            <w:pPr>
              <w:pStyle w:val="Compact"/>
              <w:jc w:val="left"/>
            </w:pPr>
            <w:r>
              <w:t xml:space="preserve">Blind where</w:t>
            </w:r>
          </w:p>
        </w:tc>
        <w:tc>
          <w:tcPr>
            <w:tcW w:type="dxa" w:w="2366"/>
            <w:tcBorders>
              <w:top w:val="nil"/>
              <w:left w:val="nil"/>
              <w:bottom w:val="single" w:sz="6" w:space="0" w:color="000000"/>
              <w:right w:val="nil"/>
            </w:tcBorders>
          </w:tcPr>
          <w:p>
            <w:pPr>
              <w:pStyle w:val="Compact"/>
              <w:jc w:val="left"/>
            </w:pPr>
            <w:r>
              <w:t xml:space="preserve">Two-span beam (span 1)</w:t>
            </w:r>
          </w:p>
        </w:tc>
        <w:tc>
          <w:tcPr>
            <w:tcW w:type="dxa" w:w="2366"/>
            <w:tcBorders>
              <w:top w:val="nil"/>
              <w:left w:val="nil"/>
              <w:bottom w:val="single" w:sz="6" w:space="0" w:color="000000"/>
              <w:right w:val="nil"/>
            </w:tcBorders>
          </w:tcPr>
          <w:p>
            <w:pPr>
              <w:pStyle w:val="Compact"/>
              <w:jc w:val="left"/>
            </w:pPr>
            <w:r>
              <w:t xml:space="preserve">Symmetric three-span beam</w:t>
            </w:r>
          </w:p>
        </w:tc>
      </w:tr>
      <w:tr>
        <w:tc>
          <w:tcPr>
            <w:tcW w:type="dxa" w:w="1971"/>
          </w:tcPr>
          <w:p>
            <w:pPr>
              <w:pStyle w:val="Compact"/>
              <w:jc w:val="left"/>
            </w:pPr>
            <w:r>
              <w:t xml:space="preserve">Strain, moment, curvature</w:t>
            </w:r>
          </w:p>
        </w:tc>
        <w:tc>
          <w:tcPr>
            <w:tcW w:type="dxa" w:w="2366"/>
          </w:tcPr>
          <w:p>
            <w:pPr>
              <w:pStyle w:val="Compact"/>
              <w:jc w:val="left"/>
            </w:pPr>
            <w:r>
              <w:t xml:space="preserve">zeros of</w:t>
            </w:r>
            <w:r>
              <w:t xml:space="preserve"> </w:t>
            </w:r>
            <m:oMath>
              <m:sSub>
                <m:e>
                  <m:r>
                    <m:t>M</m:t>
                  </m:r>
                </m:e>
                <m:sub>
                  <m:r>
                    <m:t>q</m:t>
                  </m:r>
                </m:sub>
              </m:sSub>
            </m:oMath>
          </w:p>
        </w:tc>
        <w:tc>
          <w:tcPr>
            <w:tcW w:type="dxa" w:w="2366"/>
          </w:tcPr>
          <w:p>
            <w:pPr>
              <w:pStyle w:val="Compact"/>
              <w:jc w:val="left"/>
            </w:pPr>
            <m:oMath>
              <m:sSub>
                <m:e>
                  <m:r>
                    <m:t>ξ</m:t>
                  </m:r>
                </m:e>
                <m:sub>
                  <m:r>
                    <m:t>0</m:t>
                  </m:r>
                </m:sub>
              </m:sSub>
              <m:r>
                <m:rPr>
                  <m:sty m:val="p"/>
                </m:rPr>
                <m:t>=</m:t>
              </m:r>
              <m:r>
                <m:t>1</m:t>
              </m:r>
              <m:r>
                <m:rPr>
                  <m:sty m:val="p"/>
                </m:rPr>
                <m:t>−</m:t>
              </m:r>
              <m:r>
                <m:t>μ</m:t>
              </m:r>
              <m:r>
                <m:rPr>
                  <m:sty m:val="p"/>
                </m:rPr>
                <m:t>/</m:t>
              </m:r>
              <m:r>
                <m:t>4</m:t>
              </m:r>
            </m:oMath>
            <w:r>
              <w:t xml:space="preserve"> </w:t>
            </w:r>
            <w:r>
              <w:t xml:space="preserve">(0.75 at</w:t>
            </w:r>
            <w:r>
              <w:t xml:space="preserve"> </w:t>
            </w:r>
            <m:oMath>
              <m:r>
                <m:t>λ</m:t>
              </m:r>
              <m:r>
                <m:rPr>
                  <m:sty m:val="p"/>
                </m:rPr>
                <m:t>=</m:t>
              </m:r>
              <m:r>
                <m:t>1</m:t>
              </m:r>
            </m:oMath>
            <w:r>
              <w:t xml:space="preserve">); band</w:t>
            </w:r>
            <w:r>
              <w:t xml:space="preserve"> </w:t>
            </w:r>
            <m:oMath>
              <m:r>
                <m:t>0.676</m:t>
              </m:r>
              <m:r>
                <m:rPr>
                  <m:sty m:val="p"/>
                </m:rPr>
                <m:t>&lt;</m:t>
              </m:r>
              <m:r>
                <m:t>ξ</m:t>
              </m:r>
              <m:r>
                <m:rPr>
                  <m:sty m:val="p"/>
                </m:rPr>
                <m:t>&lt;</m:t>
              </m:r>
              <m:r>
                <m:t>0.812</m:t>
              </m:r>
            </m:oMath>
            <w:r>
              <w:t xml:space="preserve"> </w:t>
            </w:r>
            <w:r>
              <w:t xml:space="preserve">at</w:t>
            </w:r>
            <w:r>
              <w:t xml:space="preserve"> </w:t>
            </w:r>
            <m:oMath>
              <m:r>
                <m:t>λ</m:t>
              </m:r>
              <m:r>
                <m:rPr>
                  <m:sty m:val="p"/>
                </m:rPr>
                <m:t>=</m:t>
              </m:r>
              <m:r>
                <m:t>1</m:t>
              </m:r>
            </m:oMath>
          </w:p>
        </w:tc>
        <w:tc>
          <w:tcPr>
            <w:tcW w:type="dxa" w:w="2366"/>
          </w:tcPr>
          <w:p>
            <w:pPr>
              <w:pStyle w:val="Compact"/>
              <w:jc w:val="left"/>
            </w:pPr>
            <w:r>
              <w:t xml:space="preserve">side:</w:t>
            </w:r>
            <w:r>
              <w:t xml:space="preserve"> </w:t>
            </w:r>
            <m:oMath>
              <m:sSub>
                <m:e>
                  <m:r>
                    <m:t>ξ</m:t>
                  </m:r>
                </m:e>
                <m:sub>
                  <m:r>
                    <m:t>0</m:t>
                  </m:r>
                </m:sub>
              </m:sSub>
              <m:r>
                <m:rPr>
                  <m:sty m:val="p"/>
                </m:rPr>
                <m:t>=</m:t>
              </m:r>
              <m:r>
                <m:t>1</m:t>
              </m:r>
              <m:r>
                <m:rPr>
                  <m:sty m:val="p"/>
                </m:rPr>
                <m:t>−</m:t>
              </m:r>
              <m:r>
                <m:t>μ</m:t>
              </m:r>
              <m:r>
                <m:rPr>
                  <m:sty m:val="p"/>
                </m:rPr>
                <m:t>/</m:t>
              </m:r>
              <m:r>
                <m:t>4</m:t>
              </m:r>
            </m:oMath>
            <w:r>
              <w:t xml:space="preserve">; main:</w:t>
            </w:r>
            <w:r>
              <w:t xml:space="preserve"> </w:t>
            </w:r>
            <m:oMath>
              <m:sSub>
                <m:e>
                  <m:r>
                    <m:t>ζ</m:t>
                  </m:r>
                </m:e>
                <m:sub>
                  <m:r>
                    <m:t>0</m:t>
                  </m:r>
                </m:sub>
              </m:sSub>
              <m:r>
                <m:rPr>
                  <m:sty m:val="p"/>
                </m:rPr>
                <m:t>=</m:t>
              </m:r>
              <m:f>
                <m:fPr>
                  <m:type m:val="lin"/>
                </m:fPr>
                <m:num>
                  <m:r>
                    <m:t>1</m:t>
                  </m:r>
                </m:num>
                <m:den>
                  <m:r>
                    <m:t>2</m:t>
                  </m:r>
                </m:den>
              </m:f>
              <m:d>
                <m:dPr>
                  <m:begChr m:val="("/>
                  <m:endChr m:val=")"/>
                  <m:sepChr m:val=""/>
                  <m:grow/>
                </m:dPr>
                <m:e>
                  <m:r>
                    <m:t>1</m:t>
                  </m:r>
                  <m:r>
                    <m:rPr>
                      <m:sty m:val="p"/>
                    </m:rPr>
                    <m:t>−</m:t>
                  </m:r>
                  <m:rad>
                    <m:radPr>
                      <m:degHide m:val="on"/>
                    </m:radPr>
                    <m:deg/>
                    <m:e>
                      <m:r>
                        <m:t>1</m:t>
                      </m:r>
                      <m:r>
                        <m:rPr>
                          <m:sty m:val="p"/>
                        </m:rPr>
                        <m:t>−</m:t>
                      </m:r>
                      <m:r>
                        <m:t>μ</m:t>
                      </m:r>
                      <m:r>
                        <m:rPr>
                          <m:sty m:val="p"/>
                        </m:rPr>
                        <m:t>/</m:t>
                      </m:r>
                      <m:sSup>
                        <m:e>
                          <m:r>
                            <m:t>β</m:t>
                          </m:r>
                        </m:e>
                        <m:sup>
                          <m:r>
                            <m:t>2</m:t>
                          </m:r>
                        </m:sup>
                      </m:sSup>
                    </m:e>
                  </m:rad>
                </m:e>
              </m:d>
            </m:oMath>
            <w:r>
              <w:t xml:space="preserve"> </w:t>
            </w:r>
            <w:r>
              <w:t xml:space="preserve">from the pier (0.276 at</w:t>
            </w:r>
            <w:r>
              <w:t xml:space="preserve"> </w:t>
            </w:r>
            <m:oMath>
              <m:r>
                <m:t>β</m:t>
              </m:r>
              <m:r>
                <m:rPr>
                  <m:sty m:val="p"/>
                </m:rPr>
                <m:t>=</m:t>
              </m:r>
              <m:r>
                <m:t>1</m:t>
              </m:r>
            </m:oMath>
            <w:r>
              <w:t xml:space="preserve">)</w:t>
            </w:r>
          </w:p>
        </w:tc>
      </w:tr>
      <w:tr>
        <w:tc>
          <w:tcPr>
            <w:tcW w:type="dxa" w:w="1971"/>
          </w:tcPr>
          <w:p>
            <w:pPr>
              <w:pStyle w:val="Compact"/>
              <w:jc w:val="left"/>
            </w:pPr>
            <w:r>
              <w:t xml:space="preserve">Deflection</w:t>
            </w:r>
          </w:p>
        </w:tc>
        <w:tc>
          <w:tcPr>
            <w:tcW w:type="dxa" w:w="2366"/>
          </w:tcPr>
          <w:p>
            <w:pPr>
              <w:pStyle w:val="Compact"/>
              <w:jc w:val="left"/>
            </w:pPr>
            <w:r>
              <w:t xml:space="preserve">zeros of the uniform-load deflection</w:t>
            </w:r>
            <w:r>
              <w:t xml:space="preserve"> </w:t>
            </w:r>
            <m:oMath>
              <m:sSub>
                <m:e>
                  <m:r>
                    <m:t>w</m:t>
                  </m:r>
                </m:e>
                <m:sub>
                  <m:r>
                    <m:t>q</m:t>
                  </m:r>
                </m:sub>
              </m:sSub>
            </m:oMath>
          </w:p>
        </w:tc>
        <w:tc>
          <w:tcPr>
            <w:tcW w:type="dxa" w:w="2366"/>
          </w:tcPr>
          <w:p>
            <w:pPr>
              <w:pStyle w:val="Compact"/>
              <w:jc w:val="left"/>
            </w:pPr>
            <m:oMath>
              <m:r>
                <m:t>μ</m:t>
              </m:r>
              <m:r>
                <m:rPr>
                  <m:sty m:val="p"/>
                </m:rPr>
                <m:t>=</m:t>
              </m:r>
              <m:sSub>
                <m:e>
                  <m:r>
                    <m:t>μ</m:t>
                  </m:r>
                </m:e>
                <m:sub>
                  <m:r>
                    <m:rPr>
                      <m:sty m:val="p"/>
                    </m:rPr>
                    <m:t>c</m:t>
                  </m:r>
                  <m:r>
                    <m:rPr>
                      <m:sty m:val="p"/>
                    </m:rPr>
                    <m:t>r</m:t>
                  </m:r>
                  <m:r>
                    <m:rPr>
                      <m:sty m:val="p"/>
                    </m:rPr>
                    <m:t>i</m:t>
                  </m:r>
                  <m:r>
                    <m:rPr>
                      <m:sty m:val="p"/>
                    </m:rPr>
                    <m:t>t</m:t>
                  </m:r>
                </m:sub>
              </m:sSub>
              <m:d>
                <m:dPr>
                  <m:begChr m:val="("/>
                  <m:endChr m:val=")"/>
                  <m:sepChr m:val=""/>
                  <m:grow/>
                </m:dPr>
                <m:e>
                  <m:r>
                    <m:t>ξ</m:t>
                  </m:r>
                </m:e>
              </m:d>
            </m:oMath>
            <w:r>
              <w:t xml:space="preserve">, only for</w:t>
            </w:r>
            <w:r>
              <w:t xml:space="preserve"> </w:t>
            </w:r>
            <m:oMath>
              <m:r>
                <m:t>1</m:t>
              </m:r>
              <m:r>
                <m:rPr>
                  <m:sty m:val="p"/>
                </m:rPr>
                <m:t>&lt;</m:t>
              </m:r>
              <m:r>
                <m:t>μ</m:t>
              </m:r>
              <m:r>
                <m:rPr>
                  <m:sty m:val="p"/>
                </m:rPr>
                <m:t>&lt;</m:t>
              </m:r>
              <m:r>
                <m:t>2</m:t>
              </m:r>
            </m:oMath>
            <w:r>
              <w:t xml:space="preserve">; mid-span:</w:t>
            </w:r>
            <w:r>
              <w:t xml:space="preserve"> </w:t>
            </w:r>
            <m:oMath>
              <m:r>
                <m:t>λ</m:t>
              </m:r>
              <m:r>
                <m:rPr>
                  <m:sty m:val="p"/>
                </m:rPr>
                <m:t>=</m:t>
              </m:r>
              <m:r>
                <m:t>1.4574</m:t>
              </m:r>
            </m:oMath>
            <w:r>
              <w:t xml:space="preserve">, band</w:t>
            </w:r>
            <w:r>
              <w:t xml:space="preserve"> </w:t>
            </w:r>
            <m:oMath>
              <m:r>
                <m:t>1.385</m:t>
              </m:r>
              <m:r>
                <m:rPr>
                  <m:sty m:val="p"/>
                </m:rPr>
                <m:t>&lt;</m:t>
              </m:r>
              <m:r>
                <m:t>λ</m:t>
              </m:r>
              <m:r>
                <m:rPr>
                  <m:sty m:val="p"/>
                </m:rPr>
                <m:t>&lt;</m:t>
              </m:r>
              <m:r>
                <m:t>1.525</m:t>
              </m:r>
            </m:oMath>
          </w:p>
        </w:tc>
        <w:tc>
          <w:tcPr>
            <w:tcW w:type="dxa" w:w="2366"/>
          </w:tcPr>
          <w:p>
            <w:pPr>
              <w:pStyle w:val="Compact"/>
              <w:jc w:val="left"/>
            </w:pPr>
            <w:r>
              <w:t xml:space="preserve">mid side span:</w:t>
            </w:r>
            <w:r>
              <w:t xml:space="preserve"> </w:t>
            </w:r>
            <m:oMath>
              <m:r>
                <m:t>β</m:t>
              </m:r>
              <m:r>
                <m:rPr>
                  <m:sty m:val="p"/>
                </m:rPr>
                <m:t>=</m:t>
              </m:r>
              <m:r>
                <m:t>1.7006</m:t>
              </m:r>
            </m:oMath>
            <w:r>
              <w:t xml:space="preserve">, band</w:t>
            </w:r>
            <w:r>
              <w:t xml:space="preserve"> </w:t>
            </w:r>
            <m:oMath>
              <m:r>
                <m:t>1.621</m:t>
              </m:r>
              <m:r>
                <m:rPr>
                  <m:sty m:val="p"/>
                </m:rPr>
                <m:t>&lt;</m:t>
              </m:r>
              <m:r>
                <m:t>β</m:t>
              </m:r>
              <m:r>
                <m:rPr>
                  <m:sty m:val="p"/>
                </m:rPr>
                <m:t>&lt;</m:t>
              </m:r>
              <m:r>
                <m:t>1.775</m:t>
              </m:r>
            </m:oMath>
            <w:r>
              <w:t xml:space="preserve">; locus ends at</w:t>
            </w:r>
            <w:r>
              <w:t xml:space="preserve"> </w:t>
            </w:r>
            <m:oMath>
              <m:r>
                <m:t>β</m:t>
              </m:r>
              <m:r>
                <m:rPr>
                  <m:sty m:val="p"/>
                </m:rPr>
                <m:t>=</m:t>
              </m:r>
              <m:r>
                <m:t>1.8794</m:t>
              </m:r>
            </m:oMath>
          </w:p>
        </w:tc>
      </w:tr>
      <w:tr>
        <w:tc>
          <w:tcPr>
            <w:tcW w:type="dxa" w:w="1971"/>
          </w:tcPr>
          <w:p>
            <w:pPr>
              <w:pStyle w:val="Compact"/>
              <w:jc w:val="left"/>
            </w:pPr>
            <w:r>
              <w:t xml:space="preserve">Rotation</w:t>
            </w:r>
          </w:p>
        </w:tc>
        <w:tc>
          <w:tcPr>
            <w:tcW w:type="dxa" w:w="2366"/>
          </w:tcPr>
          <w:p>
            <w:pPr>
              <w:pStyle w:val="Compact"/>
              <w:jc w:val="left"/>
            </w:pPr>
            <w:r>
              <w:t xml:space="preserve">extrema of</w:t>
            </w:r>
            <w:r>
              <w:t xml:space="preserve"> </w:t>
            </w:r>
            <m:oMath>
              <m:sSub>
                <m:e>
                  <m:r>
                    <m:t>w</m:t>
                  </m:r>
                </m:e>
                <m:sub>
                  <m:r>
                    <m:t>q</m:t>
                  </m:r>
                </m:sub>
              </m:sSub>
            </m:oMath>
          </w:p>
        </w:tc>
        <w:tc>
          <w:tcPr>
            <w:tcW w:type="dxa" w:w="2366"/>
          </w:tcPr>
          <w:p>
            <w:pPr>
              <w:pStyle w:val="Compact"/>
              <w:jc w:val="left"/>
            </w:pPr>
            <w:r>
              <w:t xml:space="preserve">end:</w:t>
            </w:r>
            <w:r>
              <w:t xml:space="preserve"> </w:t>
            </w:r>
            <m:oMath>
              <m:r>
                <m:t>μ</m:t>
              </m:r>
              <m:r>
                <m:rPr>
                  <m:sty m:val="p"/>
                </m:rPr>
                <m:t>=</m:t>
              </m:r>
              <m:r>
                <m:t>2</m:t>
              </m:r>
            </m:oMath>
            <w:r>
              <w:t xml:space="preserve"> </w:t>
            </w:r>
            <w:r>
              <w:t xml:space="preserve">(</w:t>
            </w:r>
            <m:oMath>
              <m:r>
                <m:t>λ</m:t>
              </m:r>
              <m:r>
                <m:rPr>
                  <m:sty m:val="p"/>
                </m:rPr>
                <m:t>=</m:t>
              </m:r>
              <m:r>
                <m:t>1.6180</m:t>
              </m:r>
            </m:oMath>
            <w:r>
              <w:t xml:space="preserve">); pier:</w:t>
            </w:r>
            <w:r>
              <w:t xml:space="preserve"> </w:t>
            </w:r>
            <m:oMath>
              <m:r>
                <m:t>λ</m:t>
              </m:r>
              <m:r>
                <m:rPr>
                  <m:sty m:val="p"/>
                </m:rPr>
                <m:t>=</m:t>
              </m:r>
              <m:r>
                <m:t>1</m:t>
              </m:r>
            </m:oMath>
            <w:r>
              <w:t xml:space="preserve"> </w:t>
            </w:r>
            <w:r>
              <w:t xml:space="preserve">for any</w:t>
            </w:r>
            <w:r>
              <w:t xml:space="preserve"> </w:t>
            </w:r>
            <m:oMath>
              <m:r>
                <m:t>γ</m:t>
              </m:r>
            </m:oMath>
          </w:p>
        </w:tc>
        <w:tc>
          <w:tcPr>
            <w:tcW w:type="dxa" w:w="2366"/>
          </w:tcPr>
          <w:p>
            <w:pPr>
              <w:pStyle w:val="Compact"/>
              <w:jc w:val="left"/>
            </w:pPr>
            <w:r>
              <w:t xml:space="preserve">end:</w:t>
            </w:r>
            <w:r>
              <w:t xml:space="preserve"> </w:t>
            </w:r>
            <m:oMath>
              <m:r>
                <m:t>β</m:t>
              </m:r>
              <m:r>
                <m:rPr>
                  <m:sty m:val="p"/>
                </m:rPr>
                <m:t>=</m:t>
              </m:r>
              <m:r>
                <m:t>2</m:t>
              </m:r>
              <m:r>
                <m:rPr>
                  <m:sty m:val="p"/>
                </m:rPr>
                <m:t>cos</m:t>
              </m:r>
              <m:d>
                <m:dPr>
                  <m:begChr m:val="("/>
                  <m:endChr m:val=")"/>
                  <m:sepChr m:val=""/>
                  <m:grow/>
                </m:dPr>
                <m:e>
                  <m:r>
                    <m:t>π</m:t>
                  </m:r>
                  <m:r>
                    <m:rPr>
                      <m:sty m:val="p"/>
                    </m:rPr>
                    <m:t>/</m:t>
                  </m:r>
                  <m:r>
                    <m:t>9</m:t>
                  </m:r>
                </m:e>
              </m:d>
            </m:oMath>
            <w:r>
              <w:t xml:space="preserve">; pier:</w:t>
            </w:r>
            <w:r>
              <w:t xml:space="preserve"> </w:t>
            </w:r>
            <m:oMath>
              <m:r>
                <m:t>β</m:t>
              </m:r>
              <m:r>
                <m:rPr>
                  <m:sty m:val="p"/>
                </m:rPr>
                <m:t>=</m:t>
              </m:r>
              <m:rad>
                <m:radPr>
                  <m:degHide m:val="on"/>
                </m:radPr>
                <m:deg/>
                <m:e>
                  <m:r>
                    <m:t>3</m:t>
                  </m:r>
                  <m:r>
                    <m:rPr>
                      <m:sty m:val="p"/>
                    </m:rPr>
                    <m:t>/</m:t>
                  </m:r>
                  <m:r>
                    <m:t>2</m:t>
                  </m:r>
                </m:e>
              </m:rad>
            </m:oMath>
            <w:r>
              <w:t xml:space="preserve"> </w:t>
            </w:r>
            <w:r>
              <w:t xml:space="preserve">for any</w:t>
            </w:r>
            <w:r>
              <w:t xml:space="preserve"> </w:t>
            </w:r>
            <m:oMath>
              <m:r>
                <m:t>γ</m:t>
              </m:r>
            </m:oMath>
            <w:r>
              <w:t xml:space="preserve">; mid main span: always</w:t>
            </w:r>
          </w:p>
        </w:tc>
      </w:tr>
      <w:tr>
        <w:tc>
          <w:tcPr>
            <w:tcW w:type="dxa" w:w="1971"/>
          </w:tcPr>
          <w:p>
            <w:pPr>
              <w:pStyle w:val="Compact"/>
              <w:jc w:val="left"/>
            </w:pPr>
            <w:r>
              <w:t xml:space="preserve">Shear</w:t>
            </w:r>
          </w:p>
        </w:tc>
        <w:tc>
          <w:tcPr>
            <w:tcW w:type="dxa" w:w="2366"/>
          </w:tcPr>
          <w:p>
            <w:pPr>
              <w:pStyle w:val="Compact"/>
              <w:jc w:val="left"/>
            </w:pPr>
            <w:r>
              <w:t xml:space="preserve">maxima of</w:t>
            </w:r>
            <w:r>
              <w:t xml:space="preserve"> </w:t>
            </w:r>
            <m:oMath>
              <m:sSub>
                <m:e>
                  <m:r>
                    <m:t>M</m:t>
                  </m:r>
                </m:e>
                <m:sub>
                  <m:r>
                    <m:t>q</m:t>
                  </m:r>
                </m:sub>
              </m:sSub>
            </m:oMath>
          </w:p>
        </w:tc>
        <w:tc>
          <w:tcPr>
            <w:tcW w:type="dxa" w:w="2366"/>
          </w:tcPr>
          <w:p>
            <w:pPr>
              <w:pStyle w:val="Compact"/>
              <w:jc w:val="left"/>
            </w:pPr>
            <m:oMath>
              <m:r>
                <m:t>ξ</m:t>
              </m:r>
              <m:r>
                <m:rPr>
                  <m:sty m:val="p"/>
                </m:rPr>
                <m:t>=</m:t>
              </m:r>
              <m:sSub>
                <m:e>
                  <m:r>
                    <m:t>ξ</m:t>
                  </m:r>
                </m:e>
                <m:sub>
                  <m:r>
                    <m:t>0</m:t>
                  </m:r>
                </m:sub>
              </m:sSub>
              <m:r>
                <m:rPr>
                  <m:sty m:val="p"/>
                </m:rPr>
                <m:t>/</m:t>
              </m:r>
              <m:r>
                <m:t>2</m:t>
              </m:r>
            </m:oMath>
          </w:p>
        </w:tc>
        <w:tc>
          <w:tcPr>
            <w:tcW w:type="dxa" w:w="2366"/>
          </w:tcPr>
          <w:p>
            <w:pPr>
              <w:pStyle w:val="Compact"/>
              <w:jc w:val="left"/>
            </w:pPr>
            <w:r>
              <w:t xml:space="preserve">side:</w:t>
            </w:r>
            <w:r>
              <w:t xml:space="preserve"> </w:t>
            </w:r>
            <m:oMath>
              <m:sSub>
                <m:e>
                  <m:r>
                    <m:t>ξ</m:t>
                  </m:r>
                </m:e>
                <m:sub>
                  <m:r>
                    <m:t>0</m:t>
                  </m:r>
                </m:sub>
              </m:sSub>
              <m:r>
                <m:rPr>
                  <m:sty m:val="p"/>
                </m:rPr>
                <m:t>/</m:t>
              </m:r>
              <m:r>
                <m:t>2</m:t>
              </m:r>
            </m:oMath>
            <w:r>
              <w:t xml:space="preserve">; mid main span: always</w:t>
            </w:r>
          </w:p>
        </w:tc>
      </w:tr>
      <w:tr>
        <w:tc>
          <w:tcPr>
            <w:tcW w:type="dxa" w:w="1971"/>
          </w:tcPr>
          <w:p>
            <w:pPr>
              <w:pStyle w:val="Compact"/>
              <w:jc w:val="left"/>
            </w:pPr>
            <w:r>
              <w:t xml:space="preserve">End reaction</w:t>
            </w:r>
          </w:p>
        </w:tc>
        <w:tc>
          <w:tcPr>
            <w:tcW w:type="dxa" w:w="2366"/>
          </w:tcPr>
          <w:p>
            <w:pPr>
              <w:pStyle w:val="Compact"/>
              <w:jc w:val="left"/>
            </w:pPr>
            <w:r>
              <w:t xml:space="preserve">no sagging zone in the end span</w:t>
            </w:r>
          </w:p>
        </w:tc>
        <w:tc>
          <w:tcPr>
            <w:tcW w:type="dxa" w:w="2366"/>
          </w:tcPr>
          <w:p>
            <w:pPr>
              <w:pStyle w:val="Compact"/>
              <w:jc w:val="left"/>
            </w:pPr>
            <m:oMath>
              <m:r>
                <m:t>μ</m:t>
              </m:r>
              <m:r>
                <m:rPr>
                  <m:sty m:val="p"/>
                </m:rPr>
                <m:t>=</m:t>
              </m:r>
              <m:r>
                <m:t>4</m:t>
              </m:r>
            </m:oMath>
            <w:r>
              <w:t xml:space="preserve"> </w:t>
            </w:r>
            <w:r>
              <w:t xml:space="preserve">(</w:t>
            </w:r>
            <m:oMath>
              <m:r>
                <m:t>λ</m:t>
              </m:r>
              <m:r>
                <m:rPr>
                  <m:sty m:val="p"/>
                </m:rPr>
                <m:t>=</m:t>
              </m:r>
              <m:r>
                <m:t>2.3028</m:t>
              </m:r>
            </m:oMath>
            <w:r>
              <w:t xml:space="preserve">)</w:t>
            </w:r>
          </w:p>
        </w:tc>
        <w:tc>
          <w:tcPr>
            <w:tcW w:type="dxa" w:w="2366"/>
          </w:tcPr>
          <w:p>
            <w:pPr>
              <w:pStyle w:val="Compact"/>
              <w:jc w:val="left"/>
            </w:pPr>
            <m:oMath>
              <m:r>
                <m:t>μ</m:t>
              </m:r>
              <m:r>
                <m:rPr>
                  <m:sty m:val="p"/>
                </m:rPr>
                <m:t>=</m:t>
              </m:r>
              <m:r>
                <m:t>4</m:t>
              </m:r>
            </m:oMath>
            <w:r>
              <w:t xml:space="preserve"> </w:t>
            </w:r>
            <w:r>
              <w:t xml:space="preserve">(</w:t>
            </w:r>
            <m:oMath>
              <m:r>
                <m:t>β</m:t>
              </m:r>
              <m:r>
                <m:rPr>
                  <m:sty m:val="p"/>
                </m:rPr>
                <m:t>=</m:t>
              </m:r>
              <m:r>
                <m:t>2.6691</m:t>
              </m:r>
            </m:oMath>
            <w:r>
              <w:t xml:space="preserve">)</w:t>
            </w:r>
          </w:p>
        </w:tc>
      </w:tr>
      <w:tr>
        <w:tc>
          <w:tcPr>
            <w:tcW w:type="dxa" w:w="1971"/>
          </w:tcPr>
          <w:p>
            <w:pPr>
              <w:pStyle w:val="Compact"/>
              <w:jc w:val="left"/>
            </w:pPr>
            <w:r>
              <w:t xml:space="preserve">Interior reaction</w:t>
            </w:r>
          </w:p>
        </w:tc>
        <w:tc>
          <w:tcPr>
            <w:tcW w:type="dxa" w:w="2366"/>
          </w:tcPr>
          <w:p>
            <w:pPr>
              <w:pStyle w:val="Compact"/>
              <w:jc w:val="left"/>
            </w:pPr>
            <w:r>
              <w:t xml:space="preserve">never under a full uniform load</w:t>
            </w:r>
          </w:p>
        </w:tc>
        <w:tc>
          <w:tcPr>
            <w:tcW w:type="dxa" w:w="2366"/>
          </w:tcPr>
          <w:p>
            <w:pPr>
              <w:pStyle w:val="Compact"/>
              <w:jc w:val="left"/>
            </w:pPr>
            <w:r>
              <w:t xml:space="preserve">–</w:t>
            </w:r>
          </w:p>
        </w:tc>
        <w:tc>
          <w:tcPr>
            <w:tcW w:type="dxa" w:w="2366"/>
          </w:tcPr>
          <w:p>
            <w:pPr>
              <w:pStyle w:val="Compact"/>
              <w:jc w:val="left"/>
            </w:pPr>
            <w:r>
              <w:t xml:space="preserve">–</w:t>
            </w:r>
          </w:p>
        </w:tc>
      </w:tr>
    </w:tbl>
    <w:p>
      <w:pPr>
        <w:pStyle w:val="BodyText"/>
      </w:pPr>
      <w:r>
        <w:t xml:space="preserve">One identity in Table 1 is useful in practice. The end-reaction indicator</w:t>
      </w:r>
      <w:r>
        <w:t xml:space="preserve"> </w:t>
      </w:r>
      <m:oMath>
        <m:sSub>
          <m:e>
            <m:r>
              <m:t>N</m:t>
            </m:r>
          </m:e>
          <m:sub>
            <m:r>
              <m:t>F</m:t>
            </m:r>
          </m:sub>
        </m:sSub>
        <m:r>
          <m:rPr>
            <m:sty m:val="p"/>
          </m:rPr>
          <m:t>=</m:t>
        </m:r>
        <m:r>
          <m:t>2</m:t>
        </m:r>
        <m:sSub>
          <m:e>
            <m:r>
              <m:t>F</m:t>
            </m:r>
          </m:e>
          <m:sub>
            <m:r>
              <m:t>A</m:t>
            </m:r>
          </m:sub>
        </m:sSub>
        <m:r>
          <m:rPr>
            <m:sty m:val="p"/>
          </m:rPr>
          <m:t>/</m:t>
        </m:r>
        <m:d>
          <m:dPr>
            <m:begChr m:val="("/>
            <m:endChr m:val=")"/>
            <m:sepChr m:val=""/>
            <m:grow/>
          </m:dPr>
          <m:e>
            <m:sSub>
              <m:e>
                <m:r>
                  <m:t>q</m:t>
                </m:r>
              </m:e>
              <m:sub>
                <m:r>
                  <m:t>0</m:t>
                </m:r>
              </m:sub>
            </m:sSub>
            <m:sSub>
              <m:e>
                <m:r>
                  <m:t>L</m:t>
                </m:r>
              </m:e>
              <m:sub>
                <m:r>
                  <m:t>1</m:t>
                </m:r>
              </m:sub>
            </m:sSub>
          </m:e>
        </m:d>
      </m:oMath>
      <w:r>
        <w:t xml:space="preserve"> </w:t>
      </w:r>
      <w:r>
        <w:t xml:space="preserve">equals the strain blind abscissa,</w:t>
      </w:r>
      <w:r>
        <w:t xml:space="preserve"> </w:t>
      </w:r>
      <m:oMath>
        <m:sSub>
          <m:e>
            <m:r>
              <m:t>N</m:t>
            </m:r>
          </m:e>
          <m:sub>
            <m:r>
              <m:t>F</m:t>
            </m:r>
          </m:sub>
        </m:sSub>
        <m:r>
          <m:rPr>
            <m:sty m:val="p"/>
          </m:rPr>
          <m:t>=</m:t>
        </m:r>
        <m:sSub>
          <m:e>
            <m:r>
              <m:t>ξ</m:t>
            </m:r>
          </m:e>
          <m:sub>
            <m:r>
              <m:t>0</m:t>
            </m:r>
          </m:sub>
        </m:sSub>
      </m:oMath>
      <w:r>
        <w:t xml:space="preserve">, for any</w:t>
      </w:r>
      <w:r>
        <w:t xml:space="preserve"> </w:t>
      </w:r>
      <m:oMath>
        <m:r>
          <m:t>E</m:t>
        </m:r>
        <m:r>
          <m:t>I</m:t>
        </m:r>
        <m:d>
          <m:dPr>
            <m:begChr m:val="("/>
            <m:endChr m:val=")"/>
            <m:sepChr m:val=""/>
            <m:grow/>
          </m:dPr>
          <m:e>
            <m:r>
              <m:t>x</m:t>
            </m:r>
          </m:e>
        </m:d>
      </m:oMath>
      <w:r>
        <w:t xml:space="preserve"> </w:t>
      </w:r>
      <w:r>
        <w:t xml:space="preserve">and any pier springs, because statics of the end segment gives</w:t>
      </w:r>
      <w:r>
        <w:t xml:space="preserve"> </w:t>
      </w:r>
      <m:oMath>
        <m:sSub>
          <m:e>
            <m:r>
              <m:t>M</m:t>
            </m:r>
          </m:e>
          <m:sub>
            <m:r>
              <m:t>q</m:t>
            </m:r>
          </m:sub>
        </m:sSub>
        <m:r>
          <m:rPr>
            <m:sty m:val="p"/>
          </m:rPr>
          <m:t>=</m:t>
        </m:r>
        <m:sSub>
          <m:e>
            <m:r>
              <m:t>F</m:t>
            </m:r>
          </m:e>
          <m:sub>
            <m:r>
              <m:t>A</m:t>
            </m:r>
          </m:sub>
        </m:sSub>
        <m:r>
          <m:t>x</m:t>
        </m:r>
        <m:r>
          <m:rPr>
            <m:sty m:val="p"/>
          </m:rPr>
          <m:t>−</m:t>
        </m:r>
        <m:sSub>
          <m:e>
            <m:r>
              <m:t>q</m:t>
            </m:r>
          </m:e>
          <m:sub>
            <m:r>
              <m:t>0</m:t>
            </m:r>
          </m:sub>
        </m:sSub>
        <m:sSup>
          <m:e>
            <m:r>
              <m:t>x</m:t>
            </m:r>
          </m:e>
          <m:sup>
            <m:r>
              <m:t>2</m:t>
            </m:r>
          </m:sup>
        </m:sSup>
        <m:r>
          <m:rPr>
            <m:sty m:val="p"/>
          </m:rPr>
          <m:t>/</m:t>
        </m:r>
        <m:r>
          <m:t>2</m:t>
        </m:r>
      </m:oMath>
      <w:r>
        <w:t xml:space="preserve">.</w:t>
      </w:r>
    </w:p>
    <w:bookmarkEnd w:id="24"/>
    <w:bookmarkStart w:id="25" w:name="X147ae1bcccdadb73d61657875ab13c374bcd18f"/>
    <w:p>
      <w:pPr>
        <w:pStyle w:val="Heading3"/>
      </w:pPr>
      <w:r>
        <w:t xml:space="preserve">2.3. Observability and conditioning indicators</w:t>
      </w:r>
    </w:p>
    <w:p>
      <w:pPr>
        <w:pStyle w:val="FirstParagraph"/>
      </w:pPr>
      <w:r>
        <w:t xml:space="preserve">Every estimator below divides by</w:t>
      </w:r>
      <w:r>
        <w:t xml:space="preserve"> </w:t>
      </w:r>
      <m:oMath>
        <m:r>
          <m:t>C</m:t>
        </m:r>
      </m:oMath>
      <w:r>
        <w:t xml:space="preserve">, so to first order the sensitivity to measurement error scales as</w:t>
      </w:r>
      <w:r>
        <w:t xml:space="preserve"> </w:t>
      </w:r>
      <m:oMath>
        <m:r>
          <m:t>1</m:t>
        </m:r>
        <m:r>
          <m:rPr>
            <m:sty m:val="p"/>
          </m:rPr>
          <m:t>/</m:t>
        </m:r>
        <m:d>
          <m:dPr>
            <m:begChr m:val="|"/>
            <m:endChr m:val="|"/>
            <m:sepChr m:val=""/>
            <m:grow/>
          </m:dPr>
          <m:e>
            <m:r>
              <m:t>C</m:t>
            </m:r>
          </m:e>
        </m:d>
      </m:oMath>
      <w:r>
        <w:t xml:space="preserve">. Normalised indicators make this sensitivity comparable between channels. For a deflection channel the indicator is</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N</m:t>
                    </m:r>
                  </m:e>
                  <m:sub>
                    <m:r>
                      <m:t>w</m:t>
                    </m:r>
                  </m:sub>
                </m:sSub>
                <m:r>
                  <m:rPr>
                    <m:sty m:val="p"/>
                  </m:rPr>
                  <m:t>=</m:t>
                </m:r>
                <m:f>
                  <m:fPr>
                    <m:type m:val="bar"/>
                  </m:fPr>
                  <m:num>
                    <m:r>
                      <m:t>192</m:t>
                    </m:r>
                    <m:r>
                      <m:t>E</m:t>
                    </m:r>
                    <m:sSub>
                      <m:e>
                        <m:r>
                          <m:t>I</m:t>
                        </m:r>
                      </m:e>
                      <m:sub>
                        <m:r>
                          <m:rPr>
                            <m:sty m:val="p"/>
                          </m:rPr>
                          <m:t>r</m:t>
                        </m:r>
                        <m:r>
                          <m:rPr>
                            <m:sty m:val="p"/>
                          </m:rPr>
                          <m:t>e</m:t>
                        </m:r>
                        <m:r>
                          <m:rPr>
                            <m:sty m:val="p"/>
                          </m:rPr>
                          <m:t>f</m:t>
                        </m:r>
                      </m:sub>
                    </m:sSub>
                    <m:r>
                      <m:t> </m:t>
                    </m:r>
                    <m:sSub>
                      <m:e>
                        <m:r>
                          <m:t>C</m:t>
                        </m:r>
                      </m:e>
                      <m:sub>
                        <m:r>
                          <m:t>m</m:t>
                        </m:r>
                      </m:sub>
                    </m:sSub>
                  </m:num>
                  <m:den>
                    <m:sSup>
                      <m:e>
                        <m:r>
                          <m:t>L</m:t>
                        </m:r>
                      </m:e>
                      <m:sup>
                        <m:r>
                          <m:t>4</m:t>
                        </m:r>
                      </m:sup>
                    </m:sSup>
                  </m:den>
                </m:f>
                <m:r>
                  <m:rPr>
                    <m:sty m:val="p"/>
                  </m:rPr>
                  <m:t>,</m:t>
                </m:r>
              </m:oMath>
            </m:oMathPara>
          </w:p>
        </w:tc>
        <w:tc>
          <w:tcPr>
            <w:tcW w:type="dxa" w:w="1088"/>
            <w:vAlign w:val="center"/>
          </w:tcPr>
          <w:p>
            <w:pPr>
              <w:jc w:val="right"/>
            </w:pPr>
            <w:r>
              <w:t xml:space="preserve">(10)</w:t>
            </w:r>
          </w:p>
        </w:tc>
      </w:tr>
    </w:tbl>
    <w:p>
      <w:pPr>
        <w:pStyle w:val="BodyText"/>
      </w:pPr>
      <w:r>
        <w:t xml:space="preserve">with</w:t>
      </w:r>
      <w:r>
        <w:t xml:space="preserve"> </w:t>
      </w:r>
      <m:oMath>
        <m:r>
          <m:t>L</m:t>
        </m:r>
      </m:oMath>
      <w:r>
        <w:t xml:space="preserve"> </w:t>
      </w:r>
      <w:r>
        <w:t xml:space="preserve">the span containing the sensor and</w:t>
      </w:r>
      <w:r>
        <w:t xml:space="preserve"> </w:t>
      </w:r>
      <m:oMath>
        <m:r>
          <m:t>E</m:t>
        </m:r>
        <m:sSub>
          <m:e>
            <m:r>
              <m:t>I</m:t>
            </m:r>
          </m:e>
          <m:sub>
            <m:r>
              <m:rPr>
                <m:sty m:val="p"/>
              </m:rPr>
              <m:t>r</m:t>
            </m:r>
            <m:r>
              <m:rPr>
                <m:sty m:val="p"/>
              </m:rPr>
              <m:t>e</m:t>
            </m:r>
            <m:r>
              <m:rPr>
                <m:sty m:val="p"/>
              </m:rPr>
              <m:t>f</m:t>
            </m:r>
          </m:sub>
        </m:sSub>
      </m:oMath>
      <w:r>
        <w:t xml:space="preserve"> </w:t>
      </w:r>
      <w:r>
        <w:t xml:space="preserve">a reference rigidity. With this normalisation</w:t>
      </w:r>
      <w:r>
        <w:t xml:space="preserve"> </w:t>
      </w:r>
      <m:oMath>
        <m:sSub>
          <m:e>
            <m:r>
              <m:t>N</m:t>
            </m:r>
          </m:e>
          <m:sub>
            <m:r>
              <m:t>w</m:t>
            </m:r>
          </m:sub>
        </m:sSub>
      </m:oMath>
      <w:r>
        <w:t xml:space="preserve"> </w:t>
      </w:r>
      <w:r>
        <w:t xml:space="preserve">equals 2.5 at mid-span of a simply supported span.</w:t>
      </w:r>
      <w:r>
        <w:t xml:space="preserve"> </w:t>
      </w:r>
      <m:oMath>
        <m:sSub>
          <m:e>
            <m:r>
              <m:t>N</m:t>
            </m:r>
          </m:e>
          <m:sub>
            <m:r>
              <m:t>M</m:t>
            </m:r>
          </m:sub>
        </m:sSub>
      </m:oMath>
      <w:r>
        <w:t xml:space="preserve"> </w:t>
      </w:r>
      <w:r>
        <w:t xml:space="preserve">of Eq. (9), and the rotation and shear indicators of Appendix B, equal 1 for the same simply supported reference.</w:t>
      </w:r>
    </w:p>
    <w:p>
      <w:pPr>
        <w:pStyle w:val="BodyText"/>
      </w:pPr>
      <w:r>
        <w:t xml:space="preserve">Because the two reference values (2.5 and 1) differ, a common threshold of 0.2 means different things for the two channels: relative to the simply supported mid-span value, it is 8 % for deflection and 20 % for strain. Both thresholds are design conventions and are used as stated throughout.</w:t>
      </w:r>
    </w:p>
    <w:p>
      <w:pPr>
        <w:pStyle w:val="BodyText"/>
      </w:pPr>
      <w:r>
        <w:t xml:space="preserve">For a non-prismatic girder,</w:t>
      </w:r>
      <w:r>
        <w:t xml:space="preserve"> </w:t>
      </w:r>
      <m:oMath>
        <m:sSub>
          <m:e>
            <m:r>
              <m:t>N</m:t>
            </m:r>
          </m:e>
          <m:sub>
            <m:r>
              <m:t>w</m:t>
            </m:r>
          </m:sub>
        </m:sSub>
      </m:oMath>
      <w:r>
        <w:t xml:space="preserve"> </w:t>
      </w:r>
      <w:r>
        <w:t xml:space="preserve">also depends on the choice of</w:t>
      </w:r>
      <w:r>
        <w:t xml:space="preserve"> </w:t>
      </w:r>
      <m:oMath>
        <m:r>
          <m:t>E</m:t>
        </m:r>
        <m:sSub>
          <m:e>
            <m:r>
              <m:t>I</m:t>
            </m:r>
          </m:e>
          <m:sub>
            <m:r>
              <m:rPr>
                <m:sty m:val="p"/>
              </m:rPr>
              <m:t>r</m:t>
            </m:r>
            <m:r>
              <m:rPr>
                <m:sty m:val="p"/>
              </m:rPr>
              <m:t>e</m:t>
            </m:r>
            <m:r>
              <m:rPr>
                <m:sty m:val="p"/>
              </m:rPr>
              <m:t>f</m:t>
            </m:r>
          </m:sub>
        </m:sSub>
      </m:oMath>
      <w:r>
        <w:t xml:space="preserve">, and Section 5 shows that this choice can dominate the result.</w:t>
      </w:r>
      <w:r>
        <w:t xml:space="preserve"> </w:t>
      </w:r>
      <m:oMath>
        <m:sSub>
          <m:e>
            <m:r>
              <m:t>N</m:t>
            </m:r>
          </m:e>
          <m:sub>
            <m:r>
              <m:t>M</m:t>
            </m:r>
          </m:sub>
        </m:sSub>
      </m:oMath>
      <w:r>
        <w:t xml:space="preserve"> </w:t>
      </w:r>
      <w:r>
        <w:t xml:space="preserve">needs no reference rigidity: it is the uniform-load moment relative to the simple-span moment</w:t>
      </w:r>
      <w:r>
        <w:t xml:space="preserve"> </w:t>
      </w:r>
      <m:oMath>
        <m:sSub>
          <m:e>
            <m:r>
              <m:t>q</m:t>
            </m:r>
          </m:e>
          <m:sub>
            <m:r>
              <m:t>0</m:t>
            </m:r>
          </m:sub>
        </m:sSub>
        <m:sSup>
          <m:e>
            <m:r>
              <m:t>L</m:t>
            </m:r>
          </m:e>
          <m:sup>
            <m:r>
              <m:t>2</m:t>
            </m:r>
          </m:sup>
        </m:sSup>
        <m:r>
          <m:rPr>
            <m:sty m:val="p"/>
          </m:rPr>
          <m:t>/</m:t>
        </m:r>
        <m:r>
          <m:t>8</m:t>
        </m:r>
      </m:oMath>
      <w:r>
        <w:t xml:space="preserve">, so its threshold keeps one meaning for any</w:t>
      </w:r>
      <w:r>
        <w:t xml:space="preserve"> </w:t>
      </w:r>
      <m:oMath>
        <m:r>
          <m:t>E</m:t>
        </m:r>
        <m:r>
          <m:t>I</m:t>
        </m:r>
        <m:d>
          <m:dPr>
            <m:begChr m:val="("/>
            <m:endChr m:val=")"/>
            <m:sepChr m:val=""/>
            <m:grow/>
          </m:dPr>
          <m:e>
            <m:r>
              <m:t>x</m:t>
            </m:r>
          </m:e>
        </m:d>
      </m:oMath>
      <w:r>
        <w:t xml:space="preserve">. The section enters a strain channel only through the gain</w:t>
      </w:r>
      <w:r>
        <w:t xml:space="preserve"> </w:t>
      </w:r>
      <m:oMath>
        <m:r>
          <m:t>c</m:t>
        </m:r>
        <m:r>
          <m:rPr>
            <m:sty m:val="p"/>
          </m:rPr>
          <m:t>/</m:t>
        </m:r>
        <m:r>
          <m:t>E</m:t>
        </m:r>
        <m:r>
          <m:t>I</m:t>
        </m:r>
      </m:oMath>
      <w:r>
        <w:t xml:space="preserve"> </w:t>
      </w:r>
      <w:r>
        <w:t xml:space="preserve">of Eq. (3).</w:t>
      </w:r>
    </w:p>
    <w:p>
      <w:pPr>
        <w:pStyle w:val="BodyText"/>
      </w:pPr>
      <w:r>
        <w:t xml:space="preserve">A second measure that needs no reference rigidity is the cancellation ratio</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r>
                  <m:t>R</m:t>
                </m:r>
                <m:r>
                  <m:rPr>
                    <m:sty m:val="p"/>
                  </m:rPr>
                  <m:t>=</m:t>
                </m:r>
                <m:f>
                  <m:fPr>
                    <m:type m:val="bar"/>
                  </m:fPr>
                  <m:num>
                    <m:r>
                      <m:t>C</m:t>
                    </m:r>
                  </m:num>
                  <m:den>
                    <m:sSup>
                      <m:e>
                        <m:r>
                          <m:t>A</m:t>
                        </m:r>
                      </m:e>
                      <m:sup>
                        <m:r>
                          <m:rPr>
                            <m:sty m:val="p"/>
                          </m:rPr>
                          <m:t>+</m:t>
                        </m:r>
                      </m:sup>
                    </m:sSup>
                  </m:den>
                </m:f>
                <m:r>
                  <m:rPr>
                    <m:sty m:val="p"/>
                  </m:rPr>
                  <m:t>=</m:t>
                </m:r>
                <m:r>
                  <m:t>1</m:t>
                </m:r>
                <m:r>
                  <m:rPr>
                    <m:sty m:val="p"/>
                  </m:rPr>
                  <m:t>−</m:t>
                </m:r>
                <m:f>
                  <m:fPr>
                    <m:type m:val="bar"/>
                  </m:fPr>
                  <m:num>
                    <m:d>
                      <m:dPr>
                        <m:begChr m:val="|"/>
                        <m:endChr m:val="|"/>
                        <m:sepChr m:val=""/>
                        <m:grow/>
                      </m:dPr>
                      <m:e>
                        <m:sSup>
                          <m:e>
                            <m:r>
                              <m:t>A</m:t>
                            </m:r>
                          </m:e>
                          <m:sup>
                            <m:r>
                              <m:rPr>
                                <m:sty m:val="p"/>
                              </m:rPr>
                              <m:t>−</m:t>
                            </m:r>
                          </m:sup>
                        </m:sSup>
                      </m:e>
                    </m:d>
                  </m:num>
                  <m:den>
                    <m:sSup>
                      <m:e>
                        <m:r>
                          <m:t>A</m:t>
                        </m:r>
                      </m:e>
                      <m:sup>
                        <m:r>
                          <m:rPr>
                            <m:sty m:val="p"/>
                          </m:rPr>
                          <m:t>+</m:t>
                        </m:r>
                      </m:sup>
                    </m:sSup>
                  </m:den>
                </m:f>
                <m:r>
                  <m:rPr>
                    <m:sty m:val="p"/>
                  </m:rPr>
                  <m:t>,</m:t>
                </m:r>
              </m:oMath>
            </m:oMathPara>
          </w:p>
        </w:tc>
        <w:tc>
          <w:tcPr>
            <w:tcW w:type="dxa" w:w="1088"/>
            <w:vAlign w:val="center"/>
          </w:tcPr>
          <w:p>
            <w:pPr>
              <w:jc w:val="right"/>
            </w:pPr>
            <w:r>
              <w:t xml:space="preserve">(11)</w:t>
            </w:r>
          </w:p>
        </w:tc>
      </w:tr>
    </w:tbl>
    <w:p>
      <w:pPr>
        <w:pStyle w:val="BodyText"/>
      </w:pPr>
      <w:r>
        <w:t xml:space="preserve">the net influence area divided by its positive part.</w:t>
      </w:r>
      <w:r>
        <w:t xml:space="preserve"> </w:t>
      </w:r>
      <m:oMath>
        <m:r>
          <m:t>R</m:t>
        </m:r>
      </m:oMath>
      <w:r>
        <w:t xml:space="preserve"> </w:t>
      </w:r>
      <w:r>
        <w:t xml:space="preserve">equals 1 for a simply supported span and 0 at a blind configuration. A small indicator with</w:t>
      </w:r>
      <w:r>
        <w:t xml:space="preserve"> </w:t>
      </w:r>
      <m:oMath>
        <m:r>
          <m:t>R</m:t>
        </m:r>
      </m:oMath>
      <w:r>
        <w:t xml:space="preserve"> </w:t>
      </w:r>
      <w:r>
        <w:t xml:space="preserve">near 1 therefore indicates restraint, not cancellation. The strain influence line is more local than the deflection influence line, so it cancels less at every prismatic location examined: at mid-span of two equal spans,</w:t>
      </w:r>
      <w:r>
        <w:t xml:space="preserve"> </w:t>
      </w:r>
      <m:oMath>
        <m:sSub>
          <m:e>
            <m:r>
              <m:t>R</m:t>
            </m:r>
          </m:e>
          <m:sub>
            <m:r>
              <m:t>ε</m:t>
            </m:r>
          </m:sub>
        </m:sSub>
        <m:r>
          <m:rPr>
            <m:sty m:val="p"/>
          </m:rPr>
          <m:t>=</m:t>
        </m:r>
        <m:r>
          <m:t>0.667</m:t>
        </m:r>
      </m:oMath>
      <w:r>
        <w:t xml:space="preserve"> </w:t>
      </w:r>
      <w:r>
        <w:t xml:space="preserve">against</w:t>
      </w:r>
      <w:r>
        <w:t xml:space="preserve"> </w:t>
      </w:r>
      <m:oMath>
        <m:sSub>
          <m:e>
            <m:r>
              <m:t>R</m:t>
            </m:r>
          </m:e>
          <m:sub>
            <m:r>
              <m:t>w</m:t>
            </m:r>
          </m:sub>
        </m:sSub>
        <m:r>
          <m:rPr>
            <m:sty m:val="p"/>
          </m:rPr>
          <m:t>=</m:t>
        </m:r>
        <m:r>
          <m:t>0.571</m:t>
        </m:r>
      </m:oMath>
      <w:r>
        <w:t xml:space="preserve">.</w:t>
      </w:r>
    </w:p>
    <w:p>
      <w:pPr>
        <w:pStyle w:val="BodyText"/>
      </w:pPr>
      <w:r>
        <w:t xml:space="preserve">Neither indicator carries the absolute signal level, on which the offset error depends. Suppose that a residual offset</w:t>
      </w:r>
      <w:r>
        <w:t xml:space="preserve"> </w:t>
      </w:r>
      <m:oMath>
        <m:sSub>
          <m:e>
            <m:r>
              <m:t>δ</m:t>
            </m:r>
          </m:e>
          <m:sub>
            <m:r>
              <m:t>0</m:t>
            </m:r>
          </m:sub>
        </m:sSub>
      </m:oMath>
      <w:r>
        <w:t xml:space="preserve">, in the units of the channel, remains after the record has been re-zeroed before and after the crossing. It adds</w:t>
      </w:r>
      <w:r>
        <w:t xml:space="preserve"> </w:t>
      </w:r>
      <m:oMath>
        <m:sSub>
          <m:e>
            <m:r>
              <m:t>δ</m:t>
            </m:r>
          </m:e>
          <m:sub>
            <m:r>
              <m:t>0</m:t>
            </m:r>
          </m:sub>
        </m:sSub>
        <m:sSub>
          <m:e>
            <m:r>
              <m:t>L</m:t>
            </m:r>
          </m:e>
          <m:sub>
            <m:r>
              <m:rPr>
                <m:sty m:val="p"/>
              </m:rPr>
              <m:t>t</m:t>
            </m:r>
            <m:r>
              <m:rPr>
                <m:sty m:val="p"/>
              </m:rPr>
              <m:t>o</m:t>
            </m:r>
            <m:r>
              <m:rPr>
                <m:sty m:val="p"/>
              </m:rPr>
              <m:t>t</m:t>
            </m:r>
          </m:sub>
        </m:sSub>
      </m:oMath>
      <w:r>
        <w:t xml:space="preserve"> </w:t>
      </w:r>
      <w:r>
        <w:t xml:space="preserve">to the integral, and with</w:t>
      </w:r>
      <w:r>
        <w:t xml:space="preserve"> </w:t>
      </w:r>
      <m:oMath>
        <m:r>
          <m:t>J</m:t>
        </m:r>
        <m:r>
          <m:rPr>
            <m:sty m:val="p"/>
          </m:rPr>
          <m:t>=</m:t>
        </m:r>
        <m:r>
          <m:t>C</m:t>
        </m:r>
        <m:r>
          <m:t>P</m:t>
        </m:r>
      </m:oMath>
      <w:r>
        <w:t xml:space="preserve"> </w:t>
      </w:r>
      <w:r>
        <w:t xml:space="preserve">the relative bias</w:t>
      </w:r>
      <w:r>
        <w:t xml:space="preserve"> </w:t>
      </w:r>
      <m:oMath>
        <m:r>
          <m:t>b</m:t>
        </m:r>
      </m:oMath>
      <w:r>
        <w:t xml:space="preserve"> </w:t>
      </w:r>
      <w:r>
        <w:t xml:space="preserve">of the load is</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r>
                  <m:t>b</m:t>
                </m:r>
                <m:r>
                  <m:rPr>
                    <m:sty m:val="p"/>
                  </m:rPr>
                  <m:t>=</m:t>
                </m:r>
                <m:f>
                  <m:fPr>
                    <m:type m:val="bar"/>
                  </m:fPr>
                  <m:num>
                    <m:sSub>
                      <m:e>
                        <m:r>
                          <m:t>P</m:t>
                        </m:r>
                      </m:e>
                      <m:sub>
                        <m:r>
                          <m:t>δ</m:t>
                        </m:r>
                      </m:sub>
                    </m:sSub>
                  </m:num>
                  <m:den>
                    <m:r>
                      <m:t>P</m:t>
                    </m:r>
                  </m:den>
                </m:f>
                <m:r>
                  <m:rPr>
                    <m:sty m:val="p"/>
                  </m:rPr>
                  <m:t>,</m:t>
                </m:r>
                <m:r>
                  <m:t>  </m:t>
                </m:r>
                <m:sSub>
                  <m:e>
                    <m:r>
                      <m:t>P</m:t>
                    </m:r>
                  </m:e>
                  <m:sub>
                    <m:r>
                      <m:t>δ</m:t>
                    </m:r>
                  </m:sub>
                </m:sSub>
                <m:r>
                  <m:rPr>
                    <m:sty m:val="p"/>
                  </m:rPr>
                  <m:t>=</m:t>
                </m:r>
                <m:f>
                  <m:fPr>
                    <m:type m:val="bar"/>
                  </m:fPr>
                  <m:num>
                    <m:sSub>
                      <m:e>
                        <m:r>
                          <m:t>δ</m:t>
                        </m:r>
                      </m:e>
                      <m:sub>
                        <m:r>
                          <m:t>0</m:t>
                        </m:r>
                      </m:sub>
                    </m:sSub>
                    <m:sSub>
                      <m:e>
                        <m:r>
                          <m:t>L</m:t>
                        </m:r>
                      </m:e>
                      <m:sub>
                        <m:r>
                          <m:rPr>
                            <m:sty m:val="p"/>
                          </m:rPr>
                          <m:t>t</m:t>
                        </m:r>
                        <m:r>
                          <m:rPr>
                            <m:sty m:val="p"/>
                          </m:rPr>
                          <m:t>o</m:t>
                        </m:r>
                        <m:r>
                          <m:rPr>
                            <m:sty m:val="p"/>
                          </m:rPr>
                          <m:t>t</m:t>
                        </m:r>
                      </m:sub>
                    </m:sSub>
                  </m:num>
                  <m:den>
                    <m:r>
                      <m:t>C</m:t>
                    </m:r>
                  </m:den>
                </m:f>
                <m:r>
                  <m:rPr>
                    <m:sty m:val="p"/>
                  </m:rPr>
                  <m:t>.</m:t>
                </m:r>
              </m:oMath>
            </m:oMathPara>
          </w:p>
        </w:tc>
        <w:tc>
          <w:tcPr>
            <w:tcW w:type="dxa" w:w="1088"/>
            <w:vAlign w:val="center"/>
          </w:tcPr>
          <w:p>
            <w:pPr>
              <w:jc w:val="right"/>
            </w:pPr>
            <w:r>
              <w:t xml:space="preserve">(12)</w:t>
            </w:r>
          </w:p>
        </w:tc>
      </w:tr>
    </w:tbl>
    <w:p>
      <w:pPr>
        <w:pStyle w:val="BodyText"/>
      </w:pPr>
      <w:r>
        <w:t xml:space="preserve">The offset-equivalent load</w:t>
      </w:r>
      <w:r>
        <w:t xml:space="preserve"> </w:t>
      </w:r>
      <m:oMath>
        <m:sSub>
          <m:e>
            <m:r>
              <m:t>P</m:t>
            </m:r>
          </m:e>
          <m:sub>
            <m:r>
              <m:t>δ</m:t>
            </m:r>
          </m:sub>
        </m:sSub>
      </m:oMath>
      <w:r>
        <w:t xml:space="preserve"> </w:t>
      </w:r>
      <w:r>
        <w:t xml:space="preserve">is the load at which the offset causes a 100 % bias. It combines sensor position, baseline stability and the lightest vehicle to be screened into one number.</w:t>
      </w:r>
    </w:p>
    <w:bookmarkEnd w:id="25"/>
    <w:bookmarkStart w:id="26" w:name="X7dbba64553acd36396feecc66b288e6fa85cc16"/>
    <w:p>
      <w:pPr>
        <w:pStyle w:val="Heading3"/>
      </w:pPr>
      <w:r>
        <w:t xml:space="preserve">2.4. Multi-channel estimation and sensor placement</w:t>
      </w:r>
    </w:p>
    <w:p>
      <w:pPr>
        <w:pStyle w:val="FirstParagraph"/>
      </w:pPr>
      <w:r>
        <w:t xml:space="preserve">Let channel</w:t>
      </w:r>
      <w:r>
        <w:t xml:space="preserve"> </w:t>
      </w:r>
      <m:oMath>
        <m:r>
          <m:t>j</m:t>
        </m:r>
      </m:oMath>
      <w:r>
        <w:t xml:space="preserve">, a deflection or a strain, give the integral</w:t>
      </w:r>
      <w:r>
        <w:t xml:space="preserve"> </w:t>
      </w:r>
      <m:oMath>
        <m:sSub>
          <m:e>
            <m:r>
              <m:t>J</m:t>
            </m:r>
          </m:e>
          <m:sub>
            <m:r>
              <m:t>j</m:t>
            </m:r>
          </m:sub>
        </m:sSub>
        <m:r>
          <m:rPr>
            <m:sty m:val="p"/>
          </m:rPr>
          <m:t>=</m:t>
        </m:r>
        <m:sSub>
          <m:e>
            <m:r>
              <m:t>C</m:t>
            </m:r>
          </m:e>
          <m:sub>
            <m:r>
              <m:t>j</m:t>
            </m:r>
          </m:sub>
        </m:sSub>
        <m:r>
          <m:t>P</m:t>
        </m:r>
        <m:r>
          <m:rPr>
            <m:sty m:val="p"/>
          </m:rPr>
          <m:t>+</m:t>
        </m:r>
        <m:sSub>
          <m:e>
            <m:r>
              <m:t>δ</m:t>
            </m:r>
          </m:e>
          <m:sub>
            <m:r>
              <m:t>0</m:t>
            </m:r>
            <m:r>
              <m:rPr>
                <m:sty m:val="p"/>
              </m:rPr>
              <m:t>,</m:t>
            </m:r>
            <m:r>
              <m:t>j</m:t>
            </m:r>
          </m:sub>
        </m:sSub>
        <m:sSub>
          <m:e>
            <m:r>
              <m:t>L</m:t>
            </m:r>
          </m:e>
          <m:sub>
            <m:r>
              <m:rPr>
                <m:sty m:val="p"/>
              </m:rPr>
              <m:t>t</m:t>
            </m:r>
            <m:r>
              <m:rPr>
                <m:sty m:val="p"/>
              </m:rPr>
              <m:t>o</m:t>
            </m:r>
            <m:r>
              <m:rPr>
                <m:sty m:val="p"/>
              </m:rPr>
              <m:t>t</m:t>
            </m:r>
          </m:sub>
        </m:sSub>
        <m:r>
          <m:rPr>
            <m:sty m:val="p"/>
          </m:rPr>
          <m:t>+</m:t>
        </m:r>
        <m:sSub>
          <m:e>
            <m:r>
              <m:t>n</m:t>
            </m:r>
          </m:e>
          <m:sub>
            <m:r>
              <m:t>j</m:t>
            </m:r>
          </m:sub>
        </m:sSub>
      </m:oMath>
      <w:r>
        <w:t xml:space="preserve">, with white noise</w:t>
      </w:r>
      <w:r>
        <w:t xml:space="preserve"> </w:t>
      </w:r>
      <m:oMath>
        <m:sSub>
          <m:e>
            <m:r>
              <m:t>n</m:t>
            </m:r>
          </m:e>
          <m:sub>
            <m:r>
              <m:t>j</m:t>
            </m:r>
          </m:sub>
        </m:sSub>
      </m:oMath>
      <w:r>
        <w:t xml:space="preserve"> </w:t>
      </w:r>
      <w:r>
        <w:t xml:space="preserve">and offsets that may be correlated between channels. Let</w:t>
      </w:r>
      <w:r>
        <w:t xml:space="preserve"> </w:t>
      </w:r>
      <m:oMath>
        <m:r>
          <m:t>Σ</m:t>
        </m:r>
      </m:oMath>
      <w:r>
        <w:t xml:space="preserve"> </w:t>
      </w:r>
      <w:r>
        <w:t xml:space="preserve">be the covariance matrix of the vector</w:t>
      </w:r>
      <w:r>
        <w:t xml:space="preserve"> </w:t>
      </w:r>
      <m:oMath>
        <m:r>
          <m:t>J</m:t>
        </m:r>
      </m:oMath>
      <w:r>
        <w:t xml:space="preserve">. A linear estimator</w:t>
      </w:r>
      <w:r>
        <w:t xml:space="preserve"> </w:t>
      </w:r>
      <m:oMath>
        <m:acc>
          <m:accPr>
            <m:chr m:val="̂"/>
          </m:accPr>
          <m:e>
            <m:r>
              <m:t>P</m:t>
            </m:r>
          </m:e>
        </m:acc>
        <m:r>
          <m:rPr>
            <m:sty m:val="p"/>
          </m:rPr>
          <m:t>=</m:t>
        </m:r>
        <m:sSup>
          <m:e>
            <m:r>
              <m:t>a</m:t>
            </m:r>
          </m:e>
          <m:sup>
            <m:r>
              <m:rPr>
                <m:sty m:val="p"/>
              </m:rPr>
              <m:t>⊤</m:t>
            </m:r>
          </m:sup>
        </m:sSup>
        <m:r>
          <m:t>J</m:t>
        </m:r>
      </m:oMath>
      <w:r>
        <w:t xml:space="preserve">, with channel weights</w:t>
      </w:r>
      <w:r>
        <w:t xml:space="preserve"> </w:t>
      </w:r>
      <m:oMath>
        <m:r>
          <m:t>a</m:t>
        </m:r>
      </m:oMath>
      <w:r>
        <w:t xml:space="preserve">, is unbiased for every axle configuration if and only if</w:t>
      </w:r>
      <w:r>
        <w:t xml:space="preserve"> </w:t>
      </w:r>
      <m:oMath>
        <m:sSup>
          <m:e>
            <m:r>
              <m:t>a</m:t>
            </m:r>
          </m:e>
          <m:sup>
            <m:r>
              <m:rPr>
                <m:sty m:val="p"/>
              </m:rPr>
              <m:t>⊤</m:t>
            </m:r>
          </m:sup>
        </m:sSup>
        <m:r>
          <m:t>C</m:t>
        </m:r>
        <m:r>
          <m:rPr>
            <m:sty m:val="p"/>
          </m:rPr>
          <m:t>=</m:t>
        </m:r>
        <m:r>
          <m:t>1</m:t>
        </m:r>
      </m:oMath>
      <w:r>
        <w:t xml:space="preserve">. Minimising its variance under this constraint gives the GLS weights</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p>
                  <m:e>
                    <m:r>
                      <m:t>a</m:t>
                    </m:r>
                  </m:e>
                  <m:sup>
                    <m:r>
                      <m:rPr>
                        <m:sty m:val="p"/>
                      </m:rPr>
                      <m:t>⋆</m:t>
                    </m:r>
                  </m:sup>
                </m:sSup>
                <m:r>
                  <m:rPr>
                    <m:sty m:val="p"/>
                  </m:rPr>
                  <m:t>=</m:t>
                </m:r>
                <m:f>
                  <m:fPr>
                    <m:type m:val="bar"/>
                  </m:fPr>
                  <m:num>
                    <m:sSup>
                      <m:e>
                        <m:r>
                          <m:t>Σ</m:t>
                        </m:r>
                      </m:e>
                      <m:sup>
                        <m:r>
                          <m:rPr>
                            <m:sty m:val="p"/>
                          </m:rPr>
                          <m:t>−</m:t>
                        </m:r>
                        <m:r>
                          <m:t>1</m:t>
                        </m:r>
                      </m:sup>
                    </m:sSup>
                    <m:r>
                      <m:t>C</m:t>
                    </m:r>
                  </m:num>
                  <m:den>
                    <m:sSup>
                      <m:e>
                        <m:r>
                          <m:t>C</m:t>
                        </m:r>
                      </m:e>
                      <m:sup>
                        <m:r>
                          <m:rPr>
                            <m:sty m:val="p"/>
                          </m:rPr>
                          <m:t>⊤</m:t>
                        </m:r>
                      </m:sup>
                    </m:sSup>
                    <m:sSup>
                      <m:e>
                        <m:r>
                          <m:t>Σ</m:t>
                        </m:r>
                      </m:e>
                      <m:sup>
                        <m:r>
                          <m:rPr>
                            <m:sty m:val="p"/>
                          </m:rPr>
                          <m:t>−</m:t>
                        </m:r>
                        <m:r>
                          <m:t>1</m:t>
                        </m:r>
                      </m:sup>
                    </m:sSup>
                    <m:r>
                      <m:t>C</m:t>
                    </m:r>
                  </m:den>
                </m:f>
                <m:r>
                  <m:rPr>
                    <m:sty m:val="p"/>
                  </m:rPr>
                  <m:t>,</m:t>
                </m:r>
                <m:r>
                  <m:t>  </m:t>
                </m:r>
                <m:r>
                  <m:rPr>
                    <m:sty m:val="p"/>
                  </m:rPr>
                  <m:t>V</m:t>
                </m:r>
                <m:r>
                  <m:rPr>
                    <m:sty m:val="p"/>
                  </m:rPr>
                  <m:t>a</m:t>
                </m:r>
                <m:r>
                  <m:rPr>
                    <m:sty m:val="p"/>
                  </m:rPr>
                  <m:t>r</m:t>
                </m:r>
                <m:r>
                  <m:t> </m:t>
                </m:r>
                <m:sSup>
                  <m:e>
                    <m:acc>
                      <m:accPr>
                        <m:chr m:val="̂"/>
                      </m:accPr>
                      <m:e>
                        <m:r>
                          <m:t>P</m:t>
                        </m:r>
                      </m:e>
                    </m:acc>
                  </m:e>
                  <m:sup>
                    <m:r>
                      <m:rPr>
                        <m:sty m:val="p"/>
                      </m:rPr>
                      <m:t>⋆</m:t>
                    </m:r>
                  </m:sup>
                </m:sSup>
                <m:r>
                  <m:rPr>
                    <m:sty m:val="p"/>
                  </m:rPr>
                  <m:t>=</m:t>
                </m:r>
                <m:r>
                  <m:rPr>
                    <m:sty m:val="p"/>
                  </m:rPr>
                  <m:t>(</m:t>
                </m:r>
                <m:sSup>
                  <m:e>
                    <m:r>
                      <m:t>C</m:t>
                    </m:r>
                  </m:e>
                  <m:sup>
                    <m:r>
                      <m:rPr>
                        <m:sty m:val="p"/>
                      </m:rPr>
                      <m:t>⊤</m:t>
                    </m:r>
                  </m:sup>
                </m:sSup>
                <m:sSup>
                  <m:e>
                    <m:r>
                      <m:t>Σ</m:t>
                    </m:r>
                  </m:e>
                  <m:sup>
                    <m:r>
                      <m:rPr>
                        <m:sty m:val="p"/>
                      </m:rPr>
                      <m:t>−</m:t>
                    </m:r>
                    <m:r>
                      <m:t>1</m:t>
                    </m:r>
                  </m:sup>
                </m:sSup>
                <m:r>
                  <m:t>C</m:t>
                </m:r>
                <m:sSup>
                  <m:e>
                    <m:r>
                      <m:rPr>
                        <m:sty m:val="p"/>
                      </m:rPr>
                      <m:t>)</m:t>
                    </m:r>
                  </m:e>
                  <m:sup>
                    <m:r>
                      <m:rPr>
                        <m:sty m:val="p"/>
                      </m:rPr>
                      <m:t>−</m:t>
                    </m:r>
                    <m:r>
                      <m:t>1</m:t>
                    </m:r>
                  </m:sup>
                </m:sSup>
                <m:r>
                  <m:rPr>
                    <m:sty m:val="p"/>
                  </m:rPr>
                  <m:t>,</m:t>
                </m:r>
              </m:oMath>
            </m:oMathPara>
          </w:p>
        </w:tc>
        <w:tc>
          <w:tcPr>
            <w:tcW w:type="dxa" w:w="1088"/>
            <w:vAlign w:val="center"/>
          </w:tcPr>
          <w:p>
            <w:pPr>
              <w:jc w:val="right"/>
            </w:pPr>
            <w:r>
              <w:t xml:space="preserve">(13)</w:t>
            </w:r>
          </w:p>
        </w:tc>
      </w:tr>
    </w:tbl>
    <w:p>
      <w:pPr>
        <w:pStyle w:val="BodyText"/>
      </w:pPr>
      <w:r>
        <w:t xml:space="preserve">the Gauss–Markov best linear unbiased estimator. For one channel, Eq. (13) returns</w:t>
      </w:r>
      <w:r>
        <w:t xml:space="preserve"> </w:t>
      </w:r>
      <m:oMath>
        <m:acc>
          <m:accPr>
            <m:chr m:val="̂"/>
          </m:accPr>
          <m:e>
            <m:r>
              <m:t>P</m:t>
            </m:r>
          </m:e>
        </m:acc>
        <m:r>
          <m:rPr>
            <m:sty m:val="p"/>
          </m:rPr>
          <m:t>=</m:t>
        </m:r>
        <m:r>
          <m:t>J</m:t>
        </m:r>
        <m:r>
          <m:rPr>
            <m:sty m:val="p"/>
          </m:rPr>
          <m:t>/</m:t>
        </m:r>
        <m:r>
          <m:t>C</m:t>
        </m:r>
      </m:oMath>
      <w:r>
        <w:t xml:space="preserve"> </w:t>
      </w:r>
      <w:r>
        <w:t xml:space="preserve">with variance</w:t>
      </w:r>
      <w:r>
        <w:t xml:space="preserve"> </w:t>
      </w:r>
      <m:oMath>
        <m:sSubSup>
          <m:e>
            <m:r>
              <m:t>σ</m:t>
            </m:r>
          </m:e>
          <m:sub>
            <m:r>
              <m:t>P</m:t>
            </m:r>
            <m:r>
              <m:rPr>
                <m:sty m:val="p"/>
              </m:rPr>
              <m:t>,</m:t>
            </m:r>
            <m:r>
              <m:rPr>
                <m:sty m:val="p"/>
              </m:rPr>
              <m:t>n</m:t>
            </m:r>
            <m:r>
              <m:rPr>
                <m:sty m:val="p"/>
              </m:rPr>
              <m:t>o</m:t>
            </m:r>
            <m:r>
              <m:rPr>
                <m:sty m:val="p"/>
              </m:rPr>
              <m:t>i</m:t>
            </m:r>
            <m:r>
              <m:rPr>
                <m:sty m:val="p"/>
              </m:rPr>
              <m:t>s</m:t>
            </m:r>
            <m:r>
              <m:rPr>
                <m:sty m:val="p"/>
              </m:rPr>
              <m:t>e</m:t>
            </m:r>
          </m:sub>
          <m:sup>
            <m:r>
              <m:t>2</m:t>
            </m:r>
          </m:sup>
        </m:sSubSup>
        <m:r>
          <m:rPr>
            <m:sty m:val="p"/>
          </m:rPr>
          <m:t>+</m:t>
        </m:r>
        <m:sSubSup>
          <m:e>
            <m:r>
              <m:t>P</m:t>
            </m:r>
          </m:e>
          <m:sub>
            <m:r>
              <m:t>δ</m:t>
            </m:r>
          </m:sub>
          <m:sup>
            <m:r>
              <m:t>2</m:t>
            </m:r>
          </m:sup>
        </m:sSubSup>
      </m:oMath>
      <w:r>
        <w:t xml:space="preserve">, where</w:t>
      </w:r>
      <w:r>
        <w:t xml:space="preserve"> </w:t>
      </w:r>
      <m:oMath>
        <m:sSub>
          <m:e>
            <m:r>
              <m:t>σ</m:t>
            </m:r>
          </m:e>
          <m:sub>
            <m:r>
              <m:t>P</m:t>
            </m:r>
            <m:r>
              <m:rPr>
                <m:sty m:val="p"/>
              </m:rPr>
              <m:t>,</m:t>
            </m:r>
            <m:r>
              <m:rPr>
                <m:sty m:val="p"/>
              </m:rPr>
              <m:t>n</m:t>
            </m:r>
            <m:r>
              <m:rPr>
                <m:sty m:val="p"/>
              </m:rPr>
              <m:t>o</m:t>
            </m:r>
            <m:r>
              <m:rPr>
                <m:sty m:val="p"/>
              </m:rPr>
              <m:t>i</m:t>
            </m:r>
            <m:r>
              <m:rPr>
                <m:sty m:val="p"/>
              </m:rPr>
              <m:t>s</m:t>
            </m:r>
            <m:r>
              <m:rPr>
                <m:sty m:val="p"/>
              </m:rPr>
              <m:t>e</m:t>
            </m:r>
          </m:sub>
        </m:sSub>
      </m:oMath>
      <w:r>
        <w:t xml:space="preserve"> </w:t>
      </w:r>
      <w:r>
        <w:t xml:space="preserve">is the standard deviation of the load estimate caused by white noise.</w:t>
      </w:r>
    </w:p>
    <w:p>
      <w:pPr>
        <w:pStyle w:val="BodyText"/>
      </w:pPr>
      <w:r>
        <w:t xml:space="preserve">Could a non-uniform weighting function</w:t>
      </w:r>
      <w:r>
        <w:t xml:space="preserve"> </w:t>
      </w:r>
      <m:oMath>
        <m:r>
          <m:t>g</m:t>
        </m:r>
        <m:d>
          <m:dPr>
            <m:begChr m:val="("/>
            <m:endChr m:val=")"/>
            <m:sepChr m:val=""/>
            <m:grow/>
          </m:dPr>
          <m:e>
            <m:r>
              <m:t>x</m:t>
            </m:r>
          </m:e>
        </m:d>
      </m:oMath>
      <w:r>
        <w:t xml:space="preserve"> </w:t>
      </w:r>
      <w:r>
        <w:t xml:space="preserve">along a single record do better than the plain integral? Appendix B shows that it cannot: only a uniform</w:t>
      </w:r>
      <w:r>
        <w:t xml:space="preserve"> </w:t>
      </w:r>
      <m:oMath>
        <m:r>
          <m:t>g</m:t>
        </m:r>
      </m:oMath>
      <w:r>
        <w:t xml:space="preserve"> </w:t>
      </w:r>
      <w:r>
        <w:t xml:space="preserve">keeps the estimate independent of the axle configuration for every structure, and SLM relies on this invariance. Appendix B also links SLM to transmissibility-based weighing [34]: a transmissibility is a ratio of response spectra, and at zero frequency it equals the ratio of record integrals. A record integrated uniformly in time weights space by</w:t>
      </w:r>
      <w:r>
        <w:t xml:space="preserve"> </w:t>
      </w:r>
      <m:oMath>
        <m:r>
          <m:t>1</m:t>
        </m:r>
        <m:r>
          <m:rPr>
            <m:sty m:val="p"/>
          </m:rPr>
          <m:t>/</m:t>
        </m:r>
        <m:r>
          <m:t>v</m:t>
        </m:r>
        <m:d>
          <m:dPr>
            <m:begChr m:val="("/>
            <m:endChr m:val=")"/>
            <m:sepChr m:val=""/>
            <m:grow/>
          </m:dPr>
          <m:e>
            <m:r>
              <m:t>x</m:t>
            </m:r>
          </m:e>
        </m:d>
      </m:oMath>
      <w:r>
        <w:t xml:space="preserve">, so the integral must be taken in space.</w:t>
      </w:r>
    </w:p>
    <w:p>
      <w:pPr>
        <w:pStyle w:val="BodyText"/>
      </w:pPr>
      <w:r>
        <w:t xml:space="preserve">Adding the constraint</w:t>
      </w:r>
      <w:r>
        <w:t xml:space="preserve"> </w:t>
      </w:r>
      <m:oMath>
        <m:nary>
          <m:naryPr>
            <m:chr m:val="∑"/>
            <m:limLoc m:val="undOvr"/>
            <m:subHide m:val="off"/>
            <m:supHide m:val="on"/>
          </m:naryPr>
          <m:sub>
            <m:r>
              <m:t>j</m:t>
            </m:r>
          </m:sub>
          <m:sup>
            <m:r>
              <m:t>​</m:t>
            </m:r>
          </m:sup>
          <m:e>
            <m:sSub>
              <m:e>
                <m:r>
                  <m:t>a</m:t>
                </m:r>
              </m:e>
              <m:sub>
                <m:r>
                  <m:t>j</m:t>
                </m:r>
              </m:sub>
            </m:sSub>
          </m:e>
        </m:nary>
        <m:r>
          <m:rPr>
            <m:sty m:val="p"/>
          </m:rPr>
          <m:t>=</m:t>
        </m:r>
        <m:r>
          <m:t>0</m:t>
        </m:r>
      </m:oMath>
      <w:r>
        <w:t xml:space="preserve"> </w:t>
      </w:r>
      <w:r>
        <w:t xml:space="preserve">within each channel type makes</w:t>
      </w:r>
      <w:r>
        <w:t xml:space="preserve"> </w:t>
      </w:r>
      <m:oMath>
        <m:acc>
          <m:accPr>
            <m:chr m:val="̂"/>
          </m:accPr>
          <m:e>
            <m:r>
              <m:t>P</m:t>
            </m:r>
          </m:e>
        </m:acc>
      </m:oMath>
      <w:r>
        <w:t xml:space="preserve"> </w:t>
      </w:r>
      <w:r>
        <w:t xml:space="preserve">insensitive to any disturbance shared by the channels: a constant offset, a drift, or motion of the reference frame. This estimator is called the zero-sum estimator below. With equal noise and offset statistics in all channels, its variance is</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r>
                  <m:rPr>
                    <m:sty m:val="p"/>
                  </m:rPr>
                  <m:t>V</m:t>
                </m:r>
                <m:r>
                  <m:rPr>
                    <m:sty m:val="p"/>
                  </m:rPr>
                  <m:t>a</m:t>
                </m:r>
                <m:r>
                  <m:rPr>
                    <m:sty m:val="p"/>
                  </m:rPr>
                  <m:t>r</m:t>
                </m:r>
                <m:r>
                  <m:t> </m:t>
                </m:r>
                <m:sSub>
                  <m:e>
                    <m:acc>
                      <m:accPr>
                        <m:chr m:val="̂"/>
                      </m:accPr>
                      <m:e>
                        <m:r>
                          <m:t>P</m:t>
                        </m:r>
                      </m:e>
                    </m:acc>
                  </m:e>
                  <m:sub>
                    <m:r>
                      <m:rPr>
                        <m:sty m:val="p"/>
                      </m:rPr>
                      <m:t>z</m:t>
                    </m:r>
                    <m:r>
                      <m:rPr>
                        <m:sty m:val="p"/>
                      </m:rPr>
                      <m:t>s</m:t>
                    </m:r>
                  </m:sub>
                </m:sSub>
                <m:r>
                  <m:rPr>
                    <m:sty m:val="p"/>
                  </m:rPr>
                  <m:t>=</m:t>
                </m:r>
                <m:f>
                  <m:fPr>
                    <m:type m:val="bar"/>
                  </m:fPr>
                  <m:num>
                    <m:sSup>
                      <m:e>
                        <m:r>
                          <m:t>σ</m:t>
                        </m:r>
                      </m:e>
                      <m:sup>
                        <m:r>
                          <m:t>2</m:t>
                        </m:r>
                      </m:sup>
                    </m:sSup>
                    <m:r>
                      <m:t>Δ</m:t>
                    </m:r>
                    <m:r>
                      <m:t>x</m:t>
                    </m:r>
                    <m:r>
                      <m:t> </m:t>
                    </m:r>
                    <m:sSub>
                      <m:e>
                        <m:r>
                          <m:t>L</m:t>
                        </m:r>
                      </m:e>
                      <m:sub>
                        <m:r>
                          <m:rPr>
                            <m:sty m:val="p"/>
                          </m:rPr>
                          <m:t>t</m:t>
                        </m:r>
                        <m:r>
                          <m:rPr>
                            <m:sty m:val="p"/>
                          </m:rPr>
                          <m:t>o</m:t>
                        </m:r>
                        <m:r>
                          <m:rPr>
                            <m:sty m:val="p"/>
                          </m:rPr>
                          <m:t>t</m:t>
                        </m:r>
                      </m:sub>
                    </m:sSub>
                    <m:r>
                      <m:rPr>
                        <m:sty m:val="p"/>
                      </m:rPr>
                      <m:t>+</m:t>
                    </m:r>
                    <m:d>
                      <m:dPr>
                        <m:begChr m:val="("/>
                        <m:endChr m:val=")"/>
                        <m:sepChr m:val=""/>
                        <m:grow/>
                      </m:dPr>
                      <m:e>
                        <m:r>
                          <m:t>1</m:t>
                        </m:r>
                        <m:r>
                          <m:rPr>
                            <m:sty m:val="p"/>
                          </m:rPr>
                          <m:t>−</m:t>
                        </m:r>
                        <m:r>
                          <m:t>ρ</m:t>
                        </m:r>
                      </m:e>
                    </m:d>
                    <m:sSubSup>
                      <m:e>
                        <m:r>
                          <m:t>δ</m:t>
                        </m:r>
                      </m:e>
                      <m:sub>
                        <m:r>
                          <m:t>0</m:t>
                        </m:r>
                      </m:sub>
                      <m:sup>
                        <m:r>
                          <m:t>2</m:t>
                        </m:r>
                      </m:sup>
                    </m:sSubSup>
                    <m:sSubSup>
                      <m:e>
                        <m:r>
                          <m:t>L</m:t>
                        </m:r>
                      </m:e>
                      <m:sub>
                        <m:r>
                          <m:rPr>
                            <m:sty m:val="p"/>
                          </m:rPr>
                          <m:t>t</m:t>
                        </m:r>
                        <m:r>
                          <m:rPr>
                            <m:sty m:val="p"/>
                          </m:rPr>
                          <m:t>o</m:t>
                        </m:r>
                        <m:r>
                          <m:rPr>
                            <m:sty m:val="p"/>
                          </m:rPr>
                          <m:t>t</m:t>
                        </m:r>
                      </m:sub>
                      <m:sup>
                        <m:r>
                          <m:t>2</m:t>
                        </m:r>
                      </m:sup>
                    </m:sSubSup>
                  </m:num>
                  <m:den>
                    <m:nary>
                      <m:naryPr>
                        <m:chr m:val="∑"/>
                        <m:limLoc m:val="undOvr"/>
                        <m:subHide m:val="off"/>
                        <m:supHide m:val="on"/>
                      </m:naryPr>
                      <m:sub>
                        <m:r>
                          <m:t>j</m:t>
                        </m:r>
                      </m:sub>
                      <m:sup>
                        <m:r>
                          <m:t>​</m:t>
                        </m:r>
                      </m:sup>
                      <m:e>
                        <m:sSup>
                          <m:e>
                            <m:d>
                              <m:dPr>
                                <m:begChr m:val="("/>
                                <m:endChr m:val=")"/>
                                <m:sepChr m:val=""/>
                                <m:grow/>
                              </m:dPr>
                              <m:e>
                                <m:sSub>
                                  <m:e>
                                    <m:r>
                                      <m:t>C</m:t>
                                    </m:r>
                                  </m:e>
                                  <m:sub>
                                    <m:r>
                                      <m:t>j</m:t>
                                    </m:r>
                                  </m:sub>
                                </m:sSub>
                                <m:r>
                                  <m:rPr>
                                    <m:sty m:val="p"/>
                                  </m:rPr>
                                  <m:t>−</m:t>
                                </m:r>
                                <m:acc>
                                  <m:accPr>
                                    <m:chr m:val="‾"/>
                                  </m:accPr>
                                  <m:e>
                                    <m:r>
                                      <m:t>C</m:t>
                                    </m:r>
                                  </m:e>
                                </m:acc>
                              </m:e>
                            </m:d>
                          </m:e>
                          <m:sup>
                            <m:r>
                              <m:t>2</m:t>
                            </m:r>
                          </m:sup>
                        </m:sSup>
                      </m:e>
                    </m:nary>
                  </m:den>
                </m:f>
                <m:r>
                  <m:rPr>
                    <m:sty m:val="p"/>
                  </m:rPr>
                  <m:t>,</m:t>
                </m:r>
              </m:oMath>
            </m:oMathPara>
          </w:p>
        </w:tc>
        <w:tc>
          <w:tcPr>
            <w:tcW w:type="dxa" w:w="1088"/>
            <w:vAlign w:val="center"/>
          </w:tcPr>
          <w:p>
            <w:pPr>
              <w:jc w:val="right"/>
            </w:pPr>
            <w:r>
              <w:t xml:space="preserve">(14)</w:t>
            </w:r>
          </w:p>
        </w:tc>
      </w:tr>
    </w:tbl>
    <w:p>
      <w:pPr>
        <w:pStyle w:val="BodyText"/>
      </w:pPr>
      <w:r>
        <w:t xml:space="preserve">where</w:t>
      </w:r>
      <w:r>
        <w:t xml:space="preserve"> </w:t>
      </w:r>
      <m:oMath>
        <m:r>
          <m:t>ρ</m:t>
        </m:r>
      </m:oMath>
      <w:r>
        <w:t xml:space="preserve"> </w:t>
      </w:r>
      <w:r>
        <w:t xml:space="preserve">is the common-mode fraction of the offset and</w:t>
      </w:r>
      <w:r>
        <w:t xml:space="preserve"> </w:t>
      </w:r>
      <m:oMath>
        <m:r>
          <m:t>Δ</m:t>
        </m:r>
        <m:r>
          <m:t>x</m:t>
        </m:r>
      </m:oMath>
      <w:r>
        <w:t xml:space="preserve"> </w:t>
      </w:r>
      <w:r>
        <w:t xml:space="preserve">the sampling interval.</w:t>
      </w:r>
    </w:p>
    <w:p>
      <w:pPr>
        <w:pStyle w:val="BodyText"/>
      </w:pPr>
      <w:r>
        <w:t xml:space="preserve">For two channels the zero-sum weights are</w:t>
      </w:r>
      <w:r>
        <w:t xml:space="preserve"> </w:t>
      </w:r>
      <m:oMath>
        <m:r>
          <m:t>a</m:t>
        </m:r>
        <m:r>
          <m:rPr>
            <m:sty m:val="p"/>
          </m:rPr>
          <m:t>=</m:t>
        </m:r>
        <m:d>
          <m:dPr>
            <m:begChr m:val="("/>
            <m:endChr m:val=")"/>
            <m:sepChr m:val=""/>
            <m:grow/>
          </m:dPr>
          <m:e>
            <m:r>
              <m:t>1</m:t>
            </m:r>
            <m:r>
              <m:rPr>
                <m:sty m:val="p"/>
              </m:rPr>
              <m:t>,</m:t>
            </m:r>
            <m:r>
              <m:rPr>
                <m:sty m:val="p"/>
              </m:rPr>
              <m:t>−</m:t>
            </m:r>
            <m:r>
              <m:t>1</m:t>
            </m:r>
          </m:e>
        </m:d>
        <m:r>
          <m:rPr>
            <m:sty m:val="p"/>
          </m:rPr>
          <m:t>/</m:t>
        </m:r>
        <m:d>
          <m:dPr>
            <m:begChr m:val="("/>
            <m:endChr m:val=")"/>
            <m:sepChr m:val=""/>
            <m:grow/>
          </m:dPr>
          <m:e>
            <m:sSub>
              <m:e>
                <m:r>
                  <m:t>C</m:t>
                </m:r>
              </m:e>
              <m:sub>
                <m:r>
                  <m:t>1</m:t>
                </m:r>
              </m:sub>
            </m:sSub>
            <m:r>
              <m:rPr>
                <m:sty m:val="p"/>
              </m:rPr>
              <m:t>−</m:t>
            </m:r>
            <m:sSub>
              <m:e>
                <m:r>
                  <m:t>C</m:t>
                </m:r>
              </m:e>
              <m:sub>
                <m:r>
                  <m:t>2</m:t>
                </m:r>
              </m:sub>
            </m:sSub>
          </m:e>
        </m:d>
      </m:oMath>
      <w:r>
        <w:t xml:space="preserve">, and a second sensor over a support (</w:t>
      </w:r>
      <m:oMath>
        <m:sSub>
          <m:e>
            <m:r>
              <m:t>C</m:t>
            </m:r>
          </m:e>
          <m:sub>
            <m:r>
              <m:t>2</m:t>
            </m:r>
          </m:sub>
        </m:sSub>
        <m:r>
          <m:rPr>
            <m:sty m:val="p"/>
          </m:rPr>
          <m:t>=</m:t>
        </m:r>
        <m:r>
          <m:t>0</m:t>
        </m:r>
      </m:oMath>
      <w:r>
        <w:t xml:space="preserve">) gives the familiar differential measurement against a reference. The white-noise variance then rises by the factor</w:t>
      </w:r>
      <w:r>
        <w:t xml:space="preserve"> </w:t>
      </w:r>
      <m:oMath>
        <m:r>
          <m:t>2</m:t>
        </m:r>
        <m:sSubSup>
          <m:e>
            <m:r>
              <m:t>C</m:t>
            </m:r>
          </m:e>
          <m:sub>
            <m:r>
              <m:t>1</m:t>
            </m:r>
          </m:sub>
          <m:sup>
            <m:r>
              <m:t>2</m:t>
            </m:r>
          </m:sup>
        </m:sSubSup>
        <m:r>
          <m:rPr>
            <m:sty m:val="p"/>
          </m:rPr>
          <m:t>/</m:t>
        </m:r>
        <m:sSup>
          <m:e>
            <m:d>
              <m:dPr>
                <m:begChr m:val="("/>
                <m:endChr m:val=")"/>
                <m:sepChr m:val=""/>
                <m:grow/>
              </m:dPr>
              <m:e>
                <m:sSub>
                  <m:e>
                    <m:r>
                      <m:t>C</m:t>
                    </m:r>
                  </m:e>
                  <m:sub>
                    <m:r>
                      <m:t>1</m:t>
                    </m:r>
                  </m:sub>
                </m:sSub>
                <m:r>
                  <m:rPr>
                    <m:sty m:val="p"/>
                  </m:rPr>
                  <m:t>−</m:t>
                </m:r>
                <m:sSub>
                  <m:e>
                    <m:r>
                      <m:t>C</m:t>
                    </m:r>
                  </m:e>
                  <m:sub>
                    <m:r>
                      <m:t>2</m:t>
                    </m:r>
                  </m:sub>
                </m:sSub>
              </m:e>
            </m:d>
          </m:e>
          <m:sup>
            <m:r>
              <m:t>2</m:t>
            </m:r>
          </m:sup>
        </m:sSup>
      </m:oMath>
      <w:r>
        <w:t xml:space="preserve">, which is 1.65–2.0 on the beams studied. This price is small, because for the long-span parameters of Section 5.3 with</w:t>
      </w:r>
      <w:r>
        <w:t xml:space="preserve"> </w:t>
      </w:r>
      <m:oMath>
        <m:r>
          <m:t>Δ</m:t>
        </m:r>
        <m:r>
          <m:t>x</m:t>
        </m:r>
        <m:r>
          <m:rPr>
            <m:sty m:val="p"/>
          </m:rPr>
          <m:t>=</m:t>
        </m:r>
        <m:r>
          <m:t>0.1</m:t>
        </m:r>
      </m:oMath>
      <w:r>
        <w:t xml:space="preserve"> </w:t>
      </w:r>
      <w:r>
        <w:t xml:space="preserve">m the white-noise term of Eq. (14) is only about 5 × 10⁻⁶ of the offset term. Strain and deflection channels need separate zero-sum constraints.</w:t>
      </w:r>
    </w:p>
    <w:p>
      <w:pPr>
        <w:pStyle w:val="BodyText"/>
      </w:pPr>
      <w:r>
        <w:t xml:space="preserve">If the noise statistics do not depend on position,</w:t>
      </w:r>
      <w:r>
        <w:t xml:space="preserve"> </w:t>
      </w:r>
      <m:oMath>
        <m:r>
          <m:t>1</m:t>
        </m:r>
        <m:r>
          <m:rPr>
            <m:sty m:val="p"/>
          </m:rPr>
          <m:t>/</m:t>
        </m:r>
        <m:r>
          <m:rPr>
            <m:sty m:val="p"/>
          </m:rPr>
          <m:t>V</m:t>
        </m:r>
        <m:r>
          <m:rPr>
            <m:sty m:val="p"/>
          </m:rPr>
          <m:t>a</m:t>
        </m:r>
        <m:r>
          <m:rPr>
            <m:sty m:val="p"/>
          </m:rPr>
          <m:t>r</m:t>
        </m:r>
      </m:oMath>
      <w:r>
        <w:t xml:space="preserve"> </w:t>
      </w:r>
      <w:r>
        <w:t xml:space="preserve">is a convex quadratic in the vector of constants</w:t>
      </w:r>
      <w:r>
        <w:t xml:space="preserve"> </w:t>
      </w:r>
      <m:oMath>
        <m:r>
          <m:t>C</m:t>
        </m:r>
        <m:d>
          <m:dPr>
            <m:begChr m:val="("/>
            <m:endChr m:val=")"/>
            <m:sepChr m:val=""/>
            <m:grow/>
          </m:dPr>
          <m:e>
            <m:sSub>
              <m:e>
                <m:r>
                  <m:t>x</m:t>
                </m:r>
              </m:e>
              <m:sub>
                <m:r>
                  <m:t>j</m:t>
                </m:r>
              </m:sub>
            </m:sSub>
          </m:e>
        </m:d>
      </m:oMath>
      <w:r>
        <w:t xml:space="preserve">, for both Eqs. (13) and (14). The feasible constants form a box, bounded by the smallest and largest</w:t>
      </w:r>
      <w:r>
        <w:t xml:space="preserve"> </w:t>
      </w:r>
      <m:oMath>
        <m:r>
          <m:t>C</m:t>
        </m:r>
        <m:d>
          <m:dPr>
            <m:begChr m:val="("/>
            <m:endChr m:val=")"/>
            <m:sepChr m:val=""/>
            <m:grow/>
          </m:dPr>
          <m:e>
            <m:r>
              <m:t>x</m:t>
            </m:r>
          </m:e>
        </m:d>
      </m:oMath>
      <w:r>
        <w:t xml:space="preserve"> </w:t>
      </w:r>
      <w:r>
        <w:t xml:space="preserve">along the girder, and a convex function on a box attains its maximum at a vertex. Optimal sensors therefore lie at the maximum and the minimum of</w:t>
      </w:r>
      <w:r>
        <w:t xml:space="preserve"> </w:t>
      </w:r>
      <m:oMath>
        <m:r>
          <m:t>C</m:t>
        </m:r>
        <m:d>
          <m:dPr>
            <m:begChr m:val="("/>
            <m:endChr m:val=")"/>
            <m:sepChr m:val=""/>
            <m:grow/>
          </m:dPr>
          <m:e>
            <m:r>
              <m:t>x</m:t>
            </m:r>
          </m:e>
        </m:d>
      </m:oMath>
      <w:r>
        <w:t xml:space="preserve">. For deflection,</w:t>
      </w:r>
      <w:r>
        <w:t xml:space="preserve"> </w:t>
      </w:r>
      <m:oMath>
        <m:r>
          <m:t>C</m:t>
        </m:r>
        <m:d>
          <m:dPr>
            <m:begChr m:val="("/>
            <m:endChr m:val=")"/>
            <m:sepChr m:val=""/>
            <m:grow/>
          </m:dPr>
          <m:e>
            <m:r>
              <m:t>x</m:t>
            </m:r>
          </m:e>
        </m:d>
      </m:oMath>
      <w:r>
        <w:t xml:space="preserve"> </w:t>
      </w:r>
      <w:r>
        <w:t xml:space="preserve">is</w:t>
      </w:r>
      <w:r>
        <w:t xml:space="preserve"> </w:t>
      </w:r>
      <m:oMath>
        <m:sSub>
          <m:e>
            <m:r>
              <m:t>w</m:t>
            </m:r>
          </m:e>
          <m:sub>
            <m:r>
              <m:t>q</m:t>
            </m:r>
          </m:sub>
        </m:sSub>
        <m:d>
          <m:dPr>
            <m:begChr m:val="("/>
            <m:endChr m:val=")"/>
            <m:sepChr m:val=""/>
            <m:grow/>
          </m:dPr>
          <m:e>
            <m:r>
              <m:t>x</m:t>
            </m:r>
          </m:e>
        </m:d>
        <m:r>
          <m:rPr>
            <m:sty m:val="p"/>
          </m:rPr>
          <m:t>/</m:t>
        </m:r>
        <m:sSub>
          <m:e>
            <m:r>
              <m:t>q</m:t>
            </m:r>
          </m:e>
          <m:sub>
            <m:r>
              <m:t>0</m:t>
            </m:r>
          </m:sub>
        </m:sSub>
      </m:oMath>
      <w:r>
        <w:t xml:space="preserve">. For strain it is</w:t>
      </w:r>
      <w:r>
        <w:t xml:space="preserve"> </w:t>
      </w:r>
      <m:oMath>
        <m:r>
          <m:t>c</m:t>
        </m:r>
        <m:r>
          <m:t> </m:t>
        </m:r>
        <m:sSub>
          <m:e>
            <m:r>
              <m:t>M</m:t>
            </m:r>
          </m:e>
          <m:sub>
            <m:r>
              <m:t>q</m:t>
            </m:r>
          </m:sub>
        </m:sSub>
        <m:d>
          <m:dPr>
            <m:begChr m:val="("/>
            <m:endChr m:val=")"/>
            <m:sepChr m:val=""/>
            <m:grow/>
          </m:dPr>
          <m:e>
            <m:r>
              <m:t>x</m:t>
            </m:r>
          </m:e>
        </m:d>
        <m:r>
          <m:rPr>
            <m:sty m:val="p"/>
          </m:rPr>
          <m:t>/</m:t>
        </m:r>
        <m:d>
          <m:dPr>
            <m:begChr m:val="("/>
            <m:endChr m:val=")"/>
            <m:sepChr m:val=""/>
            <m:grow/>
          </m:dPr>
          <m:e>
            <m:r>
              <m:t>E</m:t>
            </m:r>
            <m:r>
              <m:t>I</m:t>
            </m:r>
            <m:r>
              <m:t> </m:t>
            </m:r>
            <m:sSub>
              <m:e>
                <m:r>
                  <m:t>q</m:t>
                </m:r>
              </m:e>
              <m:sub>
                <m:r>
                  <m:t>0</m:t>
                </m:r>
              </m:sub>
            </m:sSub>
          </m:e>
        </m:d>
      </m:oMath>
      <w:r>
        <w:t xml:space="preserve">, which includes the section gain, so on a haunched girder the extremes of</w:t>
      </w:r>
      <w:r>
        <w:t xml:space="preserve"> </w:t>
      </w:r>
      <m:oMath>
        <m:sSub>
          <m:e>
            <m:r>
              <m:t>C</m:t>
            </m:r>
          </m:e>
          <m:sub>
            <m:r>
              <m:t>ε</m:t>
            </m:r>
          </m:sub>
        </m:sSub>
      </m:oMath>
      <w:r>
        <w:t xml:space="preserve"> </w:t>
      </w:r>
      <w:r>
        <w:t xml:space="preserve">and of</w:t>
      </w:r>
      <w:r>
        <w:t xml:space="preserve"> </w:t>
      </w:r>
      <m:oMath>
        <m:sSub>
          <m:e>
            <m:r>
              <m:t>M</m:t>
            </m:r>
          </m:e>
          <m:sub>
            <m:r>
              <m:t>q</m:t>
            </m:r>
          </m:sub>
        </m:sSub>
      </m:oMath>
      <w:r>
        <w:t xml:space="preserve"> </w:t>
      </w:r>
      <w:r>
        <w:t xml:space="preserve">differ.</w:t>
      </w:r>
    </w:p>
    <w:p>
      <w:pPr>
        <w:pStyle w:val="BodyText"/>
      </w:pPr>
      <w:r>
        <w:t xml:space="preserve">Which extreme to use depends on the offsets. With independent offsets, every sensor should sit as close as possible to the maximum, because the GLS variance then falls with the sum of the squared constants. With correlated offsets, one sensor should sit at the minimum, because a common offset cancels in the difference of two channels and the variance of Eq. (14) falls with the spread of the constants. A brute-force search found no design better than this vertex design, and a Monte Carlo study confirmed that the estimators are unbiased and that Eqs. (13) and (14) hold to within 0.6 % (Supplementary Material). Fig. 4 shows the gain over the best single sensor.</w:t>
      </w:r>
    </w:p>
    <w:p>
      <w:pPr>
        <w:pStyle w:val="BodyText"/>
      </w:pPr>
      <w:r>
        <w:t xml:space="preserve">These results hold for the assumed noise model, and Section 4.3 shows that real records can violate it. The zero-sum estimator helps only if the disturbance is common-mode during the crossings themselves, not merely in vehicle-free periods. On the field records the vehicle-free noise was strongly common-mode, but the crossing residuals, that is, the deviations of each crossing’s integral from its calibrated value, were not.</w:t>
      </w:r>
      <w:r>
        <w:t xml:space="preserve"> </w:t>
      </w:r>
      <m:oMath>
        <m:r>
          <m:t>Σ</m:t>
        </m:r>
      </m:oMath>
      <w:r>
        <w:t xml:space="preserve">, and hence</w:t>
      </w:r>
      <w:r>
        <w:t xml:space="preserve"> </w:t>
      </w:r>
      <m:oMath>
        <m:r>
          <m:t>ρ</m:t>
        </m:r>
      </m:oMath>
      <w:r>
        <w:t xml:space="preserve">, should therefore be estimated from the residuals of calibration crossings, with enough crossings to avoid over-fitting, and not from vehicle-free windows alone.</w:t>
      </w:r>
    </w:p>
    <w:bookmarkEnd w:id="26"/>
    <w:bookmarkStart w:id="27" w:name="X8083e8107fdbc4fed3b68688169e7e185f6b866"/>
    <w:p>
      <w:pPr>
        <w:pStyle w:val="Heading3"/>
      </w:pPr>
      <w:r>
        <w:t xml:space="preserve">2.5. Identifiability of the constant under boundary uncertainty</w:t>
      </w:r>
    </w:p>
    <w:p>
      <w:pPr>
        <w:pStyle w:val="FirstParagraph"/>
      </w:pPr>
      <w:r>
        <w:t xml:space="preserve">A girder with monolithic piers has the stiffness matrix</w:t>
      </w:r>
      <w:r>
        <w:t xml:space="preserve"> </w:t>
      </w:r>
      <m:oMath>
        <m:r>
          <m:t>α</m:t>
        </m:r>
        <m:sSub>
          <m:e>
            <m:r>
              <m:t>K</m:t>
            </m:r>
          </m:e>
          <m:sub>
            <m:r>
              <m:t>g</m:t>
            </m:r>
          </m:sub>
        </m:sSub>
        <m:r>
          <m:rPr>
            <m:sty m:val="p"/>
          </m:rPr>
          <m:t>+</m:t>
        </m:r>
        <m:r>
          <m:t>k</m:t>
        </m:r>
        <m:sSub>
          <m:e>
            <m:r>
              <m:t>K</m:t>
            </m:r>
          </m:e>
          <m:sub>
            <m:r>
              <m:t>p</m:t>
            </m:r>
          </m:sub>
        </m:sSub>
      </m:oMath>
      <w:r>
        <w:t xml:space="preserve">, where</w:t>
      </w:r>
      <w:r>
        <w:t xml:space="preserve"> </w:t>
      </w:r>
      <m:oMath>
        <m:r>
          <m:t>α</m:t>
        </m:r>
      </m:oMath>
      <w:r>
        <w:t xml:space="preserve"> </w:t>
      </w:r>
      <w:r>
        <w:t xml:space="preserve">is the ratio of effective to design girder rigidity and</w:t>
      </w:r>
      <w:r>
        <w:t xml:space="preserve"> </w:t>
      </w:r>
      <m:oMath>
        <m:r>
          <m:t>k</m:t>
        </m:r>
      </m:oMath>
      <w:r>
        <w:t xml:space="preserve"> </w:t>
      </w:r>
      <w:r>
        <w:t xml:space="preserve">is the rotational stiffness of each pier. Every static response therefore has the form</w:t>
      </w:r>
      <w:r>
        <w:t xml:space="preserve"> </w:t>
      </w:r>
      <m:oMath>
        <m:r>
          <m:t>f</m:t>
        </m:r>
        <m:d>
          <m:dPr>
            <m:begChr m:val="("/>
            <m:endChr m:val=")"/>
            <m:sepChr m:val=""/>
            <m:grow/>
          </m:dPr>
          <m:e>
            <m:r>
              <m:t>κ</m:t>
            </m:r>
          </m:e>
        </m:d>
        <m:r>
          <m:rPr>
            <m:sty m:val="p"/>
          </m:rPr>
          <m:t>/</m:t>
        </m:r>
        <m:r>
          <m:t>α</m:t>
        </m:r>
      </m:oMath>
      <w:r>
        <w:t xml:space="preserve">, where</w:t>
      </w:r>
      <w:r>
        <w:t xml:space="preserve"> </w:t>
      </w:r>
      <m:oMath>
        <m:r>
          <m:t>κ</m:t>
        </m:r>
        <m:r>
          <m:rPr>
            <m:sty m:val="p"/>
          </m:rPr>
          <m:t>=</m:t>
        </m:r>
        <m:r>
          <m:t>k</m:t>
        </m:r>
        <m:r>
          <m:rPr>
            <m:sty m:val="p"/>
          </m:rPr>
          <m:t>/</m:t>
        </m:r>
        <m:r>
          <m:t>α</m:t>
        </m:r>
      </m:oMath>
      <w:r>
        <w:t xml:space="preserve"> </w:t>
      </w:r>
      <w:r>
        <w:t xml:space="preserve">is the scaled pier stiffness. The ratio of two static readings does not depend on</w:t>
      </w:r>
      <w:r>
        <w:t xml:space="preserve"> </w:t>
      </w:r>
      <m:oMath>
        <m:r>
          <m:t>α</m:t>
        </m:r>
      </m:oMath>
      <w:r>
        <w:t xml:space="preserve">, so only this ratio carries information about</w:t>
      </w:r>
      <w:r>
        <w:t xml:space="preserve"> </w:t>
      </w:r>
      <m:oMath>
        <m:r>
          <m:t>κ</m:t>
        </m:r>
      </m:oMath>
      <w:r>
        <w:t xml:space="preserve">. Once</w:t>
      </w:r>
      <w:r>
        <w:t xml:space="preserve"> </w:t>
      </w:r>
      <m:oMath>
        <m:r>
          <m:t>κ</m:t>
        </m:r>
      </m:oMath>
      <w:r>
        <w:t xml:space="preserve"> </w:t>
      </w:r>
      <w:r>
        <w:t xml:space="preserve">is chosen, either reading gives</w:t>
      </w:r>
      <w:r>
        <w:t xml:space="preserve"> </w:t>
      </w:r>
      <m:oMath>
        <m:r>
          <m:t>α</m:t>
        </m:r>
      </m:oMath>
      <w:r>
        <w:t xml:space="preserve">.</w:t>
      </w:r>
    </w:p>
    <w:p>
      <w:pPr>
        <w:pStyle w:val="BodyText"/>
      </w:pPr>
      <w:r>
        <w:t xml:space="preserve">For a mirror-symmetric girder with equal piers, the uniform load excites only the antisymmetric pattern of pier rotations, and the Sherman–Morrison formula gives (Appendix C)</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sSub>
                  <m:e>
                    <m:r>
                      <m:t>C</m:t>
                    </m:r>
                  </m:e>
                  <m:sub>
                    <m:r>
                      <m:t>m</m:t>
                    </m:r>
                  </m:sub>
                </m:sSub>
                <m:d>
                  <m:dPr>
                    <m:begChr m:val="("/>
                    <m:endChr m:val=")"/>
                    <m:sepChr m:val=""/>
                    <m:grow/>
                  </m:dPr>
                  <m:e>
                    <m:r>
                      <m:t>α</m:t>
                    </m:r>
                    <m:r>
                      <m:rPr>
                        <m:sty m:val="p"/>
                      </m:rPr>
                      <m:t>,</m:t>
                    </m:r>
                    <m:r>
                      <m:t>κ</m:t>
                    </m:r>
                  </m:e>
                </m:d>
                <m:r>
                  <m:rPr>
                    <m:sty m:val="p"/>
                  </m:rPr>
                  <m:t>=</m:t>
                </m:r>
                <m:f>
                  <m:fPr>
                    <m:type m:val="bar"/>
                  </m:fPr>
                  <m:num>
                    <m:r>
                      <m:t>1</m:t>
                    </m:r>
                  </m:num>
                  <m:den>
                    <m:r>
                      <m:t>α</m:t>
                    </m:r>
                  </m:den>
                </m:f>
                <m:d>
                  <m:dPr>
                    <m:begChr m:val="["/>
                    <m:endChr m:val="]"/>
                    <m:sepChr m:val=""/>
                    <m:grow/>
                  </m:dPr>
                  <m:e>
                    <m:sSub>
                      <m:e>
                        <m:r>
                          <m:t>C</m:t>
                        </m:r>
                      </m:e>
                      <m:sub>
                        <m:r>
                          <m:rPr>
                            <m:sty m:val="p"/>
                          </m:rPr>
                          <m:t>∞</m:t>
                        </m:r>
                      </m:sub>
                    </m:sSub>
                    <m:r>
                      <m:rPr>
                        <m:sty m:val="p"/>
                      </m:rPr>
                      <m:t>+</m:t>
                    </m:r>
                    <m:f>
                      <m:fPr>
                        <m:type m:val="bar"/>
                      </m:fPr>
                      <m:num>
                        <m:sSub>
                          <m:e>
                            <m:r>
                              <m:t>C</m:t>
                            </m:r>
                          </m:e>
                          <m:sub>
                            <m:r>
                              <m:t>0</m:t>
                            </m:r>
                          </m:sub>
                        </m:sSub>
                        <m:r>
                          <m:rPr>
                            <m:sty m:val="p"/>
                          </m:rPr>
                          <m:t>−</m:t>
                        </m:r>
                        <m:sSub>
                          <m:e>
                            <m:r>
                              <m:t>C</m:t>
                            </m:r>
                          </m:e>
                          <m:sub>
                            <m:r>
                              <m:rPr>
                                <m:sty m:val="p"/>
                              </m:rPr>
                              <m:t>∞</m:t>
                            </m:r>
                          </m:sub>
                        </m:sSub>
                      </m:num>
                      <m:den>
                        <m:r>
                          <m:t>1</m:t>
                        </m:r>
                        <m:r>
                          <m:rPr>
                            <m:sty m:val="p"/>
                          </m:rPr>
                          <m:t>+</m:t>
                        </m:r>
                        <m:r>
                          <m:t>κ</m:t>
                        </m:r>
                        <m:r>
                          <m:rPr>
                            <m:sty m:val="p"/>
                          </m:rPr>
                          <m:t>/</m:t>
                        </m:r>
                        <m:sSub>
                          <m:e>
                            <m:r>
                              <m:t>k</m:t>
                            </m:r>
                          </m:e>
                          <m:sub>
                            <m:r>
                              <m:t>g</m:t>
                            </m:r>
                          </m:sub>
                        </m:sSub>
                      </m:den>
                    </m:f>
                  </m:e>
                </m:d>
                <m:r>
                  <m:rPr>
                    <m:sty m:val="p"/>
                  </m:rPr>
                  <m:t>.</m:t>
                </m:r>
              </m:oMath>
            </m:oMathPara>
          </w:p>
        </w:tc>
        <w:tc>
          <w:tcPr>
            <w:tcW w:type="dxa" w:w="1088"/>
            <w:vAlign w:val="center"/>
          </w:tcPr>
          <w:p>
            <w:pPr>
              <w:jc w:val="right"/>
            </w:pPr>
            <w:r>
              <w:t xml:space="preserve">(15)</w:t>
            </w:r>
          </w:p>
        </w:tc>
      </w:tr>
    </w:tbl>
    <w:p>
      <w:pPr>
        <w:pStyle w:val="BodyText"/>
      </w:pPr>
      <m:oMath>
        <m:sSub>
          <m:e>
            <m:r>
              <m:t>C</m:t>
            </m:r>
          </m:e>
          <m:sub>
            <m:r>
              <m:t>0</m:t>
            </m:r>
          </m:sub>
        </m:sSub>
      </m:oMath>
      <w:r>
        <w:t xml:space="preserve"> </w:t>
      </w:r>
      <w:r>
        <w:t xml:space="preserve">and</w:t>
      </w:r>
      <w:r>
        <w:t xml:space="preserve"> </w:t>
      </w:r>
      <m:oMath>
        <m:sSub>
          <m:e>
            <m:r>
              <m:t>C</m:t>
            </m:r>
          </m:e>
          <m:sub>
            <m:r>
              <m:rPr>
                <m:sty m:val="p"/>
              </m:rPr>
              <m:t>∞</m:t>
            </m:r>
          </m:sub>
        </m:sSub>
      </m:oMath>
      <w:r>
        <w:t xml:space="preserve"> </w:t>
      </w:r>
      <w:r>
        <w:t xml:space="preserve">are the constants for pinned and for fixed piers at</w:t>
      </w:r>
      <w:r>
        <w:t xml:space="preserve"> </w:t>
      </w:r>
      <m:oMath>
        <m:r>
          <m:t>α</m:t>
        </m:r>
        <m:r>
          <m:rPr>
            <m:sty m:val="p"/>
          </m:rPr>
          <m:t>=</m:t>
        </m:r>
        <m:r>
          <m:t>1</m:t>
        </m:r>
      </m:oMath>
      <w:r>
        <w:t xml:space="preserve">, and</w:t>
      </w:r>
      <w:r>
        <w:t xml:space="preserve"> </w:t>
      </w:r>
      <m:oMath>
        <m:sSub>
          <m:e>
            <m:r>
              <m:t>k</m:t>
            </m:r>
          </m:e>
          <m:sub>
            <m:r>
              <m:t>g</m:t>
            </m:r>
          </m:sub>
        </m:sSub>
      </m:oMath>
      <w:r>
        <w:t xml:space="preserve"> </w:t>
      </w:r>
      <w:r>
        <w:t xml:space="preserve">is the girder’s own stiffness against antisymmetric pier rotation. Eq. (15) makes the constant a linear-fractional (Möbius) function of</w:t>
      </w:r>
      <w:r>
        <w:t xml:space="preserve"> </w:t>
      </w:r>
      <m:oMath>
        <m:r>
          <m:t>κ</m:t>
        </m:r>
      </m:oMath>
      <w:r>
        <w:t xml:space="preserve"> </w:t>
      </w:r>
      <w:r>
        <w:t xml:space="preserve">and is called the Möbius law below.</w:t>
      </w:r>
    </w:p>
    <w:p>
      <w:pPr>
        <w:pStyle w:val="BodyText"/>
      </w:pPr>
      <w:r>
        <w:t xml:space="preserve">Two measures follow from Eq. (15). The ratio</w:t>
      </w:r>
      <w:r>
        <w:t xml:space="preserve"> </w:t>
      </w:r>
      <m:oMath>
        <m:sSub>
          <m:e>
            <m:r>
              <m:t>C</m:t>
            </m:r>
          </m:e>
          <m:sub>
            <m:r>
              <m:rPr>
                <m:sty m:val="p"/>
              </m:rPr>
              <m:t>∞</m:t>
            </m:r>
          </m:sub>
        </m:sSub>
        <m:r>
          <m:rPr>
            <m:sty m:val="p"/>
          </m:rPr>
          <m:t>/</m:t>
        </m:r>
        <m:sSub>
          <m:e>
            <m:r>
              <m:t>C</m:t>
            </m:r>
          </m:e>
          <m:sub>
            <m:r>
              <m:t>0</m:t>
            </m:r>
          </m:sub>
        </m:sSub>
      </m:oMath>
      <w:r>
        <w:t xml:space="preserve"> </w:t>
      </w:r>
      <w:r>
        <w:t xml:space="preserve">is the full change of the constant that pier fixity can produce at a gauge. The boundary sensitivity</w:t>
      </w:r>
      <w:r>
        <w:t xml:space="preserve"> </w:t>
      </w:r>
      <m:oMath>
        <m:sSub>
          <m:e>
            <m:r>
              <m:t>B</m:t>
            </m:r>
          </m:e>
          <m:sub>
            <m:r>
              <m:t>m</m:t>
            </m:r>
          </m:sub>
        </m:sSub>
        <m:r>
          <m:rPr>
            <m:sty m:val="p"/>
          </m:rPr>
          <m:t>=</m:t>
        </m:r>
        <m:d>
          <m:dPr>
            <m:begChr m:val="|"/>
            <m:endChr m:val="|"/>
            <m:sepChr m:val=""/>
            <m:grow/>
          </m:dPr>
          <m:e>
            <m:r>
              <m:rPr>
                <m:sty m:val="p"/>
              </m:rPr>
              <m:t>∂</m:t>
            </m:r>
            <m:r>
              <m:rPr>
                <m:sty m:val="p"/>
              </m:rPr>
              <m:t>ln</m:t>
            </m:r>
            <m:sSub>
              <m:e>
                <m:r>
                  <m:t>C</m:t>
                </m:r>
              </m:e>
              <m:sub>
                <m:r>
                  <m:t>m</m:t>
                </m:r>
              </m:sub>
            </m:sSub>
            <m:r>
              <m:rPr>
                <m:sty m:val="p"/>
              </m:rPr>
              <m:t>/</m:t>
            </m:r>
            <m:r>
              <m:rPr>
                <m:sty m:val="p"/>
              </m:rPr>
              <m:t>∂</m:t>
            </m:r>
            <m:r>
              <m:rPr>
                <m:sty m:val="p"/>
              </m:rPr>
              <m:t>ln</m:t>
            </m:r>
            <m:r>
              <m:t>κ</m:t>
            </m:r>
          </m:e>
        </m:d>
      </m:oMath>
      <w:r>
        <w:t xml:space="preserve"> </w:t>
      </w:r>
      <w:r>
        <w:t xml:space="preserve">is the local slope of this change.</w:t>
      </w:r>
    </w:p>
    <w:p>
      <w:pPr>
        <w:pStyle w:val="BodyText"/>
      </w:pPr>
      <w:r>
        <w:t xml:space="preserve">For a symmetric prismatic three-span beam with rotational springs</w:t>
      </w:r>
      <w:r>
        <w:t xml:space="preserve"> </w:t>
      </w:r>
      <m:oMath>
        <m:r>
          <m:t>k</m:t>
        </m:r>
      </m:oMath>
      <w:r>
        <w:t xml:space="preserve"> </w:t>
      </w:r>
      <w:r>
        <w:t xml:space="preserve">at the piers, slope-deflection gives, with</w:t>
      </w:r>
      <w:r>
        <w:t xml:space="preserve"> </w:t>
      </w:r>
      <m:oMath>
        <m:acc>
          <m:accPr>
            <m:chr m:val="̂"/>
          </m:accPr>
          <m:e>
            <m:r>
              <m:t>k</m:t>
            </m:r>
          </m:e>
        </m:acc>
      </m:oMath>
      <w:r>
        <w:t xml:space="preserve"> </w:t>
      </w:r>
      <w:r>
        <w:t xml:space="preserve">the pier stiffness relative to the side-span rigidity,</w:t>
      </w:r>
    </w:p>
    <w:tbl>
      <w:tblPr>
        <w:tblStyle w:val="Table"/>
        <w:tblW w:type="pct" w:w="5000"/>
        <w:tblLook w:firstRow="0" w:lastRow="0" w:firstColumn="0" w:lastColumn="0" w:noHBand="0" w:noVBand="0" w:val="0000"/>
        <w:jc w:val="start"/>
        <w:tblBorders>
          <w:top w:val="nil"/>
          <w:left w:val="nil"/>
          <w:bottom w:val="nil"/>
          <w:right w:val="nil"/>
          <w:insideH w:val="nil"/>
          <w:insideV w:val="nil"/>
        </w:tblBorders>
      </w:tblPr>
      <w:tblGrid>
        <w:gridCol w:w="7981"/>
        <w:gridCol w:w="1088"/>
      </w:tblGrid>
      <w:tr>
        <w:tc>
          <w:tcPr>
            <w:tcW w:type="dxa" w:w="7981"/>
            <w:vAlign w:val="center"/>
          </w:tcPr>
          <w:p>
            <w:pPr>
              <w:jc w:val="center"/>
            </w:pPr>
            <m:oMathPara>
              <m:oMathParaPr>
                <m:jc m:val="center"/>
              </m:oMathParaPr>
              <m:oMath>
                <m:r>
                  <m:t>μ</m:t>
                </m:r>
                <m:d>
                  <m:dPr>
                    <m:begChr m:val="("/>
                    <m:endChr m:val=")"/>
                    <m:sepChr m:val=""/>
                    <m:grow/>
                  </m:dPr>
                  <m:e>
                    <m:acc>
                      <m:accPr>
                        <m:chr m:val="̂"/>
                      </m:accPr>
                      <m:e>
                        <m:r>
                          <m:t>k</m:t>
                        </m:r>
                      </m:e>
                    </m:acc>
                  </m:e>
                </m:d>
                <m:r>
                  <m:rPr>
                    <m:sty m:val="p"/>
                  </m:rPr>
                  <m:t>=</m:t>
                </m:r>
                <m:r>
                  <m:t>1</m:t>
                </m:r>
                <m:r>
                  <m:rPr>
                    <m:sty m:val="p"/>
                  </m:rPr>
                  <m:t>+</m:t>
                </m:r>
                <m:f>
                  <m:fPr>
                    <m:type m:val="bar"/>
                  </m:fPr>
                  <m:num>
                    <m:r>
                      <m:t>β</m:t>
                    </m:r>
                    <m:d>
                      <m:dPr>
                        <m:begChr m:val="("/>
                        <m:endChr m:val=")"/>
                        <m:sepChr m:val=""/>
                        <m:grow/>
                      </m:dPr>
                      <m:e>
                        <m:r>
                          <m:t>2</m:t>
                        </m:r>
                        <m:sSup>
                          <m:e>
                            <m:r>
                              <m:t>β</m:t>
                            </m:r>
                          </m:e>
                          <m:sup>
                            <m:r>
                              <m:t>2</m:t>
                            </m:r>
                          </m:sup>
                        </m:sSup>
                        <m:r>
                          <m:rPr>
                            <m:sty m:val="p"/>
                          </m:rPr>
                          <m:t>−</m:t>
                        </m:r>
                        <m:r>
                          <m:t>3</m:t>
                        </m:r>
                      </m:e>
                    </m:d>
                  </m:num>
                  <m:den>
                    <m:r>
                      <m:t>3</m:t>
                    </m:r>
                    <m:r>
                      <m:t>β</m:t>
                    </m:r>
                    <m:r>
                      <m:rPr>
                        <m:sty m:val="p"/>
                      </m:rPr>
                      <m:t>+</m:t>
                    </m:r>
                    <m:r>
                      <m:t>2</m:t>
                    </m:r>
                    <m:r>
                      <m:t>γ</m:t>
                    </m:r>
                    <m:r>
                      <m:rPr>
                        <m:sty m:val="p"/>
                      </m:rPr>
                      <m:t>+</m:t>
                    </m:r>
                    <m:r>
                      <m:t>β</m:t>
                    </m:r>
                    <m:acc>
                      <m:accPr>
                        <m:chr m:val="̂"/>
                      </m:accPr>
                      <m:e>
                        <m:r>
                          <m:t>k</m:t>
                        </m:r>
                      </m:e>
                    </m:acc>
                  </m:den>
                </m:f>
                <m:r>
                  <m:rPr>
                    <m:sty m:val="p"/>
                  </m:rPr>
                  <m:t>,</m:t>
                </m:r>
                <m:r>
                  <m:t>  </m:t>
                </m:r>
                <m:acc>
                  <m:accPr>
                    <m:chr m:val="̂"/>
                  </m:accPr>
                  <m:e>
                    <m:r>
                      <m:t>k</m:t>
                    </m:r>
                  </m:e>
                </m:acc>
                <m:r>
                  <m:rPr>
                    <m:sty m:val="p"/>
                  </m:rPr>
                  <m:t>=</m:t>
                </m:r>
                <m:f>
                  <m:fPr>
                    <m:type m:val="bar"/>
                  </m:fPr>
                  <m:num>
                    <m:r>
                      <m:t>k</m:t>
                    </m:r>
                    <m:sSub>
                      <m:e>
                        <m:r>
                          <m:t>L</m:t>
                        </m:r>
                      </m:e>
                      <m:sub>
                        <m:r>
                          <m:rPr>
                            <m:sty m:val="p"/>
                          </m:rPr>
                          <m:t>s</m:t>
                        </m:r>
                        <m:r>
                          <m:rPr>
                            <m:sty m:val="p"/>
                          </m:rPr>
                          <m:t>i</m:t>
                        </m:r>
                        <m:r>
                          <m:rPr>
                            <m:sty m:val="p"/>
                          </m:rPr>
                          <m:t>d</m:t>
                        </m:r>
                        <m:r>
                          <m:rPr>
                            <m:sty m:val="p"/>
                          </m:rPr>
                          <m:t>e</m:t>
                        </m:r>
                      </m:sub>
                    </m:sSub>
                  </m:num>
                  <m:den>
                    <m:r>
                      <m:t>E</m:t>
                    </m:r>
                    <m:sSub>
                      <m:e>
                        <m:r>
                          <m:t>I</m:t>
                        </m:r>
                      </m:e>
                      <m:sub>
                        <m:r>
                          <m:rPr>
                            <m:sty m:val="p"/>
                          </m:rPr>
                          <m:t>s</m:t>
                        </m:r>
                        <m:r>
                          <m:rPr>
                            <m:sty m:val="p"/>
                          </m:rPr>
                          <m:t>i</m:t>
                        </m:r>
                        <m:r>
                          <m:rPr>
                            <m:sty m:val="p"/>
                          </m:rPr>
                          <m:t>d</m:t>
                        </m:r>
                        <m:r>
                          <m:rPr>
                            <m:sty m:val="p"/>
                          </m:rPr>
                          <m:t>e</m:t>
                        </m:r>
                      </m:sub>
                    </m:sSub>
                  </m:den>
                </m:f>
                <m:r>
                  <m:rPr>
                    <m:sty m:val="p"/>
                  </m:rPr>
                  <m:t>.</m:t>
                </m:r>
              </m:oMath>
            </m:oMathPara>
          </w:p>
        </w:tc>
        <w:tc>
          <w:tcPr>
            <w:tcW w:type="dxa" w:w="1088"/>
            <w:vAlign w:val="center"/>
          </w:tcPr>
          <w:p>
            <w:pPr>
              <w:jc w:val="right"/>
            </w:pPr>
            <w:r>
              <w:t xml:space="preserve">(16)</w:t>
            </w:r>
          </w:p>
        </w:tc>
      </w:tr>
    </w:tbl>
    <w:p>
      <w:pPr>
        <w:pStyle w:val="BodyText"/>
      </w:pPr>
      <w:r>
        <w:t xml:space="preserve">Eq. (16) replaces</w:t>
      </w:r>
      <w:r>
        <w:t xml:space="preserve"> </w:t>
      </w:r>
      <m:oMath>
        <m:sSub>
          <m:e>
            <m:r>
              <m:t>μ</m:t>
            </m:r>
          </m:e>
          <m:sub>
            <m:r>
              <m:rPr>
                <m:sty m:val="p"/>
              </m:rPr>
              <m:t>3</m:t>
            </m:r>
            <m:r>
              <m:rPr>
                <m:sty m:val="p"/>
              </m:rPr>
              <m:t>s</m:t>
            </m:r>
            <m:r>
              <m:rPr>
                <m:sty m:val="p"/>
              </m:rPr>
              <m:t>p</m:t>
            </m:r>
            <m:r>
              <m:rPr>
                <m:sty m:val="p"/>
              </m:rPr>
              <m:t>a</m:t>
            </m:r>
            <m:r>
              <m:rPr>
                <m:sty m:val="p"/>
              </m:rPr>
              <m:t>n</m:t>
            </m:r>
          </m:sub>
        </m:sSub>
      </m:oMath>
      <w:r>
        <w:t xml:space="preserve"> </w:t>
      </w:r>
      <w:r>
        <w:t xml:space="preserve">in Eq. (5) (FE check in Appendix C). For</w:t>
      </w:r>
      <w:r>
        <w:t xml:space="preserve"> </w:t>
      </w:r>
      <m:oMath>
        <m:r>
          <m:t>β</m:t>
        </m:r>
        <m:r>
          <m:rPr>
            <m:sty m:val="p"/>
          </m:rPr>
          <m:t>=</m:t>
        </m:r>
        <m:r>
          <m:t>1.636</m:t>
        </m:r>
      </m:oMath>
      <w:r>
        <w:t xml:space="preserve">, the span ratio of the bridge studied in Section 5, the side-span indicator at</w:t>
      </w:r>
      <w:r>
        <w:t xml:space="preserve"> </w:t>
      </w:r>
      <m:oMath>
        <m:r>
          <m:t>ξ</m:t>
        </m:r>
        <m:r>
          <m:rPr>
            <m:sty m:val="p"/>
          </m:rPr>
          <m:t>=</m:t>
        </m:r>
        <m:r>
          <m:t>0.4</m:t>
        </m:r>
      </m:oMath>
      <w:r>
        <w:t xml:space="preserve"> </w:t>
      </w:r>
      <w:r>
        <w:t xml:space="preserve">rises from 0.287 with pinned piers to 1.037 with fixed piers. The mid main-span indicator moves the other way, from 0.755 to 0.500. Rotational restraint thus moves the side-span gauge away from blindness but makes its constant strongly dependent on</w:t>
      </w:r>
      <w:r>
        <w:t xml:space="preserve"> </w:t>
      </w:r>
      <m:oMath>
        <m:r>
          <m:t>k</m:t>
        </m:r>
      </m:oMath>
      <w:r>
        <w:t xml:space="preserve">.</w:t>
      </w:r>
    </w:p>
    <w:p>
      <w:pPr>
        <w:pStyle w:val="BodyText"/>
      </w:pPr>
      <w:r>
        <w:t xml:space="preserve">From one static analysis, the theory thus gives the constant of every channel, its blind loci, the optimal placement and its sensitivity to the boundary conditions.</w:t>
      </w:r>
    </w:p>
    <w:bookmarkEnd w:id="27"/>
    <w:bookmarkEnd w:id="28"/>
    <w:bookmarkStart w:id="29" w:name="laboratory-verification"/>
    <w:p>
      <w:pPr>
        <w:pStyle w:val="Heading2"/>
      </w:pPr>
      <w:r>
        <w:t xml:space="preserve">3. Laboratory verification</w:t>
      </w:r>
    </w:p>
    <w:p>
      <w:pPr>
        <w:pStyle w:val="FirstParagraph"/>
      </w:pPr>
      <w:r>
        <w:t xml:space="preserve">This section checks the deflection influence line, the record integral and the two single-channel estimators, BPM and SLM, on a two-span beam. The loads were positioned statically, so the test checks the model and the algorithm, not performance under moving traffic.</w:t>
      </w:r>
    </w:p>
    <w:p>
      <w:pPr>
        <w:pStyle w:val="BodyText"/>
      </w:pPr>
      <w:r>
        <w:t xml:space="preserve">The specimen was a steel hollow square tube, 25 mm × 25 mm × 2.03 mm (</w:t>
      </w:r>
      <m:oMath>
        <m:r>
          <m:t>I</m:t>
        </m:r>
        <m:r>
          <m:rPr>
            <m:sty m:val="p"/>
          </m:rPr>
          <m:t>=</m:t>
        </m:r>
        <m:r>
          <m:t>16</m:t>
        </m:r>
        <m:r>
          <m:t> </m:t>
        </m:r>
        <m:r>
          <m:t>530</m:t>
        </m:r>
      </m:oMath>
      <w:r>
        <w:t xml:space="preserve"> </w:t>
      </w:r>
      <w:r>
        <w:t xml:space="preserve">mm⁴,</w:t>
      </w:r>
      <w:r>
        <w:t xml:space="preserve"> </w:t>
      </w:r>
      <m:oMath>
        <m:r>
          <m:t>E</m:t>
        </m:r>
        <m:r>
          <m:rPr>
            <m:sty m:val="p"/>
          </m:rPr>
          <m:t>=</m:t>
        </m:r>
        <m:r>
          <m:t>200</m:t>
        </m:r>
      </m:oMath>
      <w:r>
        <w:t xml:space="preserve"> </w:t>
      </w:r>
      <w:r>
        <w:t xml:space="preserve">GPa), on three supports forming two equal spans of 2500 mm. The theoretical constant at mid-span of the first span is</w:t>
      </w:r>
      <w:r>
        <w:t xml:space="preserve"> </w:t>
      </w:r>
      <m:oMath>
        <m:sSub>
          <m:e>
            <m:r>
              <m:t>C</m:t>
            </m:r>
          </m:e>
          <m:sub>
            <m:r>
              <m:t>m</m:t>
            </m:r>
          </m:sub>
        </m:sSub>
        <m:r>
          <m:rPr>
            <m:sty m:val="p"/>
          </m:rPr>
          <m:t>=</m:t>
        </m:r>
        <m:sSup>
          <m:e>
            <m:r>
              <m:t>l</m:t>
            </m:r>
          </m:e>
          <m:sup>
            <m:r>
              <m:t>4</m:t>
            </m:r>
          </m:sup>
        </m:sSup>
        <m:r>
          <m:rPr>
            <m:sty m:val="p"/>
          </m:rPr>
          <m:t>/</m:t>
        </m:r>
        <m:d>
          <m:dPr>
            <m:begChr m:val="("/>
            <m:endChr m:val=")"/>
            <m:sepChr m:val=""/>
            <m:grow/>
          </m:dPr>
          <m:e>
            <m:r>
              <m:t>192</m:t>
            </m:r>
            <m:r>
              <m:t>E</m:t>
            </m:r>
            <m:r>
              <m:t>I</m:t>
            </m:r>
          </m:e>
        </m:d>
        <m:r>
          <m:rPr>
            <m:sty m:val="p"/>
          </m:rPr>
          <m:t>=</m:t>
        </m:r>
        <m:r>
          <m:t>61.54</m:t>
        </m:r>
      </m:oMath>
      <w:r>
        <w:t xml:space="preserve"> </w:t>
      </w:r>
      <w:r>
        <w:t xml:space="preserve">mm²/N, where</w:t>
      </w:r>
      <w:r>
        <w:t xml:space="preserve"> </w:t>
      </w:r>
      <m:oMath>
        <m:r>
          <m:t>l</m:t>
        </m:r>
      </m:oMath>
      <w:r>
        <w:t xml:space="preserve"> </w:t>
      </w:r>
      <w:r>
        <w:t xml:space="preserve">is the span length. Deflection at that point was measured with a linear variable differential transformer of 0.005 mm resolution, while calibrated weights were suspended at 250 mm steps along the beam.</w:t>
      </w:r>
    </w:p>
    <w:p>
      <w:pPr>
        <w:pStyle w:val="BodyText"/>
      </w:pPr>
      <w:r>
        <w:t xml:space="preserve">Three configurations were tested: a single 40.64 N reference load, two loads 250 mm apart, and three loads. For the three-load group, the order of the loads along the beam was not recorded. The order used here is the one that fits the record best, with a root-mean-square residual of 0.030 mm against 0.55 mm for the reverse order. Because the data fixed this order, the three-load result is not a fully independent test. The specimen, the influence line and the data are in the Supplementary Material.</w:t>
      </w:r>
    </w:p>
    <w:p>
      <w:pPr>
        <w:pStyle w:val="BodyText"/>
      </w:pPr>
      <w:r>
        <w:t xml:space="preserve">The analytical influence line matched the single-load record within 0.0126 mm, 0.44 % of the peak. On the 250 mm grid the trapezoidal rule underestimates the exact single-load integral by 0.500 %. It is used throughout, because Simpson’s rule loses its advantage when the kinks of trailing loads fall inside its panels.</w:t>
      </w:r>
    </w:p>
    <w:p>
      <w:pPr>
        <w:pStyle w:val="BodyText"/>
      </w:pPr>
      <w:r>
        <w:rPr>
          <w:bCs/>
          <w:b/>
        </w:rPr>
        <w:t xml:space="preserve">Table 2.</w:t>
      </w:r>
      <w:r>
        <w:t xml:space="preserve"> </w:t>
      </w:r>
      <w:r>
        <w:t xml:space="preserve">Identified total loads against direct weighing (trapezoidal rule). BPM:</w:t>
      </w:r>
      <w:r>
        <w:t xml:space="preserve"> </w:t>
      </w:r>
      <m:oMath>
        <m:r>
          <m:t>P</m:t>
        </m:r>
        <m:r>
          <m:rPr>
            <m:sty m:val="p"/>
          </m:rPr>
          <m:t>=</m:t>
        </m:r>
        <m:r>
          <m:t>J</m:t>
        </m:r>
        <m:r>
          <m:rPr>
            <m:sty m:val="p"/>
          </m:rPr>
          <m:t>/</m:t>
        </m:r>
        <m:sSub>
          <m:e>
            <m:r>
              <m:t>C</m:t>
            </m:r>
          </m:e>
          <m:sub>
            <m:r>
              <m:t>m</m:t>
            </m:r>
          </m:sub>
        </m:sSub>
      </m:oMath>
      <w:r>
        <w:t xml:space="preserve"> </w:t>
      </w:r>
      <w:r>
        <w:t xml:space="preserve">with the analytical constant; SLM:</w:t>
      </w:r>
      <w:r>
        <w:t xml:space="preserve"> </w:t>
      </w:r>
      <m:oMath>
        <m:sSub>
          <m:e>
            <m:r>
              <m:t>P</m:t>
            </m:r>
          </m:e>
          <m:sub>
            <m:r>
              <m:t>t</m:t>
            </m:r>
          </m:sub>
        </m:sSub>
        <m:r>
          <m:rPr>
            <m:sty m:val="p"/>
          </m:rPr>
          <m:t>=</m:t>
        </m:r>
        <m:sSub>
          <m:e>
            <m:r>
              <m:t>P</m:t>
            </m:r>
          </m:e>
          <m:sub>
            <m:r>
              <m:t>0</m:t>
            </m:r>
          </m:sub>
        </m:sSub>
        <m:sSub>
          <m:e>
            <m:r>
              <m:t>J</m:t>
            </m:r>
          </m:e>
          <m:sub>
            <m:r>
              <m:t>t</m:t>
            </m:r>
          </m:sub>
        </m:sSub>
        <m:r>
          <m:rPr>
            <m:sty m:val="p"/>
          </m:rPr>
          <m:t>/</m:t>
        </m:r>
        <m:sSub>
          <m:e>
            <m:r>
              <m:t>J</m:t>
            </m:r>
          </m:e>
          <m:sub>
            <m:r>
              <m:t>0</m:t>
            </m:r>
          </m:sub>
        </m:sSub>
      </m:oMath>
      <w:r>
        <w:t xml:space="preserve"> </w:t>
      </w:r>
      <w:r>
        <w:t xml:space="preserve">with the single-load record as reference.</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2229"/>
        <w:gridCol w:w="1306"/>
        <w:gridCol w:w="1152"/>
        <w:gridCol w:w="1614"/>
        <w:gridCol w:w="1152"/>
        <w:gridCol w:w="1614"/>
      </w:tblGrid>
      <w:tr>
        <w:trPr>
          <w:tblHeader w:val="true"/>
        </w:trPr>
        <w:tc>
          <w:tcPr>
            <w:tcW w:type="dxa" w:w="2229"/>
            <w:tcBorders>
              <w:top w:val="nil"/>
              <w:left w:val="nil"/>
              <w:bottom w:val="single" w:sz="6" w:space="0" w:color="000000"/>
              <w:right w:val="nil"/>
            </w:tcBorders>
          </w:tcPr>
          <w:p>
            <w:pPr>
              <w:pStyle w:val="Compact"/>
              <w:jc w:val="left"/>
            </w:pPr>
            <w:r>
              <w:t xml:space="preserve">Configuration</w:t>
            </w:r>
          </w:p>
        </w:tc>
        <w:tc>
          <w:tcPr>
            <w:tcW w:type="dxa" w:w="1306"/>
            <w:tcBorders>
              <w:top w:val="nil"/>
              <w:left w:val="nil"/>
              <w:bottom w:val="single" w:sz="6" w:space="0" w:color="000000"/>
              <w:right w:val="nil"/>
            </w:tcBorders>
          </w:tcPr>
          <w:p>
            <w:pPr>
              <w:pStyle w:val="Compact"/>
              <w:jc w:val="left"/>
            </w:pPr>
            <w:r>
              <w:t xml:space="preserve">Weighed (N)</w:t>
            </w:r>
          </w:p>
        </w:tc>
        <w:tc>
          <w:tcPr>
            <w:tcW w:type="dxa" w:w="1152"/>
            <w:tcBorders>
              <w:top w:val="nil"/>
              <w:left w:val="nil"/>
              <w:bottom w:val="single" w:sz="6" w:space="0" w:color="000000"/>
              <w:right w:val="nil"/>
            </w:tcBorders>
          </w:tcPr>
          <w:p>
            <w:pPr>
              <w:pStyle w:val="Compact"/>
              <w:jc w:val="left"/>
            </w:pPr>
            <w:r>
              <w:t xml:space="preserve">BPM (N)</w:t>
            </w:r>
          </w:p>
        </w:tc>
        <w:tc>
          <w:tcPr>
            <w:tcW w:type="dxa" w:w="1614"/>
            <w:tcBorders>
              <w:top w:val="nil"/>
              <w:left w:val="nil"/>
              <w:bottom w:val="single" w:sz="6" w:space="0" w:color="000000"/>
              <w:right w:val="nil"/>
            </w:tcBorders>
          </w:tcPr>
          <w:p>
            <w:pPr>
              <w:pStyle w:val="Compact"/>
              <w:jc w:val="left"/>
            </w:pPr>
            <w:r>
              <w:t xml:space="preserve">BPM deviation</w:t>
            </w:r>
          </w:p>
        </w:tc>
        <w:tc>
          <w:tcPr>
            <w:tcW w:type="dxa" w:w="1152"/>
            <w:tcBorders>
              <w:top w:val="nil"/>
              <w:left w:val="nil"/>
              <w:bottom w:val="single" w:sz="6" w:space="0" w:color="000000"/>
              <w:right w:val="nil"/>
            </w:tcBorders>
          </w:tcPr>
          <w:p>
            <w:pPr>
              <w:pStyle w:val="Compact"/>
              <w:jc w:val="left"/>
            </w:pPr>
            <w:r>
              <w:t xml:space="preserve">SLM (N)</w:t>
            </w:r>
          </w:p>
        </w:tc>
        <w:tc>
          <w:tcPr>
            <w:tcW w:type="dxa" w:w="1614"/>
            <w:tcBorders>
              <w:top w:val="nil"/>
              <w:left w:val="nil"/>
              <w:bottom w:val="single" w:sz="6" w:space="0" w:color="000000"/>
              <w:right w:val="nil"/>
            </w:tcBorders>
          </w:tcPr>
          <w:p>
            <w:pPr>
              <w:pStyle w:val="Compact"/>
              <w:jc w:val="left"/>
            </w:pPr>
            <w:r>
              <w:t xml:space="preserve">SLM deviation</w:t>
            </w:r>
          </w:p>
        </w:tc>
      </w:tr>
      <w:tr>
        <w:tc>
          <w:tcPr>
            <w:tcW w:type="dxa" w:w="2229"/>
          </w:tcPr>
          <w:p>
            <w:pPr>
              <w:pStyle w:val="Compact"/>
              <w:jc w:val="left"/>
            </w:pPr>
            <w:r>
              <w:t xml:space="preserve">Two loads</w:t>
            </w:r>
          </w:p>
        </w:tc>
        <w:tc>
          <w:tcPr>
            <w:tcW w:type="dxa" w:w="1306"/>
          </w:tcPr>
          <w:p>
            <w:pPr>
              <w:pStyle w:val="Compact"/>
              <w:jc w:val="left"/>
            </w:pPr>
            <w:r>
              <w:t xml:space="preserve">66.99</w:t>
            </w:r>
          </w:p>
        </w:tc>
        <w:tc>
          <w:tcPr>
            <w:tcW w:type="dxa" w:w="1152"/>
          </w:tcPr>
          <w:p>
            <w:pPr>
              <w:pStyle w:val="Compact"/>
              <w:jc w:val="left"/>
            </w:pPr>
            <w:r>
              <w:t xml:space="preserve">67.73</w:t>
            </w:r>
          </w:p>
        </w:tc>
        <w:tc>
          <w:tcPr>
            <w:tcW w:type="dxa" w:w="1614"/>
          </w:tcPr>
          <w:p>
            <w:pPr>
              <w:pStyle w:val="Compact"/>
              <w:jc w:val="left"/>
            </w:pPr>
            <w:r>
              <w:t xml:space="preserve">+1.10 %</w:t>
            </w:r>
          </w:p>
        </w:tc>
        <w:tc>
          <w:tcPr>
            <w:tcW w:type="dxa" w:w="1152"/>
          </w:tcPr>
          <w:p>
            <w:pPr>
              <w:pStyle w:val="Compact"/>
              <w:jc w:val="left"/>
            </w:pPr>
            <w:r>
              <w:t xml:space="preserve">67.40</w:t>
            </w:r>
          </w:p>
        </w:tc>
        <w:tc>
          <w:tcPr>
            <w:tcW w:type="dxa" w:w="1614"/>
          </w:tcPr>
          <w:p>
            <w:pPr>
              <w:pStyle w:val="Compact"/>
              <w:jc w:val="left"/>
            </w:pPr>
            <w:r>
              <w:t xml:space="preserve">+0.61 %</w:t>
            </w:r>
          </w:p>
        </w:tc>
      </w:tr>
      <w:tr>
        <w:tc>
          <w:tcPr>
            <w:tcW w:type="dxa" w:w="2229"/>
          </w:tcPr>
          <w:p>
            <w:pPr>
              <w:pStyle w:val="Compact"/>
              <w:jc w:val="left"/>
            </w:pPr>
            <w:r>
              <w:t xml:space="preserve">Three loads</w:t>
            </w:r>
          </w:p>
        </w:tc>
        <w:tc>
          <w:tcPr>
            <w:tcW w:type="dxa" w:w="1306"/>
          </w:tcPr>
          <w:p>
            <w:pPr>
              <w:pStyle w:val="Compact"/>
              <w:jc w:val="left"/>
            </w:pPr>
            <w:r>
              <w:t xml:space="preserve">125.08</w:t>
            </w:r>
          </w:p>
        </w:tc>
        <w:tc>
          <w:tcPr>
            <w:tcW w:type="dxa" w:w="1152"/>
          </w:tcPr>
          <w:p>
            <w:pPr>
              <w:pStyle w:val="Compact"/>
              <w:jc w:val="left"/>
            </w:pPr>
            <w:r>
              <w:t xml:space="preserve">126.57</w:t>
            </w:r>
          </w:p>
        </w:tc>
        <w:tc>
          <w:tcPr>
            <w:tcW w:type="dxa" w:w="1614"/>
          </w:tcPr>
          <w:p>
            <w:pPr>
              <w:pStyle w:val="Compact"/>
              <w:jc w:val="left"/>
            </w:pPr>
            <w:r>
              <w:t xml:space="preserve">+1.19 %</w:t>
            </w:r>
          </w:p>
        </w:tc>
        <w:tc>
          <w:tcPr>
            <w:tcW w:type="dxa" w:w="1152"/>
          </w:tcPr>
          <w:p>
            <w:pPr>
              <w:pStyle w:val="Compact"/>
              <w:jc w:val="left"/>
            </w:pPr>
            <w:r>
              <w:t xml:space="preserve">125.95</w:t>
            </w:r>
          </w:p>
        </w:tc>
        <w:tc>
          <w:tcPr>
            <w:tcW w:type="dxa" w:w="1614"/>
          </w:tcPr>
          <w:p>
            <w:pPr>
              <w:pStyle w:val="Compact"/>
              <w:jc w:val="left"/>
            </w:pPr>
            <w:r>
              <w:t xml:space="preserve">+0.70 %</w:t>
            </w:r>
          </w:p>
        </w:tc>
      </w:tr>
    </w:tbl>
    <w:p>
      <w:pPr>
        <w:pStyle w:val="BodyText"/>
      </w:pPr>
      <w:r>
        <w:t xml:space="preserve">Two ratios explain the deviations in Table 2. First, the measured reference integral is 1.0049 times its exact analytical value, and the ratio of the BPM to the SLM estimate equals this factor in both configurations. SLM absorbs the calibration error of the reference record, whereas BPM does not.</w:t>
      </w:r>
    </w:p>
    <w:p>
      <w:pPr>
        <w:pStyle w:val="BodyText"/>
      </w:pPr>
      <w:r>
        <w:t xml:space="preserve">Second, the ratio of the measured to the analytical integral, both from the trapezoidal rule, grows with the number of loads: 1.010, 1.016 and 1.017 for one, two and three loads. The SLM deviations of 0.61 % and 0.70 % match the growth of this ratio relative to its one-load value of 1.010. The data cannot tell whether support seating or errors in the stated masses cause it.</w:t>
      </w:r>
    </w:p>
    <w:p>
      <w:pPr>
        <w:pStyle w:val="BodyText"/>
      </w:pPr>
      <w:r>
        <w:t xml:space="preserve">Because the configurations differ in both total load and spacing, the test supports the invariance of Eq. (2) only indirectly. The predicted blind configuration (spans of 2500 mm and 3644 mm) was not tested.</w:t>
      </w:r>
    </w:p>
    <w:bookmarkEnd w:id="29"/>
    <w:bookmarkStart w:id="34" w:name="Xdadd06c016725474a00d3ead6ba4e194881151b"/>
    <w:p>
      <w:pPr>
        <w:pStyle w:val="Heading2"/>
      </w:pPr>
      <w:r>
        <w:t xml:space="preserve">4. Assessment on public moving-truck records</w:t>
      </w:r>
    </w:p>
    <w:p>
      <w:pPr>
        <w:pStyle w:val="FirstParagraph"/>
      </w:pPr>
      <w:r>
        <w:t xml:space="preserve">This section asks what integral estimators deliver on real moving-load records from a continuous girder. It reports the main results with 95 % confidence intervals (CIs) and compares single- and multi-channel estimators out of sample. The per-channel tables, the equivalence tests, the noise correlations and the full estimator table are in Supplementary Tables S1–S5, and the speed regressions in Supplementary Fig. S2.</w:t>
      </w:r>
    </w:p>
    <w:bookmarkStart w:id="30" w:name="data-and-reference-weights"/>
    <w:p>
      <w:pPr>
        <w:pStyle w:val="Heading3"/>
      </w:pPr>
      <w:r>
        <w:t xml:space="preserve">4.1. Data and reference weights</w:t>
      </w:r>
    </w:p>
    <w:p>
      <w:pPr>
        <w:pStyle w:val="FirstParagraph"/>
      </w:pPr>
      <w:r>
        <w:t xml:space="preserve">The Nothing-on-Road BWIM (NOR-BWIM) dataset [49] (CC0 licence) contains strain records of the Virginia Smart Road Bridge, documented in [41–43,50]. The bridge is a post-tensioned concrete box girder continuous over five spans of 86.5 + 3 × 144 + 86.5 m = 605 m. Strain transducers on the soffit of the top slab lie near mid-span of span 2, 158.5 m from the first abutment, in longitudinal stations about 2 m apart under the wheel path.</w:t>
      </w:r>
    </w:p>
    <w:p>
      <w:pPr>
        <w:pStyle w:val="BodyText"/>
      </w:pPr>
      <w:r>
        <w:t xml:space="preserve">Day 1 has 12 channels, labelled with the prefix</w:t>
      </w:r>
      <w:r>
        <w:t xml:space="preserve"> </w:t>
      </w:r>
      <w:r>
        <w:t xml:space="preserve">“</w:t>
      </w:r>
      <w:r>
        <w:t xml:space="preserve">ch</w:t>
      </w:r>
      <w:r>
        <w:t xml:space="preserve">”</w:t>
      </w:r>
      <w:r>
        <w:t xml:space="preserve">. They fall into three groups: four wheel-path gauges with clear axle spikes (ch4, ch5, ch11, ch12), a partner gauge at each of these four stations, and four further gauges without axle spikes (ch1, ch2, ch8, ch9). Day 2 has four channels in one longitudinal line under the wheel path, labelled with the prefix</w:t>
      </w:r>
      <w:r>
        <w:t xml:space="preserve"> </w:t>
      </w:r>
      <w:r>
        <w:t xml:space="preserve">“</w:t>
      </w:r>
      <w:r>
        <w:t xml:space="preserve">st</w:t>
      </w:r>
      <w:r>
        <w:t xml:space="preserve">”</w:t>
      </w:r>
      <w:r>
        <w:t xml:space="preserve"> </w:t>
      </w:r>
      <w:r>
        <w:t xml:space="preserve">(for example st36 and st40).</w:t>
      </w:r>
    </w:p>
    <w:p>
      <w:pPr>
        <w:pStyle w:val="BodyText"/>
      </w:pPr>
      <w:r>
        <w:t xml:space="preserve">The reference weights differ in quality between the days. On day 1, two 3-axle trucks ran in the instrumented lane, and their gross weights were reported by the drivers [50]. On day 2, a 3-axle truck of 26.8 t and a 5-axle truck of 25.9 t were weighed on a static scale [50]. They ran in the instrumented lane (lane A), on the return trip in the other lane (lane B), and in two runs with the two trucks one behind the other.</w:t>
      </w:r>
    </w:p>
    <w:p>
      <w:pPr>
        <w:pStyle w:val="BodyText"/>
      </w:pPr>
      <w:r>
        <w:t xml:space="preserve">Errors below are given as a percentage of the gross vehicle weight (GVW). Because the weights vary by only a few per cent within each day, a predictor that always returns the mean calibration weight already has a mean absolute error (MAE) of 2.0 % on day 2 and 2.2 % on day 1. The field data therefore test the scatter and invariance of the integral constant, not the ability to discriminate weights.</w:t>
      </w:r>
    </w:p>
    <w:p>
      <w:pPr>
        <w:pStyle w:val="BodyText"/>
      </w:pPr>
      <w:r>
        <w:t xml:space="preserve">Each record was re-zeroed with a linear baseline fitted to vehicle-free segments before and after the crossing, integrated over the whole time the truck was on the bridge, and converted to</w:t>
      </w:r>
      <w:r>
        <w:t xml:space="preserve"> </w:t>
      </w:r>
      <m:oMath>
        <m:r>
          <m:rPr>
            <m:sty m:val="p"/>
          </m:rPr>
          <m:t>∫</m:t>
        </m:r>
        <m:r>
          <m:t>ε</m:t>
        </m:r>
        <m:r>
          <m:t> </m:t>
        </m:r>
        <m:r>
          <m:rPr>
            <m:sty m:val="p"/>
          </m:rPr>
          <m:t>d</m:t>
        </m:r>
        <m:r>
          <m:t>x</m:t>
        </m:r>
      </m:oMath>
      <w:r>
        <w:t xml:space="preserve"> </w:t>
      </w:r>
      <w:r>
        <w:t xml:space="preserve">with the speed measured from the axle spikes. The noise of the integral was measured from vehicle-free windows of crossing length. Processing details and the excluded runs are in the Supplementary Material; Fig. 5 shows three crossings.</w:t>
      </w:r>
    </w:p>
    <w:bookmarkEnd w:id="30"/>
    <w:bookmarkStart w:id="31" w:name="invariance-lanes-and-gauges"/>
    <w:p>
      <w:pPr>
        <w:pStyle w:val="Heading3"/>
      </w:pPr>
      <w:r>
        <w:t xml:space="preserve">4.2. Invariance, lanes and gauges</w:t>
      </w:r>
    </w:p>
    <w:p>
      <w:pPr>
        <w:pStyle w:val="FirstParagraph"/>
      </w:pPr>
      <w:r>
        <w:t xml:space="preserve">The constant is stable within the noise for most gauges, but invariance between trucks can be shown only within margins of 10–27 %. On day 1, the χ² test does not reject consistency with the measured noise for eight of the twelve gauges, but only one gauge, ch11, shows that both trucks give the same constant within ±10 % (Fig. 6a).</w:t>
      </w:r>
    </w:p>
    <w:p>
      <w:pPr>
        <w:pStyle w:val="BodyText"/>
      </w:pPr>
      <w:r>
        <w:t xml:space="preserve">The four gauges without axle spikes fail the invariance test: their constant is 22–26 % lower for the second truck, and the 95 % CIs of the ratio exclude 1. On day 1, however, speed and truck are almost perfectly confounded (correlation 0.98), so the difference may reflect a different wheel path, local deck action or speed.</w:t>
      </w:r>
    </w:p>
    <w:p>
      <w:pPr>
        <w:pStyle w:val="BodyText"/>
      </w:pPr>
      <w:r>
        <w:t xml:space="preserve">On day 2, the ratio of the gauge-average constants of the 5-axle and the 3-axle truck is 0.98 (95 % CI 0.70–1.37; Fig. 6b). The result is consistent with Eq. (2), but with eight runs it cannot exclude differences of up to about 27 %. It is therefore a coarse check of linearity and processing, not a sharp test of the identity. No speed effect was resolved, but the confidence interval of the slope is too wide to call the constant speed-independent (Supplementary Fig. S2).</w:t>
      </w:r>
    </w:p>
    <w:p>
      <w:pPr>
        <w:pStyle w:val="BodyText"/>
      </w:pPr>
      <w:r>
        <w:t xml:space="preserve">Each lane needs its own constant. For the gauge average, return trips in lane B gave constants 0.79 times those of lane A (95 % CI 0.59–1.00), as also found on another continuous girder [40]. The lane effect is clearly resolved for one gauge only (st36: 0.64, 95 % CI 0.47–0.81). For the gauge average, the two runs with the trucks one behind the other gave 0.92 of the summed single-truck predictions (pooled 95 % CI 0.77–1.06), consistent with superposition although both fall below the prediction.</w:t>
      </w:r>
    </w:p>
    <w:p>
      <w:pPr>
        <w:pStyle w:val="BodyText"/>
      </w:pPr>
      <w:r>
        <w:t xml:space="preserve">Each deck gauge also needs its own constant. On day 1 the constant of ch11 is 3.9 times that of ch8, although the two gauges are within 6 m of each other and a one-dimensional beam model predicts nearly equal constants. The ratio of the st36 and st40 constants also changes with the lane, by about 2.5 standard errors, so gauge-factor spread is an unlikely cause of the gauge-to-gauge differences; the deck-soffit gauges respond to slab bending and shear lag as well as to girder bending. The constant must therefore come from a weighed reference vehicle or a three-dimensional model, and a beam-model BPM would fail.</w:t>
      </w:r>
    </w:p>
    <w:p>
      <w:pPr>
        <w:pStyle w:val="BodyText"/>
      </w:pPr>
      <w:r>
        <w:t xml:space="preserve">A beam model of the girder nevertheless reproduces the global shape of the strain histories (</w:t>
      </w:r>
      <m:oMath>
        <m:sSup>
          <m:e>
            <m:r>
              <m:t>r</m:t>
            </m:r>
          </m:e>
          <m:sup>
            <m:r>
              <m:t>2</m:t>
            </m:r>
          </m:sup>
        </m:sSup>
      </m:oMath>
      <w:r>
        <w:t xml:space="preserve"> </w:t>
      </w:r>
      <w:r>
        <w:t xml:space="preserve">= 0.79–0.94) and explains two features. The gauges are not blind: the zeros of the uniform-load moment diagram in span 2 lie about 35 m from them. The whole 605 m crossing must be integrated, because span 2 contributes about 170 % of the net integral and the adjacent spans −26 % and −66 %.</w:t>
      </w:r>
    </w:p>
    <w:bookmarkEnd w:id="31"/>
    <w:bookmarkStart w:id="32" w:name="Xc45e6b1ff604f78f59be1da14e8ddb20272b12c"/>
    <w:p>
      <w:pPr>
        <w:pStyle w:val="Heading3"/>
      </w:pPr>
      <w:r>
        <w:t xml:space="preserve">4.3. Single- and multi-channel estimators out of sample</w:t>
      </w:r>
    </w:p>
    <w:p>
      <w:pPr>
        <w:pStyle w:val="FirstParagraph"/>
      </w:pPr>
      <w:r>
        <w:t xml:space="preserve">Combining gauges did not help on these records. Four kinds of estimator were compared by leave-one-run-out cross-validation: single gauges, the gauge average, GLS (Eq. (13)) and the zero-sum estimator (Eq. (14)). In each fold the constants were calibrated without the test run, and</w:t>
      </w:r>
      <w:r>
        <w:t xml:space="preserve"> </w:t>
      </w:r>
      <m:oMath>
        <m:r>
          <m:t>Σ</m:t>
        </m:r>
      </m:oMath>
      <w:r>
        <w:t xml:space="preserve"> </w:t>
      </w:r>
      <w:r>
        <w:t xml:space="preserve">was estimated from vehicle-free windows only (Table 3, Fig. 7).</w:t>
      </w:r>
    </w:p>
    <w:p>
      <w:pPr>
        <w:pStyle w:val="BodyText"/>
      </w:pPr>
      <w:r>
        <w:rPr>
          <w:bCs/>
          <w:b/>
        </w:rPr>
        <w:t xml:space="preserve">Table 3.</w:t>
      </w:r>
      <w:r>
        <w:t xml:space="preserve"> </w:t>
      </w:r>
      <w:r>
        <w:t xml:space="preserve">Mean absolute error of the gross weight (% of GVW), leave-one-run-out, with 95 % bootstrap CIs over the test runs (n = 8 on day 2, n = 7 on day 1). Leave-one-truck-out results and the four wheel-path gauges of day 1: Supplementary Table S5.</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3796"/>
        <w:gridCol w:w="2636"/>
        <w:gridCol w:w="2636"/>
      </w:tblGrid>
      <w:tr>
        <w:trPr>
          <w:tblHeader w:val="true"/>
        </w:trPr>
        <w:tc>
          <w:tcPr>
            <w:tcW w:type="dxa" w:w="3796"/>
            <w:tcBorders>
              <w:top w:val="nil"/>
              <w:left w:val="nil"/>
              <w:bottom w:val="single" w:sz="6" w:space="0" w:color="000000"/>
              <w:right w:val="nil"/>
            </w:tcBorders>
          </w:tcPr>
          <w:p>
            <w:pPr>
              <w:pStyle w:val="Compact"/>
              <w:jc w:val="left"/>
            </w:pPr>
            <w:r>
              <w:t xml:space="preserve">Estimator</w:t>
            </w:r>
          </w:p>
        </w:tc>
        <w:tc>
          <w:tcPr>
            <w:tcW w:type="dxa" w:w="2636"/>
            <w:tcBorders>
              <w:top w:val="nil"/>
              <w:left w:val="nil"/>
              <w:bottom w:val="single" w:sz="6" w:space="0" w:color="000000"/>
              <w:right w:val="nil"/>
            </w:tcBorders>
          </w:tcPr>
          <w:p>
            <w:pPr>
              <w:pStyle w:val="Compact"/>
              <w:jc w:val="left"/>
            </w:pPr>
            <w:r>
              <w:t xml:space="preserve">Day 2, 4 gauges</w:t>
            </w:r>
          </w:p>
        </w:tc>
        <w:tc>
          <w:tcPr>
            <w:tcW w:type="dxa" w:w="2636"/>
            <w:tcBorders>
              <w:top w:val="nil"/>
              <w:left w:val="nil"/>
              <w:bottom w:val="single" w:sz="6" w:space="0" w:color="000000"/>
              <w:right w:val="nil"/>
            </w:tcBorders>
          </w:tcPr>
          <w:p>
            <w:pPr>
              <w:pStyle w:val="Compact"/>
              <w:jc w:val="left"/>
            </w:pPr>
            <w:r>
              <w:t xml:space="preserve">Day 1, 12 gauges</w:t>
            </w:r>
          </w:p>
        </w:tc>
      </w:tr>
      <w:tr>
        <w:tc>
          <w:tcPr>
            <w:tcW w:type="dxa" w:w="3796"/>
          </w:tcPr>
          <w:p>
            <w:pPr>
              <w:pStyle w:val="Compact"/>
              <w:jc w:val="left"/>
            </w:pPr>
            <w:r>
              <w:t xml:space="preserve">Best single gauge (chosen after the fact)</w:t>
            </w:r>
          </w:p>
        </w:tc>
        <w:tc>
          <w:tcPr>
            <w:tcW w:type="dxa" w:w="2636"/>
          </w:tcPr>
          <w:p>
            <w:pPr>
              <w:pStyle w:val="Compact"/>
              <w:jc w:val="left"/>
            </w:pPr>
            <w:r>
              <w:t xml:space="preserve">8.4 (2.9–15.3)</w:t>
            </w:r>
          </w:p>
        </w:tc>
        <w:tc>
          <w:tcPr>
            <w:tcW w:type="dxa" w:w="2636"/>
          </w:tcPr>
          <w:p>
            <w:pPr>
              <w:pStyle w:val="Compact"/>
              <w:jc w:val="left"/>
            </w:pPr>
            <w:r>
              <w:t xml:space="preserve">4.8 (1.8–7.9)</w:t>
            </w:r>
          </w:p>
        </w:tc>
      </w:tr>
      <w:tr>
        <w:tc>
          <w:tcPr>
            <w:tcW w:type="dxa" w:w="3796"/>
          </w:tcPr>
          <w:p>
            <w:pPr>
              <w:pStyle w:val="Compact"/>
              <w:jc w:val="left"/>
            </w:pPr>
            <w:r>
              <w:t xml:space="preserve">Worst single gauge</w:t>
            </w:r>
          </w:p>
        </w:tc>
        <w:tc>
          <w:tcPr>
            <w:tcW w:type="dxa" w:w="2636"/>
          </w:tcPr>
          <w:p>
            <w:pPr>
              <w:pStyle w:val="Compact"/>
              <w:jc w:val="left"/>
            </w:pPr>
            <w:r>
              <w:t xml:space="preserve">27.9 (12.9–44.5)</w:t>
            </w:r>
          </w:p>
        </w:tc>
        <w:tc>
          <w:tcPr>
            <w:tcW w:type="dxa" w:w="2636"/>
          </w:tcPr>
          <w:p>
            <w:pPr>
              <w:pStyle w:val="Compact"/>
              <w:jc w:val="left"/>
            </w:pPr>
            <w:r>
              <w:t xml:space="preserve">17.6 (11.0–23.4)</w:t>
            </w:r>
          </w:p>
        </w:tc>
      </w:tr>
      <w:tr>
        <w:tc>
          <w:tcPr>
            <w:tcW w:type="dxa" w:w="3796"/>
          </w:tcPr>
          <w:p>
            <w:pPr>
              <w:pStyle w:val="Compact"/>
              <w:jc w:val="left"/>
            </w:pPr>
            <w:r>
              <w:t xml:space="preserve">Gauge average</w:t>
            </w:r>
          </w:p>
        </w:tc>
        <w:tc>
          <w:tcPr>
            <w:tcW w:type="dxa" w:w="2636"/>
          </w:tcPr>
          <w:p>
            <w:pPr>
              <w:pStyle w:val="Compact"/>
              <w:jc w:val="left"/>
            </w:pPr>
            <w:r>
              <w:t xml:space="preserve">11.9 (6.0–18.6)</w:t>
            </w:r>
          </w:p>
        </w:tc>
        <w:tc>
          <w:tcPr>
            <w:tcW w:type="dxa" w:w="2636"/>
          </w:tcPr>
          <w:p>
            <w:pPr>
              <w:pStyle w:val="Compact"/>
              <w:jc w:val="left"/>
            </w:pPr>
            <w:r>
              <w:t xml:space="preserve">5.3 (2.5–7.8)</w:t>
            </w:r>
          </w:p>
        </w:tc>
      </w:tr>
      <w:tr>
        <w:tc>
          <w:tcPr>
            <w:tcW w:type="dxa" w:w="3796"/>
          </w:tcPr>
          <w:p>
            <w:pPr>
              <w:pStyle w:val="Compact"/>
              <w:jc w:val="left"/>
            </w:pPr>
            <w:r>
              <w:t xml:space="preserve">GLS, diagonal</w:t>
            </w:r>
            <w:r>
              <w:t xml:space="preserve"> </w:t>
            </w:r>
            <m:oMath>
              <m:r>
                <m:t>Σ</m:t>
              </m:r>
            </m:oMath>
          </w:p>
        </w:tc>
        <w:tc>
          <w:tcPr>
            <w:tcW w:type="dxa" w:w="2636"/>
          </w:tcPr>
          <w:p>
            <w:pPr>
              <w:pStyle w:val="Compact"/>
              <w:jc w:val="left"/>
            </w:pPr>
            <w:r>
              <w:t xml:space="preserve">11.4 (6.0–18.0)</w:t>
            </w:r>
          </w:p>
        </w:tc>
        <w:tc>
          <w:tcPr>
            <w:tcW w:type="dxa" w:w="2636"/>
          </w:tcPr>
          <w:p>
            <w:pPr>
              <w:pStyle w:val="Compact"/>
              <w:jc w:val="left"/>
            </w:pPr>
            <w:r>
              <w:t xml:space="preserve">5.3 (2.5–8.0)</w:t>
            </w:r>
          </w:p>
        </w:tc>
      </w:tr>
      <w:tr>
        <w:tc>
          <w:tcPr>
            <w:tcW w:type="dxa" w:w="3796"/>
          </w:tcPr>
          <w:p>
            <w:pPr>
              <w:pStyle w:val="Compact"/>
              <w:jc w:val="left"/>
            </w:pPr>
            <w:r>
              <w:t xml:space="preserve">GLS, measured</w:t>
            </w:r>
            <w:r>
              <w:t xml:space="preserve"> </w:t>
            </w:r>
            <m:oMath>
              <m:r>
                <m:t>Σ</m:t>
              </m:r>
            </m:oMath>
          </w:p>
        </w:tc>
        <w:tc>
          <w:tcPr>
            <w:tcW w:type="dxa" w:w="2636"/>
          </w:tcPr>
          <w:p>
            <w:pPr>
              <w:pStyle w:val="Compact"/>
              <w:jc w:val="left"/>
            </w:pPr>
            <w:r>
              <w:t xml:space="preserve">20.4 (12.3–28.8)</w:t>
            </w:r>
          </w:p>
        </w:tc>
        <w:tc>
          <w:tcPr>
            <w:tcW w:type="dxa" w:w="2636"/>
          </w:tcPr>
          <w:p>
            <w:pPr>
              <w:pStyle w:val="Compact"/>
              <w:jc w:val="left"/>
            </w:pPr>
            <w:r>
              <w:t xml:space="preserve">5.8 (3.5–8.1)</w:t>
            </w:r>
          </w:p>
        </w:tc>
      </w:tr>
      <w:tr>
        <w:tc>
          <w:tcPr>
            <w:tcW w:type="dxa" w:w="3796"/>
          </w:tcPr>
          <w:p>
            <w:pPr>
              <w:pStyle w:val="Compact"/>
              <w:jc w:val="left"/>
            </w:pPr>
            <w:r>
              <w:t xml:space="preserve">Zero-sum, measured</w:t>
            </w:r>
            <w:r>
              <w:t xml:space="preserve"> </w:t>
            </w:r>
            <m:oMath>
              <m:r>
                <m:t>Σ</m:t>
              </m:r>
            </m:oMath>
          </w:p>
        </w:tc>
        <w:tc>
          <w:tcPr>
            <w:tcW w:type="dxa" w:w="2636"/>
          </w:tcPr>
          <w:p>
            <w:pPr>
              <w:pStyle w:val="Compact"/>
              <w:jc w:val="left"/>
            </w:pPr>
            <w:r>
              <w:t xml:space="preserve">20.3 (12.4–28.6)</w:t>
            </w:r>
          </w:p>
        </w:tc>
        <w:tc>
          <w:tcPr>
            <w:tcW w:type="dxa" w:w="2636"/>
          </w:tcPr>
          <w:p>
            <w:pPr>
              <w:pStyle w:val="Compact"/>
              <w:jc w:val="left"/>
            </w:pPr>
            <w:r>
              <w:t xml:space="preserve">6.0 (2.9–9.3)</w:t>
            </w:r>
          </w:p>
        </w:tc>
      </w:tr>
      <w:tr>
        <w:tc>
          <w:tcPr>
            <w:tcW w:type="dxa" w:w="3796"/>
          </w:tcPr>
          <w:p>
            <w:pPr>
              <w:pStyle w:val="Compact"/>
              <w:jc w:val="left"/>
            </w:pPr>
            <w:r>
              <w:t xml:space="preserve">Zero-sum,</w:t>
            </w:r>
            <w:r>
              <w:t xml:space="preserve"> </w:t>
            </w:r>
            <m:oMath>
              <m:r>
                <m:t>Σ</m:t>
              </m:r>
            </m:oMath>
            <w:r>
              <w:t xml:space="preserve"> </w:t>
            </w:r>
            <w:r>
              <w:t xml:space="preserve">= identity matrix</w:t>
            </w:r>
          </w:p>
        </w:tc>
        <w:tc>
          <w:tcPr>
            <w:tcW w:type="dxa" w:w="2636"/>
          </w:tcPr>
          <w:p>
            <w:pPr>
              <w:pStyle w:val="Compact"/>
              <w:jc w:val="left"/>
            </w:pPr>
            <w:r>
              <w:t xml:space="preserve">12.3 (6.1–20.2)</w:t>
            </w:r>
          </w:p>
        </w:tc>
        <w:tc>
          <w:tcPr>
            <w:tcW w:type="dxa" w:w="2636"/>
          </w:tcPr>
          <w:p>
            <w:pPr>
              <w:pStyle w:val="Compact"/>
              <w:jc w:val="left"/>
            </w:pPr>
            <w:r>
              <w:t xml:space="preserve">13.0 (7.1–19.0)</w:t>
            </w:r>
          </w:p>
        </w:tc>
      </w:tr>
      <w:tr>
        <w:tc>
          <w:tcPr>
            <w:tcW w:type="dxa" w:w="3796"/>
          </w:tcPr>
          <w:p>
            <w:pPr>
              <w:pStyle w:val="Compact"/>
              <w:jc w:val="left"/>
            </w:pPr>
            <w:r>
              <w:t xml:space="preserve">Mean weight of the calibration runs</w:t>
            </w:r>
          </w:p>
        </w:tc>
        <w:tc>
          <w:tcPr>
            <w:tcW w:type="dxa" w:w="2636"/>
          </w:tcPr>
          <w:p>
            <w:pPr>
              <w:pStyle w:val="Compact"/>
              <w:jc w:val="left"/>
            </w:pPr>
            <w:r>
              <w:t xml:space="preserve">2.0 (1.9–2.0)</w:t>
            </w:r>
          </w:p>
        </w:tc>
        <w:tc>
          <w:tcPr>
            <w:tcW w:type="dxa" w:w="2636"/>
          </w:tcPr>
          <w:p>
            <w:pPr>
              <w:pStyle w:val="Compact"/>
              <w:jc w:val="left"/>
            </w:pPr>
            <w:r>
              <w:t xml:space="preserve">2.2 (1.1–3.5)</w:t>
            </w:r>
          </w:p>
        </w:tc>
      </w:tr>
    </w:tbl>
    <w:p>
      <w:pPr>
        <w:pStyle w:val="BodyText"/>
      </w:pPr>
      <w:r>
        <w:t xml:space="preserve">On day 2, GLS with the measured covariance was worse than the gauge average: 20.4 % against 11.9 % MAE. The paired difference is +8.5 percentage points (95 % CI +2.3 to +15.1), so GLS and the zero-sum estimator are both significantly worse than the average. On day 1 the estimators cannot be told apart, and on both days every estimator is worse than the mean-weight predictor.</w:t>
      </w:r>
    </w:p>
    <w:p>
      <w:pPr>
        <w:pStyle w:val="BodyText"/>
      </w:pPr>
      <w:r>
        <w:t xml:space="preserve">The failure on day 2 is itself a finding. The vehicle-free noise of the four channels is strongly common-mode, but the crossing residuals are much less correlated between gauges: 0.63 against 0.90 for vehicle-free noise at the same window length. The vehicle-free covariance therefore predicted GLS to beat the average, whereas the covariance of the crossing residuals predicts the observed reverse order (Supplementary Table S4).</w:t>
      </w:r>
    </w:p>
    <w:p>
      <w:pPr>
        <w:pStyle w:val="BodyText"/>
      </w:pPr>
      <w:r>
        <w:t xml:space="preserve">Each crossing thus carries a gauge-specific component, plausibly from the wheel path and local slab action, and GLS amplifies it by giving st40 and st36 large weights of opposite sign. Estimating</w:t>
      </w:r>
      <w:r>
        <w:t xml:space="preserve"> </w:t>
      </w:r>
      <m:oMath>
        <m:r>
          <m:t>Σ</m:t>
        </m:r>
      </m:oMath>
      <w:r>
        <w:t xml:space="preserve"> </w:t>
      </w:r>
      <w:r>
        <w:t xml:space="preserve">from the crossing residuals instead over-fits with only eight runs (Supplementary Material). As anticipated in Section 2.4, the zero-sum estimator helps only when the disturbance is common-mode during the crossings themselves.</w:t>
      </w:r>
    </w:p>
    <w:bookmarkEnd w:id="32"/>
    <w:bookmarkStart w:id="33" w:name="what-the-field-records-show"/>
    <w:p>
      <w:pPr>
        <w:pStyle w:val="Heading3"/>
      </w:pPr>
      <w:r>
        <w:t xml:space="preserve">4.4. What the field records show</w:t>
      </w:r>
    </w:p>
    <w:p>
      <w:pPr>
        <w:pStyle w:val="FirstParagraph"/>
      </w:pPr>
      <w:r>
        <w:t xml:space="preserve">The records support linearity, superposition and per-gauge invariance within the 10–27 % that the noise allows, and they show that each lane, and each deck gauge, needs its own constant. They cannot show weight discrimination, because the reference weights hardly vary. They show no benefit from GLS or zero-sum combinations, because the common-mode assumption behind Eq. (14) holds for vehicle-free noise but not for crossing residuals.</w:t>
      </w:r>
    </w:p>
    <w:p>
      <w:pPr>
        <w:pStyle w:val="BodyText"/>
      </w:pPr>
      <w:r>
        <w:t xml:space="preserve">The tests rest on four trucks, two axle counts and seven or eight runs per day. The gauge calibration factors and exact positions are not published, so absolute constants cannot be checked. The GVW accuracy that the dataset authors reported for their influence-line system on this bridge [41–43] was not compared [NEED VALUE: GVW accuracy reported in [41–43] for the same runs, if the authors wish to add it].</w:t>
      </w:r>
    </w:p>
    <w:bookmarkEnd w:id="33"/>
    <w:bookmarkEnd w:id="34"/>
    <w:bookmarkStart w:id="38" w:name="X80959e8cf6f992baeb70ddee111b40ab53e3716"/>
    <w:p>
      <w:pPr>
        <w:pStyle w:val="Heading2"/>
      </w:pPr>
      <w:r>
        <w:t xml:space="preserve">5. In-service box girder: identifiability and channel design</w:t>
      </w:r>
    </w:p>
    <w:p>
      <w:pPr>
        <w:pStyle w:val="FirstParagraph"/>
      </w:pPr>
      <w:r>
        <w:t xml:space="preserve">This section applies the criteria to an in-service three-span box girder with static acceptance-test data. It asks how far the data determine the observability of each installed gauge, which channel and position would be robust, and which measurement would decide between the models that fit the data.</w:t>
      </w:r>
    </w:p>
    <w:bookmarkStart w:id="35" w:name="bridge-data-and-model"/>
    <w:p>
      <w:pPr>
        <w:pStyle w:val="Heading3"/>
      </w:pPr>
      <w:r>
        <w:t xml:space="preserve">5.1. Bridge, data and model</w:t>
      </w:r>
    </w:p>
    <w:p>
      <w:pPr>
        <w:pStyle w:val="FirstParagraph"/>
      </w:pPr>
      <w:r>
        <w:t xml:space="preserve">The Cầu Mây Bridge carries provincial road ĐT389 over the Kinh Môn River in Hải Dương, Viet Nam. Its main bridge is a three-span continuous prestressed concrete box girder of 55 + 90 + 55 m, built by balanced cantilever (</w:t>
      </w:r>
      <m:oMath>
        <m:r>
          <m:t>β</m:t>
        </m:r>
        <m:r>
          <m:rPr>
            <m:sty m:val="p"/>
          </m:rPr>
          <m:t>=</m:t>
        </m:r>
        <m:r>
          <m:t>1.636</m:t>
        </m:r>
      </m:oMath>
      <w:r>
        <w:t xml:space="preserve">). The depth varies from 2.40 m at mid-span to 5.40 m at the piers; the design section properties are in the Supplementary Material. The inner piers, including pier T7, are monolithic with the girder, and the end supports T5 and T8 carry pot bearings.</w:t>
      </w:r>
    </w:p>
    <w:p>
      <w:pPr>
        <w:pStyle w:val="BodyText"/>
      </w:pPr>
      <w:r>
        <w:t xml:space="preserve">Two deflection gauge sections were read: N8 in the side span between pier T7 and end support T8, at 0.4L (22 m) from T8, and N7 at mid main span. In the June 2020 acceptance test, four trucks stood in the side span (gauge N8) and six in the main span (gauge N7). The trucks were 3-axle, nominally 5 + 10 + 10 t, with a weighed mean of 25.06 t. Dial gauges read the peak deflection under centric and eccentric transverse positions [NEED VALUE: instrument type and fixed reference datum of the dial gauges, temperature correction, load-hold time and zero-reading procedure]. Each gauge section has six readings (three measuring points across the section, on the axis and at both edges, under centric and eccentric truck arrangements); their mean is 5.55 mm at N8 and 15.42 mm at N7.</w:t>
      </w:r>
    </w:p>
    <w:p>
      <w:pPr>
        <w:pStyle w:val="BodyText"/>
      </w:pPr>
      <w:r>
        <w:t xml:space="preserve">The girder was modelled with Euler–Bernoulli elements, a parabolic depth variation over</w:t>
      </w:r>
      <w:r>
        <w:t xml:space="preserve"> </w:t>
      </w:r>
      <m:oMath>
        <m:sSub>
          <m:e>
            <m:r>
              <m:t>L</m:t>
            </m:r>
          </m:e>
          <m:sub>
            <m:r>
              <m:t>v</m:t>
            </m:r>
          </m:sub>
        </m:sSub>
        <m:r>
          <m:rPr>
            <m:sty m:val="p"/>
          </m:rPr>
          <m:t>=</m:t>
        </m:r>
        <m:r>
          <m:t>44</m:t>
        </m:r>
      </m:oMath>
      <w:r>
        <w:t xml:space="preserve"> </w:t>
      </w:r>
      <w:r>
        <w:t xml:space="preserve">m from each inner pier, a second moment proportional to</w:t>
      </w:r>
      <w:r>
        <w:t xml:space="preserve"> </w:t>
      </w:r>
      <m:oMath>
        <m:sSup>
          <m:e>
            <m:r>
              <m:t>h</m:t>
            </m:r>
          </m:e>
          <m:sup>
            <m:r>
              <m:t>2.943</m:t>
            </m:r>
          </m:sup>
        </m:sSup>
      </m:oMath>
      <w:r>
        <w:t xml:space="preserve"> </w:t>
      </w:r>
      <w:r>
        <w:t xml:space="preserve">fitted to the two design sections, and a rotational spring</w:t>
      </w:r>
      <w:r>
        <w:t xml:space="preserve"> </w:t>
      </w:r>
      <m:oMath>
        <m:r>
          <m:t>k</m:t>
        </m:r>
      </m:oMath>
      <w:r>
        <w:t xml:space="preserve"> </w:t>
      </w:r>
      <w:r>
        <w:t xml:space="preserve">at each inner pier. The depth law and the pier dimensions are not documented, so other depth lengths and exponents and a rigid pier zone were tested as model-form variants (Supplementary Material).</w:t>
      </w:r>
    </w:p>
    <w:p>
      <w:pPr>
        <w:pStyle w:val="BodyText"/>
      </w:pPr>
      <w:r>
        <w:t xml:space="preserve">Two reference calibrations are used. Calibration A is the design model, with</w:t>
      </w:r>
      <w:r>
        <w:t xml:space="preserve"> </w:t>
      </w:r>
      <m:oMath>
        <m:r>
          <m:t>α</m:t>
        </m:r>
        <m:r>
          <m:rPr>
            <m:sty m:val="p"/>
          </m:rPr>
          <m:t>=</m:t>
        </m:r>
        <m:r>
          <m:t>1</m:t>
        </m:r>
      </m:oMath>
      <w:r>
        <w:t xml:space="preserve"> </w:t>
      </w:r>
      <w:r>
        <w:t xml:space="preserve">and</w:t>
      </w:r>
      <w:r>
        <w:t xml:space="preserve"> </w:t>
      </w:r>
      <m:oMath>
        <m:r>
          <m:t>k</m:t>
        </m:r>
        <m:r>
          <m:rPr>
            <m:sty m:val="p"/>
          </m:rPr>
          <m:t>=</m:t>
        </m:r>
        <m:r>
          <m:t>2.75</m:t>
        </m:r>
        <m:r>
          <m:rPr>
            <m:sty m:val="p"/>
          </m:rPr>
          <m:t>×</m:t>
        </m:r>
        <m:sSup>
          <m:e>
            <m:r>
              <m:t>10</m:t>
            </m:r>
          </m:e>
          <m:sup>
            <m:r>
              <m:t>7</m:t>
            </m:r>
          </m:sup>
        </m:sSup>
      </m:oMath>
      <w:r>
        <w:t xml:space="preserve"> </w:t>
      </w:r>
      <w:r>
        <w:t xml:space="preserve">kN m/rad fitted to the designer’s FE output; it misfits the measurements by +2.4 % at N8 and +12.3 % at N7. Calibration B is the joint least-squares fit to the two readings, with</w:t>
      </w:r>
      <w:r>
        <w:t xml:space="preserve"> </w:t>
      </w:r>
      <m:oMath>
        <m:r>
          <m:t>α</m:t>
        </m:r>
        <m:r>
          <m:rPr>
            <m:sty m:val="p"/>
          </m:rPr>
          <m:t>=</m:t>
        </m:r>
        <m:r>
          <m:t>0.716</m:t>
        </m:r>
      </m:oMath>
      <w:r>
        <w:t xml:space="preserve"> </w:t>
      </w:r>
      <w:r>
        <w:t xml:space="preserve">and</w:t>
      </w:r>
      <w:r>
        <w:t xml:space="preserve"> </w:t>
      </w:r>
      <m:oMath>
        <m:r>
          <m:t>k</m:t>
        </m:r>
        <m:r>
          <m:rPr>
            <m:sty m:val="p"/>
          </m:rPr>
          <m:t>=</m:t>
        </m:r>
        <m:r>
          <m:t>1.2</m:t>
        </m:r>
        <m:r>
          <m:rPr>
            <m:sty m:val="p"/>
          </m:rPr>
          <m:t>×</m:t>
        </m:r>
        <m:sSup>
          <m:e>
            <m:r>
              <m:t>10</m:t>
            </m:r>
          </m:e>
          <m:sup>
            <m:r>
              <m:t>8</m:t>
            </m:r>
          </m:sup>
        </m:sSup>
      </m:oMath>
      <w:r>
        <w:t xml:space="preserve"> </w:t>
      </w:r>
      <w:r>
        <w:t xml:space="preserve">kN m/rad; its misfits are −2.8 % and +2.9 %. In terms of the scaled pier stiffness, calibration A lies at</w:t>
      </w:r>
      <w:r>
        <w:t xml:space="preserve"> </w:t>
      </w:r>
      <m:oMath>
        <m:r>
          <m:t>κ</m:t>
        </m:r>
        <m:r>
          <m:rPr>
            <m:sty m:val="p"/>
          </m:rPr>
          <m:t>=</m:t>
        </m:r>
        <m:r>
          <m:t>2.75</m:t>
        </m:r>
        <m:r>
          <m:rPr>
            <m:sty m:val="p"/>
          </m:rPr>
          <m:t>×</m:t>
        </m:r>
        <m:sSup>
          <m:e>
            <m:r>
              <m:t>10</m:t>
            </m:r>
          </m:e>
          <m:sup>
            <m:r>
              <m:t>7</m:t>
            </m:r>
          </m:sup>
        </m:sSup>
      </m:oMath>
      <w:r>
        <w:t xml:space="preserve"> </w:t>
      </w:r>
      <w:r>
        <w:t xml:space="preserve">kN m/rad and calibration B at</w:t>
      </w:r>
      <w:r>
        <w:t xml:space="preserve"> </w:t>
      </w:r>
      <m:oMath>
        <m:r>
          <m:t>κ</m:t>
        </m:r>
        <m:r>
          <m:rPr>
            <m:sty m:val="p"/>
          </m:rPr>
          <m:t>=</m:t>
        </m:r>
        <m:r>
          <m:t>1.68</m:t>
        </m:r>
        <m:r>
          <m:rPr>
            <m:sty m:val="p"/>
          </m:rPr>
          <m:t>×</m:t>
        </m:r>
        <m:sSup>
          <m:e>
            <m:r>
              <m:t>10</m:t>
            </m:r>
          </m:e>
          <m:sup>
            <m:r>
              <m:t>8</m:t>
            </m:r>
          </m:sup>
        </m:sSup>
      </m:oMath>
      <w:r>
        <w:t xml:space="preserve"> </w:t>
      </w:r>
      <w:r>
        <w:t xml:space="preserve">kN m/rad. Fig. 8 shows the indicators along the girder for the prismatic model and both calibrations.</w:t>
      </w:r>
    </w:p>
    <w:bookmarkEnd w:id="35"/>
    <w:bookmarkStart w:id="36" w:name="what-the-static-data-identify"/>
    <w:p>
      <w:pPr>
        <w:pStyle w:val="Heading3"/>
      </w:pPr>
      <w:r>
        <w:t xml:space="preserve">5.2. What the static data identify</w:t>
      </w:r>
    </w:p>
    <w:p>
      <w:pPr>
        <w:pStyle w:val="FirstParagraph"/>
      </w:pPr>
      <w:r>
        <w:t xml:space="preserve">The static data leave the constant of the side-span gauge N8 uncertain by a factor of 6.6, whereas the constant of the main-span gauge N7 is well determined. Two facts explain this: a model-form misfit that no pier stiffness removes, and the Möbius law of Eq. (15).</w:t>
      </w:r>
    </w:p>
    <w:p>
      <w:pPr>
        <w:pStyle w:val="BodyText"/>
      </w:pPr>
      <w:r>
        <w:t xml:space="preserve">No pier stiffness lets the beam model fit both static readings exactly. The test quantity is</w:t>
      </w:r>
      <w:r>
        <w:t xml:space="preserve"> </w:t>
      </w:r>
      <m:oMath>
        <m:sSub>
          <m:e>
            <m:r>
              <m:t>r</m:t>
            </m:r>
          </m:e>
          <m:sub>
            <m:r>
              <m:t>87</m:t>
            </m:r>
          </m:sub>
        </m:sSub>
      </m:oMath>
      <w:r>
        <w:t xml:space="preserve">, the measured-to-model ratio at N8 divided by that at N7;</w:t>
      </w:r>
      <w:r>
        <w:t xml:space="preserve"> </w:t>
      </w:r>
      <m:oMath>
        <m:sSub>
          <m:e>
            <m:r>
              <m:t>r</m:t>
            </m:r>
          </m:e>
          <m:sub>
            <m:r>
              <m:t>87</m:t>
            </m:r>
          </m:sub>
        </m:sSub>
        <m:r>
          <m:rPr>
            <m:sty m:val="p"/>
          </m:rPr>
          <m:t>=</m:t>
        </m:r>
        <m:r>
          <m:t>1</m:t>
        </m:r>
      </m:oMath>
      <w:r>
        <w:t xml:space="preserve"> </w:t>
      </w:r>
      <w:r>
        <w:t xml:space="preserve">would mean that one model fits both gauges. It never reaches 1 (Fig. 9a). Its minimum, 1.058, lies at calibration B.</w:t>
      </w:r>
    </w:p>
    <w:p>
      <w:pPr>
        <w:pStyle w:val="BodyText"/>
      </w:pPr>
      <w:r>
        <w:t xml:space="preserve">The model-form variants move this minimum between 1.039 and 1.092 but never to 1, so the 4–9 % residual is model-form error. Calibration B is therefore the nearest fit, not an exact one, and its</w:t>
      </w:r>
      <w:r>
        <w:t xml:space="preserve"> </w:t>
      </w:r>
      <m:oMath>
        <m:r>
          <m:t>α</m:t>
        </m:r>
        <m:r>
          <m:rPr>
            <m:sty m:val="p"/>
          </m:rPr>
          <m:t>=</m:t>
        </m:r>
        <m:r>
          <m:t>0.716</m:t>
        </m:r>
      </m:oMath>
      <w:r>
        <w:t xml:space="preserve"> </w:t>
      </w:r>
      <w:r>
        <w:t xml:space="preserve">would mean a 28 % loss of rigidity in a recently built prestressed girder.</w:t>
      </w:r>
    </w:p>
    <w:p>
      <w:pPr>
        <w:pStyle w:val="BodyText"/>
      </w:pPr>
      <w:r>
        <w:t xml:space="preserve">The admissible set contains every model whose misfit at each gauge stays within a tolerance</w:t>
      </w:r>
      <w:r>
        <w:t xml:space="preserve"> </w:t>
      </w:r>
      <m:oMath>
        <m:r>
          <m:t>τ</m:t>
        </m:r>
      </m:oMath>
      <w:r>
        <w:t xml:space="preserve">. The six readings of each gauge section have a standard deviation of 1.9–2.0 % about their mean. This scatter comes from the transverse positions and is not a measure of repeatability, because the readings are not replicates. Combined in quadrature with a model-form standard uncertainty of 1.75 %, it gives a standard uncertainty of 2.64 % per reading, and</w:t>
      </w:r>
      <w:r>
        <w:t xml:space="preserve"> </w:t>
      </w:r>
      <m:oMath>
        <m:r>
          <m:t>τ</m:t>
        </m:r>
        <m:r>
          <m:rPr>
            <m:sty m:val="p"/>
          </m:rPr>
          <m:t>=</m:t>
        </m:r>
        <m:r>
          <m:t>5.3</m:t>
        </m:r>
      </m:oMath>
      <w:r>
        <w:t xml:space="preserve"> </w:t>
      </w:r>
      <w:r>
        <w:t xml:space="preserve">% at two standard deviations.</w:t>
      </w:r>
    </w:p>
    <w:p>
      <w:pPr>
        <w:pStyle w:val="BodyText"/>
      </w:pPr>
      <w:r>
        <w:t xml:space="preserve">At this tolerance the static data bound</w:t>
      </w:r>
      <w:r>
        <w:t xml:space="preserve"> </w:t>
      </w:r>
      <m:oMath>
        <m:r>
          <m:t>κ</m:t>
        </m:r>
      </m:oMath>
      <w:r>
        <w:t xml:space="preserve"> </w:t>
      </w:r>
      <w:r>
        <w:t xml:space="preserve">only from below: every</w:t>
      </w:r>
      <w:r>
        <w:t xml:space="preserve"> </w:t>
      </w:r>
      <m:oMath>
        <m:r>
          <m:t>κ</m:t>
        </m:r>
        <m:r>
          <m:rPr>
            <m:sty m:val="p"/>
          </m:rPr>
          <m:t>≥</m:t>
        </m:r>
        <m:r>
          <m:t>1.8</m:t>
        </m:r>
        <m:r>
          <m:rPr>
            <m:sty m:val="p"/>
          </m:rPr>
          <m:t>×</m:t>
        </m:r>
        <m:sSup>
          <m:e>
            <m:r>
              <m:t>10</m:t>
            </m:r>
          </m:e>
          <m:sup>
            <m:r>
              <m:t>7</m:t>
            </m:r>
          </m:sup>
        </m:sSup>
      </m:oMath>
      <w:r>
        <w:t xml:space="preserve"> </w:t>
      </w:r>
      <w:r>
        <w:t xml:space="preserve">kN m/rad is admissible, with</w:t>
      </w:r>
      <w:r>
        <w:t xml:space="preserve"> </w:t>
      </w:r>
      <m:oMath>
        <m:r>
          <m:t>α</m:t>
        </m:r>
      </m:oMath>
      <w:r>
        <w:t xml:space="preserve"> </w:t>
      </w:r>
      <w:r>
        <w:t xml:space="preserve">between 0.51 and 1.15. The conclusion depends on the tolerance. At</w:t>
      </w:r>
      <w:r>
        <w:t xml:space="preserve"> </w:t>
      </w:r>
      <m:oMath>
        <m:r>
          <m:t>τ</m:t>
        </m:r>
        <m:r>
          <m:rPr>
            <m:sty m:val="p"/>
          </m:rPr>
          <m:t>=</m:t>
        </m:r>
        <m:r>
          <m:t>3</m:t>
        </m:r>
      </m:oMath>
      <w:r>
        <w:t xml:space="preserve"> </w:t>
      </w:r>
      <w:r>
        <w:t xml:space="preserve">% the admissible set shrinks and excludes the design rigidity,</w:t>
      </w:r>
      <w:r>
        <w:t xml:space="preserve"> </w:t>
      </w:r>
      <m:oMath>
        <m:r>
          <m:t>α</m:t>
        </m:r>
        <m:r>
          <m:rPr>
            <m:sty m:val="p"/>
          </m:rPr>
          <m:t>=</m:t>
        </m:r>
        <m:r>
          <m:t>1</m:t>
        </m:r>
      </m:oMath>
      <w:r>
        <w:t xml:space="preserve"> </w:t>
      </w:r>
      <w:r>
        <w:t xml:space="preserve">(Supplementary Material).</w:t>
      </w:r>
    </w:p>
    <w:p>
      <w:pPr>
        <w:pStyle w:val="BodyText"/>
      </w:pPr>
      <w:r>
        <w:t xml:space="preserve">Over the admissible set, the absolute constant</w:t>
      </w:r>
      <w:r>
        <w:t xml:space="preserve"> </w:t>
      </w:r>
      <m:oMath>
        <m:sSub>
          <m:e>
            <m:r>
              <m:t>C</m:t>
            </m:r>
          </m:e>
          <m:sub>
            <m:r>
              <m:t>8</m:t>
            </m:r>
          </m:sub>
        </m:sSub>
      </m:oMath>
      <w:r>
        <w:t xml:space="preserve"> </w:t>
      </w:r>
      <w:r>
        <w:t xml:space="preserve">ranges from 3.0 × 10⁻⁵ to 2.0 × 10⁻⁴ m²/kN, whereas</w:t>
      </w:r>
      <w:r>
        <w:t xml:space="preserve"> </w:t>
      </w:r>
      <m:oMath>
        <m:sSub>
          <m:e>
            <m:r>
              <m:t>C</m:t>
            </m:r>
          </m:e>
          <m:sub>
            <m:r>
              <m:t>7</m:t>
            </m:r>
          </m:sub>
        </m:sSub>
      </m:oMath>
      <w:r>
        <w:t xml:space="preserve"> </w:t>
      </w:r>
      <w:r>
        <w:t xml:space="preserve">stays within 3.3–5.0 × 10⁻⁴ m²/kN. The deflection indicators show the same contrast: with the design rigidity as reference, N8 spans 0.124–0.822 and N7 only 0.190–0.286 (Table 4).</w:t>
      </w:r>
    </w:p>
    <w:p>
      <w:pPr>
        <w:pStyle w:val="BodyText"/>
      </w:pPr>
      <w:r>
        <w:rPr>
          <w:bCs/>
          <w:b/>
        </w:rPr>
        <w:t xml:space="preserve">Table 4.</w:t>
      </w:r>
      <w:r>
        <w:t xml:space="preserve"> </w:t>
      </w:r>
      <w:r>
        <w:t xml:space="preserve">Deflection indicator</w:t>
      </w:r>
      <w:r>
        <w:t xml:space="preserve"> </w:t>
      </w:r>
      <m:oMath>
        <m:sSub>
          <m:e>
            <m:r>
              <m:t>N</m:t>
            </m:r>
          </m:e>
          <m:sub>
            <m:r>
              <m:t>w</m:t>
            </m:r>
          </m:sub>
        </m:sSub>
      </m:oMath>
      <w:r>
        <w:t xml:space="preserve"> </w:t>
      </w:r>
      <w:r>
        <w:t xml:space="preserve">of the Cầu Mây gauges, Eq. (10), with</w:t>
      </w:r>
      <w:r>
        <w:t xml:space="preserve"> </w:t>
      </w:r>
      <m:oMath>
        <m:r>
          <m:t>E</m:t>
        </m:r>
        <m:sSub>
          <m:e>
            <m:r>
              <m:t>I</m:t>
            </m:r>
          </m:e>
          <m:sub>
            <m:r>
              <m:rPr>
                <m:sty m:val="p"/>
              </m:rPr>
              <m:t>r</m:t>
            </m:r>
            <m:r>
              <m:rPr>
                <m:sty m:val="p"/>
              </m:rPr>
              <m:t>e</m:t>
            </m:r>
            <m:r>
              <m:rPr>
                <m:sty m:val="p"/>
              </m:rPr>
              <m:t>f</m:t>
            </m:r>
          </m:sub>
        </m:sSub>
      </m:oMath>
      <w:r>
        <w:t xml:space="preserve"> </w:t>
      </w:r>
      <w:r>
        <w:t xml:space="preserve">= design</w:t>
      </w:r>
      <w:r>
        <w:t xml:space="preserve"> </w:t>
      </w:r>
      <m:oMath>
        <m:r>
          <m:t>E</m:t>
        </m:r>
        <m:sSub>
          <m:e>
            <m:r>
              <m:t>I</m:t>
            </m:r>
          </m:e>
          <m:sub>
            <m:r>
              <m:rPr>
                <m:sty m:val="p"/>
              </m:rPr>
              <m:t>m</m:t>
            </m:r>
            <m:r>
              <m:rPr>
                <m:sty m:val="p"/>
              </m:rPr>
              <m:t>i</m:t>
            </m:r>
            <m:r>
              <m:rPr>
                <m:sty m:val="p"/>
              </m:rPr>
              <m:t>d</m:t>
            </m:r>
          </m:sub>
        </m:sSub>
      </m:oMath>
      <w:r>
        <w:t xml:space="preserve"> </w:t>
      </w:r>
      <w:r>
        <w:t xml:space="preserve">and</w:t>
      </w:r>
      <w:r>
        <w:t xml:space="preserve"> </w:t>
      </w:r>
      <m:oMath>
        <m:r>
          <m:t>L</m:t>
        </m:r>
      </m:oMath>
      <w:r>
        <w:t xml:space="preserve"> </w:t>
      </w:r>
      <w:r>
        <w:t xml:space="preserve">the span containing the gauge. Calibration A and the pinned-pier and fixed-pier rows have</w:t>
      </w:r>
      <w:r>
        <w:t xml:space="preserve"> </w:t>
      </w:r>
      <m:oMath>
        <m:r>
          <m:t>α</m:t>
        </m:r>
        <m:r>
          <m:rPr>
            <m:sty m:val="p"/>
          </m:rPr>
          <m:t>=</m:t>
        </m:r>
        <m:r>
          <m:t>1</m:t>
        </m:r>
      </m:oMath>
      <w:r>
        <w:t xml:space="preserve">, calibration B has</w:t>
      </w:r>
      <w:r>
        <w:t xml:space="preserve"> </w:t>
      </w:r>
      <m:oMath>
        <m:r>
          <m:t>α</m:t>
        </m:r>
        <m:r>
          <m:rPr>
            <m:sty m:val="p"/>
          </m:rPr>
          <m:t>=</m:t>
        </m:r>
        <m:r>
          <m:t>0.716</m:t>
        </m:r>
      </m:oMath>
      <w:r>
        <w:t xml:space="preserve">, and the admissible set spans</w:t>
      </w:r>
      <w:r>
        <w:t xml:space="preserve"> </w:t>
      </w:r>
      <m:oMath>
        <m:r>
          <m:t>α</m:t>
        </m:r>
      </m:oMath>
      <w:r>
        <w:t xml:space="preserve"> </w:t>
      </w:r>
      <w:r>
        <w:t xml:space="preserve">= 0.51–1.15; the pinned-pier and fixed-pier rows give the extreme values over all model-form variants. –: not computed.</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2707"/>
        <w:gridCol w:w="2030"/>
        <w:gridCol w:w="1714"/>
        <w:gridCol w:w="2617"/>
      </w:tblGrid>
      <w:tr>
        <w:trPr>
          <w:tblHeader w:val="true"/>
        </w:trPr>
        <w:tc>
          <w:tcPr>
            <w:tcW w:type="dxa" w:w="2707"/>
            <w:tcBorders>
              <w:top w:val="nil"/>
              <w:left w:val="nil"/>
              <w:bottom w:val="single" w:sz="6" w:space="0" w:color="000000"/>
              <w:right w:val="nil"/>
            </w:tcBorders>
          </w:tcPr>
          <w:p>
            <w:pPr>
              <w:pStyle w:val="Compact"/>
              <w:jc w:val="left"/>
            </w:pPr>
            <w:r>
              <w:t xml:space="preserve">Model</w:t>
            </w:r>
          </w:p>
        </w:tc>
        <w:tc>
          <w:tcPr>
            <w:tcW w:type="dxa" w:w="2030"/>
            <w:tcBorders>
              <w:top w:val="nil"/>
              <w:left w:val="nil"/>
              <w:bottom w:val="single" w:sz="6" w:space="0" w:color="000000"/>
              <w:right w:val="nil"/>
            </w:tcBorders>
          </w:tcPr>
          <w:p>
            <w:pPr>
              <w:pStyle w:val="Compact"/>
              <w:jc w:val="left"/>
            </w:pPr>
            <w:r>
              <w:t xml:space="preserve">N8, 0.4L (installed)</w:t>
            </w:r>
          </w:p>
        </w:tc>
        <w:tc>
          <w:tcPr>
            <w:tcW w:type="dxa" w:w="1714"/>
            <w:tcBorders>
              <w:top w:val="nil"/>
              <w:left w:val="nil"/>
              <w:bottom w:val="single" w:sz="6" w:space="0" w:color="000000"/>
              <w:right w:val="nil"/>
            </w:tcBorders>
          </w:tcPr>
          <w:p>
            <w:pPr>
              <w:pStyle w:val="Compact"/>
              <w:jc w:val="left"/>
            </w:pPr>
            <w:r>
              <w:t xml:space="preserve">N8 at mid side span</w:t>
            </w:r>
          </w:p>
        </w:tc>
        <w:tc>
          <w:tcPr>
            <w:tcW w:type="dxa" w:w="2617"/>
            <w:tcBorders>
              <w:top w:val="nil"/>
              <w:left w:val="nil"/>
              <w:bottom w:val="single" w:sz="6" w:space="0" w:color="000000"/>
              <w:right w:val="nil"/>
            </w:tcBorders>
          </w:tcPr>
          <w:p>
            <w:pPr>
              <w:pStyle w:val="Compact"/>
              <w:jc w:val="left"/>
            </w:pPr>
            <w:r>
              <w:t xml:space="preserve">N7, mid main span (installed)</w:t>
            </w:r>
          </w:p>
        </w:tc>
      </w:tr>
      <w:tr>
        <w:tc>
          <w:tcPr>
            <w:tcW w:type="dxa" w:w="2707"/>
          </w:tcPr>
          <w:p>
            <w:pPr>
              <w:pStyle w:val="Compact"/>
              <w:jc w:val="left"/>
            </w:pPr>
            <w:r>
              <w:t xml:space="preserve">Prismatic beam, pinned piers</w:t>
            </w:r>
          </w:p>
        </w:tc>
        <w:tc>
          <w:tcPr>
            <w:tcW w:type="dxa" w:w="2030"/>
          </w:tcPr>
          <w:p>
            <w:pPr>
              <w:pStyle w:val="Compact"/>
              <w:jc w:val="left"/>
            </w:pPr>
            <w:r>
              <w:t xml:space="preserve">0.287</w:t>
            </w:r>
          </w:p>
        </w:tc>
        <w:tc>
          <w:tcPr>
            <w:tcW w:type="dxa" w:w="1714"/>
          </w:tcPr>
          <w:p>
            <w:pPr>
              <w:pStyle w:val="Compact"/>
              <w:jc w:val="left"/>
            </w:pPr>
            <w:r>
              <w:t xml:space="preserve">0.163</w:t>
            </w:r>
          </w:p>
        </w:tc>
        <w:tc>
          <w:tcPr>
            <w:tcW w:type="dxa" w:w="2617"/>
          </w:tcPr>
          <w:p>
            <w:pPr>
              <w:pStyle w:val="Compact"/>
              <w:jc w:val="left"/>
            </w:pPr>
            <w:r>
              <w:t xml:space="preserve">0.755</w:t>
            </w:r>
          </w:p>
        </w:tc>
      </w:tr>
      <w:tr>
        <w:tc>
          <w:tcPr>
            <w:tcW w:type="dxa" w:w="2707"/>
          </w:tcPr>
          <w:p>
            <w:pPr>
              <w:pStyle w:val="Compact"/>
              <w:jc w:val="left"/>
            </w:pPr>
            <w:r>
              <w:t xml:space="preserve">Haunched, calibration A</w:t>
            </w:r>
          </w:p>
        </w:tc>
        <w:tc>
          <w:tcPr>
            <w:tcW w:type="dxa" w:w="2030"/>
          </w:tcPr>
          <w:p>
            <w:pPr>
              <w:pStyle w:val="Compact"/>
              <w:jc w:val="left"/>
            </w:pPr>
            <w:r>
              <w:t xml:space="preserve">0.181</w:t>
            </w:r>
          </w:p>
        </w:tc>
        <w:tc>
          <w:tcPr>
            <w:tcW w:type="dxa" w:w="1714"/>
          </w:tcPr>
          <w:p>
            <w:pPr>
              <w:pStyle w:val="Compact"/>
              <w:jc w:val="left"/>
            </w:pPr>
            <w:r>
              <w:t xml:space="preserve">0.105</w:t>
            </w:r>
          </w:p>
        </w:tc>
        <w:tc>
          <w:tcPr>
            <w:tcW w:type="dxa" w:w="2617"/>
          </w:tcPr>
          <w:p>
            <w:pPr>
              <w:pStyle w:val="Compact"/>
              <w:jc w:val="left"/>
            </w:pPr>
            <w:r>
              <w:t xml:space="preserve">0.209</w:t>
            </w:r>
          </w:p>
        </w:tc>
      </w:tr>
      <w:tr>
        <w:tc>
          <w:tcPr>
            <w:tcW w:type="dxa" w:w="2707"/>
          </w:tcPr>
          <w:p>
            <w:pPr>
              <w:pStyle w:val="Compact"/>
              <w:jc w:val="left"/>
            </w:pPr>
            <w:r>
              <w:t xml:space="preserve">Haunched, calibration B</w:t>
            </w:r>
          </w:p>
        </w:tc>
        <w:tc>
          <w:tcPr>
            <w:tcW w:type="dxa" w:w="2030"/>
          </w:tcPr>
          <w:p>
            <w:pPr>
              <w:pStyle w:val="Compact"/>
              <w:jc w:val="left"/>
            </w:pPr>
            <w:r>
              <w:t xml:space="preserve">0.476ᵃ</w:t>
            </w:r>
          </w:p>
        </w:tc>
        <w:tc>
          <w:tcPr>
            <w:tcW w:type="dxa" w:w="1714"/>
          </w:tcPr>
          <w:p>
            <w:pPr>
              <w:pStyle w:val="Compact"/>
              <w:jc w:val="left"/>
            </w:pPr>
            <w:r>
              <w:t xml:space="preserve">0.377</w:t>
            </w:r>
          </w:p>
        </w:tc>
        <w:tc>
          <w:tcPr>
            <w:tcW w:type="dxa" w:w="2617"/>
          </w:tcPr>
          <w:p>
            <w:pPr>
              <w:pStyle w:val="Compact"/>
              <w:jc w:val="left"/>
            </w:pPr>
            <w:r>
              <w:t xml:space="preserve">0.234</w:t>
            </w:r>
          </w:p>
        </w:tc>
      </w:tr>
      <w:tr>
        <w:tc>
          <w:tcPr>
            <w:tcW w:type="dxa" w:w="2707"/>
          </w:tcPr>
          <w:p>
            <w:pPr>
              <w:pStyle w:val="Compact"/>
              <w:jc w:val="left"/>
            </w:pPr>
            <w:r>
              <w:t xml:space="preserve">Haunched, admissible set (</w:t>
            </w:r>
            <m:oMath>
              <m:r>
                <m:t>τ</m:t>
              </m:r>
            </m:oMath>
            <w:r>
              <w:t xml:space="preserve"> </w:t>
            </w:r>
            <w:r>
              <w:t xml:space="preserve">= 5.3 %)</w:t>
            </w:r>
          </w:p>
        </w:tc>
        <w:tc>
          <w:tcPr>
            <w:tcW w:type="dxa" w:w="2030"/>
          </w:tcPr>
          <w:p>
            <w:pPr>
              <w:pStyle w:val="Compact"/>
              <w:jc w:val="left"/>
            </w:pPr>
            <w:r>
              <w:t xml:space="preserve">0.124–0.822ᵇ</w:t>
            </w:r>
          </w:p>
        </w:tc>
        <w:tc>
          <w:tcPr>
            <w:tcW w:type="dxa" w:w="1714"/>
          </w:tcPr>
          <w:p>
            <w:pPr>
              <w:pStyle w:val="Compact"/>
              <w:jc w:val="left"/>
            </w:pPr>
            <w:r>
              <w:t xml:space="preserve">–</w:t>
            </w:r>
          </w:p>
        </w:tc>
        <w:tc>
          <w:tcPr>
            <w:tcW w:type="dxa" w:w="2617"/>
          </w:tcPr>
          <w:p>
            <w:pPr>
              <w:pStyle w:val="Compact"/>
              <w:jc w:val="left"/>
            </w:pPr>
            <w:r>
              <w:t xml:space="preserve">0.190–0.286</w:t>
            </w:r>
          </w:p>
        </w:tc>
      </w:tr>
      <w:tr>
        <w:tc>
          <w:tcPr>
            <w:tcW w:type="dxa" w:w="2707"/>
          </w:tcPr>
          <w:p>
            <w:pPr>
              <w:pStyle w:val="Compact"/>
              <w:jc w:val="left"/>
            </w:pPr>
            <w:r>
              <w:t xml:space="preserve">Haunched, pinned piers</w:t>
            </w:r>
          </w:p>
        </w:tc>
        <w:tc>
          <w:tcPr>
            <w:tcW w:type="dxa" w:w="2030"/>
          </w:tcPr>
          <w:p>
            <w:pPr>
              <w:pStyle w:val="Compact"/>
              <w:jc w:val="left"/>
            </w:pPr>
            <w:r>
              <w:t xml:space="preserve">0.023</w:t>
            </w:r>
          </w:p>
        </w:tc>
        <w:tc>
          <w:tcPr>
            <w:tcW w:type="dxa" w:w="1714"/>
          </w:tcPr>
          <w:p>
            <w:pPr>
              <w:pStyle w:val="Compact"/>
              <w:jc w:val="left"/>
            </w:pPr>
            <w:r>
              <w:t xml:space="preserve">−0.066</w:t>
            </w:r>
          </w:p>
        </w:tc>
        <w:tc>
          <w:tcPr>
            <w:tcW w:type="dxa" w:w="2617"/>
          </w:tcPr>
          <w:p>
            <w:pPr>
              <w:pStyle w:val="Compact"/>
              <w:jc w:val="left"/>
            </w:pPr>
            <w:r>
              <w:t xml:space="preserve">0.263</w:t>
            </w:r>
          </w:p>
        </w:tc>
      </w:tr>
      <w:tr>
        <w:tc>
          <w:tcPr>
            <w:tcW w:type="dxa" w:w="2707"/>
          </w:tcPr>
          <w:p>
            <w:pPr>
              <w:pStyle w:val="Compact"/>
              <w:jc w:val="left"/>
            </w:pPr>
            <w:r>
              <w:t xml:space="preserve">Haunched, fixed piers</w:t>
            </w:r>
          </w:p>
        </w:tc>
        <w:tc>
          <w:tcPr>
            <w:tcW w:type="dxa" w:w="2030"/>
          </w:tcPr>
          <w:p>
            <w:pPr>
              <w:pStyle w:val="Compact"/>
              <w:jc w:val="left"/>
            </w:pPr>
            <w:r>
              <w:t xml:space="preserve">0.446</w:t>
            </w:r>
          </w:p>
        </w:tc>
        <w:tc>
          <w:tcPr>
            <w:tcW w:type="dxa" w:w="1714"/>
          </w:tcPr>
          <w:p>
            <w:pPr>
              <w:pStyle w:val="Compact"/>
              <w:jc w:val="left"/>
            </w:pPr>
            <w:r>
              <w:t xml:space="preserve">0.375</w:t>
            </w:r>
          </w:p>
        </w:tc>
        <w:tc>
          <w:tcPr>
            <w:tcW w:type="dxa" w:w="2617"/>
          </w:tcPr>
          <w:p>
            <w:pPr>
              <w:pStyle w:val="Compact"/>
              <w:jc w:val="left"/>
            </w:pPr>
            <w:r>
              <w:t xml:space="preserve">0.145</w:t>
            </w:r>
          </w:p>
        </w:tc>
      </w:tr>
    </w:tbl>
    <w:p>
      <w:pPr>
        <w:pStyle w:val="BodyText"/>
      </w:pPr>
      <w:r>
        <w:t xml:space="preserve">ᵃ Above the fixed-pier value because calibration B has</w:t>
      </w:r>
      <w:r>
        <w:t xml:space="preserve"> </w:t>
      </w:r>
      <m:oMath>
        <m:r>
          <m:t>α</m:t>
        </m:r>
      </m:oMath>
      <w:r>
        <w:t xml:space="preserve"> </w:t>
      </w:r>
      <w:r>
        <w:t xml:space="preserve">= 0.716; normalised by the effective rigidity</w:t>
      </w:r>
      <w:r>
        <w:t xml:space="preserve"> </w:t>
      </w:r>
      <m:oMath>
        <m:r>
          <m:t>α</m:t>
        </m:r>
        <m:r>
          <m:t>E</m:t>
        </m:r>
        <m:sSub>
          <m:e>
            <m:r>
              <m:t>I</m:t>
            </m:r>
          </m:e>
          <m:sub>
            <m:r>
              <m:rPr>
                <m:sty m:val="p"/>
              </m:rPr>
              <m:t>m</m:t>
            </m:r>
            <m:r>
              <m:rPr>
                <m:sty m:val="p"/>
              </m:rPr>
              <m:t>i</m:t>
            </m:r>
            <m:r>
              <m:rPr>
                <m:sty m:val="p"/>
              </m:rPr>
              <m:t>d</m:t>
            </m:r>
          </m:sub>
        </m:sSub>
      </m:oMath>
      <w:r>
        <w:t xml:space="preserve"> </w:t>
      </w:r>
      <w:r>
        <w:t xml:space="preserve">it is 0.341. ᵇ The upper part of this range requires</w:t>
      </w:r>
      <w:r>
        <w:t xml:space="preserve"> </w:t>
      </w:r>
      <m:oMath>
        <m:r>
          <m:t>α</m:t>
        </m:r>
        <m:r>
          <m:rPr>
            <m:sty m:val="p"/>
          </m:rPr>
          <m:t>≈</m:t>
        </m:r>
        <m:r>
          <m:t>0.5</m:t>
        </m:r>
      </m:oMath>
      <w:r>
        <w:t xml:space="preserve">; normalised by the effective rigidity, the range is 0.144–0.422.</w:t>
      </w:r>
    </w:p>
    <w:p>
      <w:pPr>
        <w:pStyle w:val="BodyText"/>
      </w:pPr>
      <w:r>
        <w:t xml:space="preserve">The Möbius law of Eq. (15) explains the asymmetry. Going from pinned to fixed piers multiplies the N8 constant by 14.0 but reduces the N7 constant to 0.59 of its pinned value. The design stiffness sits at</w:t>
      </w:r>
      <w:r>
        <w:t xml:space="preserve"> </w:t>
      </w:r>
      <m:oMath>
        <m:r>
          <m:t>κ</m:t>
        </m:r>
        <m:r>
          <m:rPr>
            <m:sty m:val="p"/>
          </m:rPr>
          <m:t>/</m:t>
        </m:r>
        <m:sSub>
          <m:e>
            <m:r>
              <m:t>k</m:t>
            </m:r>
          </m:e>
          <m:sub>
            <m:r>
              <m:t>g</m:t>
            </m:r>
          </m:sub>
        </m:sSub>
        <m:r>
          <m:rPr>
            <m:sty m:val="p"/>
          </m:rPr>
          <m:t>=</m:t>
        </m:r>
        <m:r>
          <m:t>0.63</m:t>
        </m:r>
      </m:oMath>
      <w:r>
        <w:t xml:space="preserve">, near the steepest part of the curve, where the boundary sensitivity</w:t>
      </w:r>
      <w:r>
        <w:t xml:space="preserve"> </w:t>
      </w:r>
      <m:oMath>
        <m:sSub>
          <m:e>
            <m:r>
              <m:t>B</m:t>
            </m:r>
          </m:e>
          <m:sub>
            <m:r>
              <m:t>m</m:t>
            </m:r>
          </m:sub>
        </m:sSub>
      </m:oMath>
      <w:r>
        <w:t xml:space="preserve"> </w:t>
      </w:r>
      <w:r>
        <w:t xml:space="preserve">is much larger at N8 than at N7 (Table 5).</w:t>
      </w:r>
    </w:p>
    <w:p>
      <w:pPr>
        <w:pStyle w:val="BodyText"/>
      </w:pPr>
      <w:r>
        <w:t xml:space="preserve">Calibrating the model to the N8 reading does not fix the N8 constant either. Over the admissible set, the ratio of</w:t>
      </w:r>
      <w:r>
        <w:t xml:space="preserve"> </w:t>
      </w:r>
      <m:oMath>
        <m:sSub>
          <m:e>
            <m:r>
              <m:t>C</m:t>
            </m:r>
          </m:e>
          <m:sub>
            <m:r>
              <m:t>m</m:t>
            </m:r>
          </m:sub>
        </m:sSub>
      </m:oMath>
      <w:r>
        <w:t xml:space="preserve"> </w:t>
      </w:r>
      <w:r>
        <w:t xml:space="preserve">to the modelled N8 deflection varies by a factor of 6.5, against 1.5 for N7.</w:t>
      </w:r>
    </w:p>
    <w:p>
      <w:pPr>
        <w:pStyle w:val="BodyText"/>
      </w:pPr>
      <w:r>
        <w:rPr>
          <w:bCs/>
          <w:b/>
        </w:rPr>
        <w:t xml:space="preserve">Table 5.</w:t>
      </w:r>
      <w:r>
        <w:t xml:space="preserve"> </w:t>
      </w:r>
      <w:r>
        <w:t xml:space="preserve">Cancellation ratio</w:t>
      </w:r>
      <w:r>
        <w:t xml:space="preserve"> </w:t>
      </w:r>
      <m:oMath>
        <m:r>
          <m:t>R</m:t>
        </m:r>
      </m:oMath>
      <w:r>
        <w:t xml:space="preserve">, Eq. (11), and boundary sensitivity</w:t>
      </w:r>
      <w:r>
        <w:t xml:space="preserve"> </w:t>
      </w:r>
      <m:oMath>
        <m:sSub>
          <m:e>
            <m:r>
              <m:t>B</m:t>
            </m:r>
          </m:e>
          <m:sub>
            <m:r>
              <m:t>m</m:t>
            </m:r>
          </m:sub>
        </m:sSub>
      </m:oMath>
      <w:r>
        <w:t xml:space="preserve"> </w:t>
      </w:r>
      <w:r>
        <w:t xml:space="preserve">of the Cầu Mây gauges.</w:t>
      </w:r>
      <w:r>
        <w:t xml:space="preserve"> </w:t>
      </w:r>
      <m:oMath>
        <m:sSub>
          <m:e>
            <m:r>
              <m:t>B</m:t>
            </m:r>
          </m:e>
          <m:sub>
            <m:r>
              <m:t>m</m:t>
            </m:r>
          </m:sub>
        </m:sSub>
      </m:oMath>
      <w:r>
        <w:t xml:space="preserve"> </w:t>
      </w:r>
      <w:r>
        <w:t xml:space="preserve">at the design stiffness, with</w:t>
      </w:r>
      <w:r>
        <w:t xml:space="preserve"> </w:t>
      </w:r>
      <m:oMath>
        <m:sSub>
          <m:e>
            <m:r>
              <m:t>k</m:t>
            </m:r>
          </m:e>
          <m:sub>
            <m:r>
              <m:t>g</m:t>
            </m:r>
          </m:sub>
        </m:sSub>
        <m:r>
          <m:rPr>
            <m:sty m:val="p"/>
          </m:rPr>
          <m:t>=</m:t>
        </m:r>
        <m:r>
          <m:t>4.36</m:t>
        </m:r>
        <m:r>
          <m:rPr>
            <m:sty m:val="p"/>
          </m:rPr>
          <m:t>×</m:t>
        </m:r>
        <m:sSup>
          <m:e>
            <m:r>
              <m:t>10</m:t>
            </m:r>
          </m:e>
          <m:sup>
            <m:r>
              <m:t>7</m:t>
            </m:r>
          </m:sup>
        </m:sSup>
      </m:oMath>
      <w:r>
        <w:t xml:space="preserve"> </w:t>
      </w:r>
      <w:r>
        <w:t xml:space="preserve">kN m/rad. –: not computed.</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2753"/>
        <w:gridCol w:w="1911"/>
        <w:gridCol w:w="1743"/>
        <w:gridCol w:w="2661"/>
      </w:tblGrid>
      <w:tr>
        <w:trPr>
          <w:tblHeader w:val="true"/>
        </w:trPr>
        <w:tc>
          <w:tcPr>
            <w:tcW w:type="dxa" w:w="2753"/>
            <w:tcBorders>
              <w:top w:val="nil"/>
              <w:left w:val="nil"/>
              <w:bottom w:val="single" w:sz="6" w:space="0" w:color="000000"/>
              <w:right w:val="nil"/>
            </w:tcBorders>
          </w:tcPr>
          <w:p>
            <w:pPr>
              <w:pStyle w:val="Compact"/>
              <w:jc w:val="left"/>
            </w:pPr>
            <w:r>
              <w:t xml:space="preserve">Quantity</w:t>
            </w:r>
          </w:p>
        </w:tc>
        <w:tc>
          <w:tcPr>
            <w:tcW w:type="dxa" w:w="1911"/>
            <w:tcBorders>
              <w:top w:val="nil"/>
              <w:left w:val="nil"/>
              <w:bottom w:val="single" w:sz="6" w:space="0" w:color="000000"/>
              <w:right w:val="nil"/>
            </w:tcBorders>
          </w:tcPr>
          <w:p>
            <w:pPr>
              <w:pStyle w:val="Compact"/>
              <w:jc w:val="left"/>
            </w:pPr>
            <w:r>
              <w:t xml:space="preserve">N8, 0.4L (installed)</w:t>
            </w:r>
          </w:p>
        </w:tc>
        <w:tc>
          <w:tcPr>
            <w:tcW w:type="dxa" w:w="1743"/>
            <w:tcBorders>
              <w:top w:val="nil"/>
              <w:left w:val="nil"/>
              <w:bottom w:val="single" w:sz="6" w:space="0" w:color="000000"/>
              <w:right w:val="nil"/>
            </w:tcBorders>
          </w:tcPr>
          <w:p>
            <w:pPr>
              <w:pStyle w:val="Compact"/>
              <w:jc w:val="left"/>
            </w:pPr>
            <w:r>
              <w:t xml:space="preserve">N8 at mid side span</w:t>
            </w:r>
          </w:p>
        </w:tc>
        <w:tc>
          <w:tcPr>
            <w:tcW w:type="dxa" w:w="2661"/>
            <w:tcBorders>
              <w:top w:val="nil"/>
              <w:left w:val="nil"/>
              <w:bottom w:val="single" w:sz="6" w:space="0" w:color="000000"/>
              <w:right w:val="nil"/>
            </w:tcBorders>
          </w:tcPr>
          <w:p>
            <w:pPr>
              <w:pStyle w:val="Compact"/>
              <w:jc w:val="left"/>
            </w:pPr>
            <w:r>
              <w:t xml:space="preserve">N7, mid main span (installed)</w:t>
            </w:r>
          </w:p>
        </w:tc>
      </w:tr>
      <w:tr>
        <w:tc>
          <w:tcPr>
            <w:tcW w:type="dxa" w:w="2753"/>
          </w:tcPr>
          <w:p>
            <w:pPr>
              <w:pStyle w:val="Compact"/>
              <w:jc w:val="left"/>
            </w:pPr>
            <m:oMath>
              <m:r>
                <m:t>R</m:t>
              </m:r>
            </m:oMath>
            <w:r>
              <w:t xml:space="preserve">, prismatic beam, pinned piers</w:t>
            </w:r>
          </w:p>
        </w:tc>
        <w:tc>
          <w:tcPr>
            <w:tcW w:type="dxa" w:w="1911"/>
          </w:tcPr>
          <w:p>
            <w:pPr>
              <w:pStyle w:val="Compact"/>
              <w:jc w:val="left"/>
            </w:pPr>
            <w:r>
              <w:t xml:space="preserve">0.14</w:t>
            </w:r>
          </w:p>
        </w:tc>
        <w:tc>
          <w:tcPr>
            <w:tcW w:type="dxa" w:w="1743"/>
          </w:tcPr>
          <w:p>
            <w:pPr>
              <w:pStyle w:val="Compact"/>
              <w:jc w:val="left"/>
            </w:pPr>
            <w:r>
              <w:t xml:space="preserve">0.08</w:t>
            </w:r>
          </w:p>
        </w:tc>
        <w:tc>
          <w:tcPr>
            <w:tcW w:type="dxa" w:w="2661"/>
          </w:tcPr>
          <w:p>
            <w:pPr>
              <w:pStyle w:val="Compact"/>
              <w:jc w:val="left"/>
            </w:pPr>
            <w:r>
              <w:t xml:space="preserve">0.70</w:t>
            </w:r>
          </w:p>
        </w:tc>
      </w:tr>
      <w:tr>
        <w:tc>
          <w:tcPr>
            <w:tcW w:type="dxa" w:w="2753"/>
          </w:tcPr>
          <w:p>
            <w:pPr>
              <w:pStyle w:val="Compact"/>
              <w:jc w:val="left"/>
            </w:pPr>
            <m:oMath>
              <m:r>
                <m:t>R</m:t>
              </m:r>
            </m:oMath>
            <w:r>
              <w:t xml:space="preserve">, calibration A</w:t>
            </w:r>
          </w:p>
        </w:tc>
        <w:tc>
          <w:tcPr>
            <w:tcW w:type="dxa" w:w="1911"/>
          </w:tcPr>
          <w:p>
            <w:pPr>
              <w:pStyle w:val="Compact"/>
              <w:jc w:val="left"/>
            </w:pPr>
            <w:r>
              <w:t xml:space="preserve">0.18</w:t>
            </w:r>
          </w:p>
        </w:tc>
        <w:tc>
          <w:tcPr>
            <w:tcW w:type="dxa" w:w="1743"/>
          </w:tcPr>
          <w:p>
            <w:pPr>
              <w:pStyle w:val="Compact"/>
              <w:jc w:val="left"/>
            </w:pPr>
            <w:r>
              <w:t xml:space="preserve">0.11</w:t>
            </w:r>
          </w:p>
        </w:tc>
        <w:tc>
          <w:tcPr>
            <w:tcW w:type="dxa" w:w="2661"/>
          </w:tcPr>
          <w:p>
            <w:pPr>
              <w:pStyle w:val="Compact"/>
              <w:jc w:val="left"/>
            </w:pPr>
            <w:r>
              <w:t xml:space="preserve">0.59</w:t>
            </w:r>
          </w:p>
        </w:tc>
      </w:tr>
      <w:tr>
        <w:tc>
          <w:tcPr>
            <w:tcW w:type="dxa" w:w="2753"/>
          </w:tcPr>
          <w:p>
            <w:pPr>
              <w:pStyle w:val="Compact"/>
              <w:jc w:val="left"/>
            </w:pPr>
            <m:oMath>
              <m:r>
                <m:t>R</m:t>
              </m:r>
            </m:oMath>
            <w:r>
              <w:t xml:space="preserve">, calibration B</w:t>
            </w:r>
          </w:p>
        </w:tc>
        <w:tc>
          <w:tcPr>
            <w:tcW w:type="dxa" w:w="1911"/>
          </w:tcPr>
          <w:p>
            <w:pPr>
              <w:pStyle w:val="Compact"/>
              <w:jc w:val="left"/>
            </w:pPr>
            <w:r>
              <w:t xml:space="preserve">0.56</w:t>
            </w:r>
          </w:p>
        </w:tc>
        <w:tc>
          <w:tcPr>
            <w:tcW w:type="dxa" w:w="1743"/>
          </w:tcPr>
          <w:p>
            <w:pPr>
              <w:pStyle w:val="Compact"/>
              <w:jc w:val="left"/>
            </w:pPr>
            <w:r>
              <w:t xml:space="preserve">0.49</w:t>
            </w:r>
          </w:p>
        </w:tc>
        <w:tc>
          <w:tcPr>
            <w:tcW w:type="dxa" w:w="2661"/>
          </w:tcPr>
          <w:p>
            <w:pPr>
              <w:pStyle w:val="Compact"/>
              <w:jc w:val="left"/>
            </w:pPr>
            <w:r>
              <w:t xml:space="preserve">0.77</w:t>
            </w:r>
          </w:p>
        </w:tc>
      </w:tr>
      <w:tr>
        <w:tc>
          <w:tcPr>
            <w:tcW w:type="dxa" w:w="2753"/>
          </w:tcPr>
          <w:p>
            <w:pPr>
              <w:pStyle w:val="Compact"/>
              <w:jc w:val="left"/>
            </w:pPr>
            <m:oMath>
              <m:r>
                <m:t>R</m:t>
              </m:r>
            </m:oMath>
            <w:r>
              <w:t xml:space="preserve">, admissible set</w:t>
            </w:r>
          </w:p>
        </w:tc>
        <w:tc>
          <w:tcPr>
            <w:tcW w:type="dxa" w:w="1911"/>
          </w:tcPr>
          <w:p>
            <w:pPr>
              <w:pStyle w:val="Compact"/>
              <w:jc w:val="left"/>
            </w:pPr>
            <w:r>
              <w:t xml:space="preserve">0.13–1.00</w:t>
            </w:r>
          </w:p>
        </w:tc>
        <w:tc>
          <w:tcPr>
            <w:tcW w:type="dxa" w:w="1743"/>
          </w:tcPr>
          <w:p>
            <w:pPr>
              <w:pStyle w:val="Compact"/>
              <w:jc w:val="left"/>
            </w:pPr>
            <w:r>
              <w:t xml:space="preserve">–</w:t>
            </w:r>
          </w:p>
        </w:tc>
        <w:tc>
          <w:tcPr>
            <w:tcW w:type="dxa" w:w="2661"/>
          </w:tcPr>
          <w:p>
            <w:pPr>
              <w:pStyle w:val="Compact"/>
              <w:jc w:val="left"/>
            </w:pPr>
            <w:r>
              <w:t xml:space="preserve">0.56–1.00</w:t>
            </w:r>
          </w:p>
        </w:tc>
      </w:tr>
      <w:tr>
        <w:tc>
          <w:tcPr>
            <w:tcW w:type="dxa" w:w="2753"/>
          </w:tcPr>
          <w:p>
            <w:pPr>
              <w:pStyle w:val="Compact"/>
              <w:jc w:val="left"/>
            </w:pPr>
            <m:oMath>
              <m:sSub>
                <m:e>
                  <m:r>
                    <m:t>B</m:t>
                  </m:r>
                </m:e>
                <m:sub>
                  <m:r>
                    <m:t>m</m:t>
                  </m:r>
                </m:sub>
              </m:sSub>
            </m:oMath>
          </w:p>
        </w:tc>
        <w:tc>
          <w:tcPr>
            <w:tcW w:type="dxa" w:w="1911"/>
          </w:tcPr>
          <w:p>
            <w:pPr>
              <w:pStyle w:val="Compact"/>
              <w:jc w:val="left"/>
            </w:pPr>
            <w:r>
              <w:t xml:space="preserve">0.51</w:t>
            </w:r>
          </w:p>
        </w:tc>
        <w:tc>
          <w:tcPr>
            <w:tcW w:type="dxa" w:w="1743"/>
          </w:tcPr>
          <w:p>
            <w:pPr>
              <w:pStyle w:val="Compact"/>
              <w:jc w:val="left"/>
            </w:pPr>
            <w:r>
              <w:t xml:space="preserve">–</w:t>
            </w:r>
          </w:p>
        </w:tc>
        <w:tc>
          <w:tcPr>
            <w:tcW w:type="dxa" w:w="2661"/>
          </w:tcPr>
          <w:p>
            <w:pPr>
              <w:pStyle w:val="Compact"/>
              <w:jc w:val="left"/>
            </w:pPr>
            <w:r>
              <w:t xml:space="preserve">0.12</w:t>
            </w:r>
          </w:p>
        </w:tc>
      </w:tr>
    </w:tbl>
    <w:p>
      <w:pPr>
        <w:pStyle w:val="BodyText"/>
      </w:pPr>
      <w:r>
        <w:t xml:space="preserve">The main-span indicator is low (0.19–0.29) although</w:t>
      </w:r>
      <w:r>
        <w:t xml:space="preserve"> </w:t>
      </w:r>
      <m:oMath>
        <m:r>
          <m:t>R</m:t>
        </m:r>
      </m:oMath>
      <w:r>
        <w:t xml:space="preserve"> </w:t>
      </w:r>
      <w:r>
        <w:t xml:space="preserve">is 0.56–1.00, so its smallness reflects restraint by the haunches, not cancellation. The measured vertical frequencies (3.43–3.64 Hz) would narrow the admissible set further if they belonged to the third vertical mode. This interpretation is conditional and is analysed in the Supplementary Material.</w:t>
      </w:r>
    </w:p>
    <w:bookmarkEnd w:id="36"/>
    <w:bookmarkStart w:id="37" w:name="which-channel-where"/>
    <w:p>
      <w:pPr>
        <w:pStyle w:val="Heading3"/>
      </w:pPr>
      <w:r>
        <w:t xml:space="preserve">5.3. Which channel, where</w:t>
      </w:r>
    </w:p>
    <w:p>
      <w:pPr>
        <w:pStyle w:val="FirstParagraph"/>
      </w:pPr>
      <w:r>
        <w:t xml:space="preserve">For this girder the deflection channel at mid main span is the robust choice. A side-span deflection gauge is ill-conditioned with respect to pier stiffness and should not take its constant from a design model unless that stiffness is identified.</w:t>
      </w:r>
    </w:p>
    <w:p>
      <w:pPr>
        <w:pStyle w:val="BodyText"/>
      </w:pPr>
      <w:r>
        <w:t xml:space="preserve">Strain channels behave differently (Fig. 8). The haunches move every zero-moment point towards mid-span. Over the range of pier stiffness the side-span zero lies 26.0–33.3 m from the abutment, so a strain gauge at mid side span would be practically blind under calibration A (</w:t>
      </w:r>
      <m:oMath>
        <m:sSub>
          <m:e>
            <m:r>
              <m:t>N</m:t>
            </m:r>
          </m:e>
          <m:sub>
            <m:r>
              <m:t>M</m:t>
            </m:r>
          </m:sub>
        </m:sSub>
        <m:r>
          <m:rPr>
            <m:sty m:val="p"/>
          </m:rPr>
          <m:t>=</m:t>
        </m:r>
        <m:r>
          <m:t>0.048</m:t>
        </m:r>
      </m:oMath>
      <w:r>
        <w:t xml:space="preserve">) and would change sign with pinned piers. The centre of the main span lies in the strain near-blind band in every haunched model (</w:t>
      </w:r>
      <m:oMath>
        <m:sSub>
          <m:e>
            <m:r>
              <m:t>N</m:t>
            </m:r>
          </m:e>
          <m:sub>
            <m:r>
              <m:t>M</m:t>
            </m:r>
          </m:sub>
        </m:sSub>
      </m:oMath>
      <w:r>
        <w:t xml:space="preserve"> </w:t>
      </w:r>
      <w:r>
        <w:t xml:space="preserve">= 0.163–0.212 at N7), again because of restraint (</w:t>
      </w:r>
      <m:oMath>
        <m:sSub>
          <m:e>
            <m:r>
              <m:t>R</m:t>
            </m:r>
          </m:e>
          <m:sub>
            <m:r>
              <m:t>ε</m:t>
            </m:r>
          </m:sub>
        </m:sSub>
      </m:oMath>
      <w:r>
        <w:t xml:space="preserve"> </w:t>
      </w:r>
      <w:r>
        <w:t xml:space="preserve">= 0.65–1).</w:t>
      </w:r>
    </w:p>
    <w:p>
      <w:pPr>
        <w:pStyle w:val="BodyText"/>
      </w:pPr>
      <w:r>
        <w:t xml:space="preserve">Judged by</w:t>
      </w:r>
      <w:r>
        <w:t xml:space="preserve"> </w:t>
      </w:r>
      <m:oMath>
        <m:sSub>
          <m:e>
            <m:r>
              <m:t>N</m:t>
            </m:r>
          </m:e>
          <m:sub>
            <m:r>
              <m:t>M</m:t>
            </m:r>
          </m:sub>
        </m:sSub>
      </m:oMath>
      <w:r>
        <w:t xml:space="preserve"> </w:t>
      </w:r>
      <w:r>
        <w:t xml:space="preserve">alone, the best-conditioned strain locations are 5–10 m from the piers, where</w:t>
      </w:r>
      <w:r>
        <w:t xml:space="preserve"> </w:t>
      </w:r>
      <m:oMath>
        <m:d>
          <m:dPr>
            <m:begChr m:val="|"/>
            <m:endChr m:val="|"/>
            <m:sepChr m:val=""/>
            <m:grow/>
          </m:dPr>
          <m:e>
            <m:sSub>
              <m:e>
                <m:r>
                  <m:t>N</m:t>
                </m:r>
              </m:e>
              <m:sub>
                <m:r>
                  <m:t>M</m:t>
                </m:r>
              </m:sub>
            </m:sSub>
          </m:e>
        </m:d>
        <m:r>
          <m:rPr>
            <m:sty m:val="p"/>
          </m:rPr>
          <m:t>≥</m:t>
        </m:r>
        <m:r>
          <m:t>0.39</m:t>
        </m:r>
      </m:oMath>
      <w:r>
        <w:t xml:space="preserve"> </w:t>
      </w:r>
      <w:r>
        <w:t xml:space="preserve">in all haunched models. The placement rule, however, ranks locations by the absolute constant</w:t>
      </w:r>
      <w:r>
        <w:t xml:space="preserve"> </w:t>
      </w:r>
      <m:oMath>
        <m:sSub>
          <m:e>
            <m:r>
              <m:t>C</m:t>
            </m:r>
          </m:e>
          <m:sub>
            <m:r>
              <m:t>ε</m:t>
            </m:r>
          </m:sub>
        </m:sSub>
        <m:r>
          <m:rPr>
            <m:sty m:val="p"/>
          </m:rPr>
          <m:t>=</m:t>
        </m:r>
        <m:r>
          <m:t>c</m:t>
        </m:r>
        <m:sSub>
          <m:e>
            <m:r>
              <m:t>M</m:t>
            </m:r>
          </m:e>
          <m:sub>
            <m:r>
              <m:t>q</m:t>
            </m:r>
          </m:sub>
        </m:sSub>
        <m:r>
          <m:rPr>
            <m:sty m:val="p"/>
          </m:rPr>
          <m:t>/</m:t>
        </m:r>
        <m:d>
          <m:dPr>
            <m:begChr m:val="("/>
            <m:endChr m:val=")"/>
            <m:sepChr m:val=""/>
            <m:grow/>
          </m:dPr>
          <m:e>
            <m:r>
              <m:t>E</m:t>
            </m:r>
            <m:r>
              <m:t>I</m:t>
            </m:r>
            <m:r>
              <m:t> </m:t>
            </m:r>
            <m:sSub>
              <m:e>
                <m:r>
                  <m:t>q</m:t>
                </m:r>
              </m:e>
              <m:sub>
                <m:r>
                  <m:t>0</m:t>
                </m:r>
              </m:sub>
            </m:sSub>
          </m:e>
        </m:d>
      </m:oMath>
      <w:r>
        <w:t xml:space="preserve">, which includes the section gain. With</w:t>
      </w:r>
      <w:r>
        <w:t xml:space="preserve"> </w:t>
      </w:r>
      <m:oMath>
        <m:r>
          <m:t>c</m:t>
        </m:r>
        <m:r>
          <m:rPr>
            <m:sty m:val="p"/>
          </m:rPr>
          <m:t>∝</m:t>
        </m:r>
        <m:r>
          <m:t>h</m:t>
        </m:r>
      </m:oMath>
      <w:r>
        <w:t xml:space="preserve">, the gain</w:t>
      </w:r>
      <w:r>
        <w:t xml:space="preserve"> </w:t>
      </w:r>
      <m:oMath>
        <m:r>
          <m:t>c</m:t>
        </m:r>
        <m:r>
          <m:rPr>
            <m:sty m:val="p"/>
          </m:rPr>
          <m:t>/</m:t>
        </m:r>
        <m:r>
          <m:t>E</m:t>
        </m:r>
        <m:r>
          <m:t>I</m:t>
        </m:r>
      </m:oMath>
      <w:r>
        <w:t xml:space="preserve"> </w:t>
      </w:r>
      <w:r>
        <w:t xml:space="preserve">at those locations is about one fifth of that at mid-span (Fig. 8c). The two rankings therefore disagree (Figs. 8b and 8c), and which one governs depends on whether the noise is set by the strain resolution or by the offset.</w:t>
      </w:r>
    </w:p>
    <w:p>
      <w:pPr>
        <w:pStyle w:val="BodyText"/>
      </w:pPr>
      <w:r>
        <w:t xml:space="preserve">Load cells under the end bearings give an end-reaction indicator</w:t>
      </w:r>
      <w:r>
        <w:t xml:space="preserve"> </w:t>
      </w:r>
      <m:oMath>
        <m:sSub>
          <m:e>
            <m:r>
              <m:t>N</m:t>
            </m:r>
          </m:e>
          <m:sub>
            <m:r>
              <m:t>F</m:t>
            </m:r>
          </m:sub>
        </m:sSub>
        <m:r>
          <m:rPr>
            <m:sty m:val="p"/>
          </m:rPr>
          <m:t>=</m:t>
        </m:r>
        <m:sSub>
          <m:e>
            <m:r>
              <m:t>ξ</m:t>
            </m:r>
          </m:e>
          <m:sub>
            <m:r>
              <m:t>0</m:t>
            </m:r>
          </m:sub>
        </m:sSub>
      </m:oMath>
      <w:r>
        <w:t xml:space="preserve"> </w:t>
      </w:r>
      <w:r>
        <w:t xml:space="preserve">= 0.47–0.61. They cannot be blind unless the side span loses its sagging zone.</w:t>
      </w:r>
    </w:p>
    <w:p>
      <w:pPr>
        <w:pStyle w:val="BodyText"/>
      </w:pPr>
      <w:r>
        <w:t xml:space="preserve">For two deflection channels, Section 2.4 places the second sensor at the most negative constant, in the side span 4–10 m from the inner pier. The pair at 100 m and 152 m from the end support T5 is within 0.9 % of the calibration-specific optimum under both A and B, so placement is insensitive to the unresolved pier stiffness.</w:t>
      </w:r>
    </w:p>
    <w:p>
      <w:pPr>
        <w:pStyle w:val="BodyText"/>
      </w:pPr>
      <w:r>
        <w:t xml:space="preserve">Under the assumed noise model, a second gauge reduces the scatter of the load. The placement study assumed</w:t>
      </w:r>
      <w:r>
        <w:t xml:space="preserve"> </w:t>
      </w:r>
      <m:oMath>
        <m:r>
          <m:t>σ</m:t>
        </m:r>
        <m:r>
          <m:rPr>
            <m:sty m:val="p"/>
          </m:rPr>
          <m:t>=</m:t>
        </m:r>
        <m:r>
          <m:t>0.01</m:t>
        </m:r>
      </m:oMath>
      <w:r>
        <w:t xml:space="preserve"> </w:t>
      </w:r>
      <w:r>
        <w:t xml:space="preserve">mm,</w:t>
      </w:r>
      <w:r>
        <w:t xml:space="preserve"> </w:t>
      </w:r>
      <m:oMath>
        <m:sSub>
          <m:e>
            <m:r>
              <m:t>δ</m:t>
            </m:r>
          </m:e>
          <m:sub>
            <m:r>
              <m:t>0</m:t>
            </m:r>
          </m:sub>
        </m:sSub>
        <m:r>
          <m:rPr>
            <m:sty m:val="p"/>
          </m:rPr>
          <m:t>=</m:t>
        </m:r>
        <m:r>
          <m:t>0.1</m:t>
        </m:r>
      </m:oMath>
      <w:r>
        <w:t xml:space="preserve"> </w:t>
      </w:r>
      <w:r>
        <w:t xml:space="preserve">mm and a record of 220 m (the 200 m unit plus a 20 m convoy allowance). At</w:t>
      </w:r>
      <w:r>
        <w:t xml:space="preserve"> </w:t>
      </w:r>
      <m:oMath>
        <m:r>
          <m:t>ρ</m:t>
        </m:r>
        <m:r>
          <m:rPr>
            <m:sty m:val="p"/>
          </m:rPr>
          <m:t>=</m:t>
        </m:r>
        <m:r>
          <m:t>0.9</m:t>
        </m:r>
      </m:oMath>
      <w:r>
        <w:t xml:space="preserve"> </w:t>
      </w:r>
      <w:r>
        <w:t xml:space="preserve">and under calibration A, the standard deviation of the load falls from 24.8 % with N7 alone to 10.6 % with the pair; for the 200 m record used in Section 6 the single-gauge value is 22.5 %. The value at</w:t>
      </w:r>
      <w:r>
        <w:t xml:space="preserve"> </w:t>
      </w:r>
      <m:oMath>
        <m:r>
          <m:t>ρ</m:t>
        </m:r>
        <m:r>
          <m:rPr>
            <m:sty m:val="p"/>
          </m:rPr>
          <m:t>=</m:t>
        </m:r>
        <m:r>
          <m:t>1</m:t>
        </m:r>
      </m:oMath>
      <w:r>
        <w:t xml:space="preserve"> </w:t>
      </w:r>
      <w:r>
        <w:t xml:space="preserve">would be far smaller, but Section 4.3 shows that a common-mode fraction measured in vehicle-free periods need not hold during crossings, so these gains are upper bounds.</w:t>
      </w:r>
    </w:p>
    <w:p>
      <w:pPr>
        <w:pStyle w:val="BodyText"/>
      </w:pPr>
      <w:r>
        <w:t xml:space="preserve">If a model-based constant is wanted, a tiltmeter on the monolithic pier T7 is the most informative additional measurement; under the side-span convoy it would read about 167 µrad. Its benefit is measured by the Cramér–Rao bound on the standard deviation of</w:t>
      </w:r>
      <w:r>
        <w:t xml:space="preserve"> </w:t>
      </w:r>
      <m:oMath>
        <m:r>
          <m:rPr>
            <m:sty m:val="p"/>
          </m:rPr>
          <m:t>ln</m:t>
        </m:r>
        <m:sSub>
          <m:e>
            <m:r>
              <m:t>C</m:t>
            </m:r>
          </m:e>
          <m:sub>
            <m:r>
              <m:t>8</m:t>
            </m:r>
          </m:sub>
        </m:sSub>
      </m:oMath>
      <w:r>
        <w:t xml:space="preserve">. The bound is evaluated at the scaled pier stiffness of calibration A,</w:t>
      </w:r>
      <w:r>
        <w:t xml:space="preserve"> </w:t>
      </w:r>
      <m:oMath>
        <m:r>
          <m:t>κ</m:t>
        </m:r>
        <m:r>
          <m:rPr>
            <m:sty m:val="p"/>
          </m:rPr>
          <m:t>=</m:t>
        </m:r>
        <m:r>
          <m:t>2.75</m:t>
        </m:r>
        <m:r>
          <m:rPr>
            <m:sty m:val="p"/>
          </m:rPr>
          <m:t>×</m:t>
        </m:r>
        <m:sSup>
          <m:e>
            <m:r>
              <m:t>10</m:t>
            </m:r>
          </m:e>
          <m:sup>
            <m:r>
              <m:t>7</m:t>
            </m:r>
          </m:sup>
        </m:sSup>
      </m:oMath>
      <w:r>
        <w:t xml:space="preserve"> </w:t>
      </w:r>
      <w:r>
        <w:t xml:space="preserve">kN m/rad, with</w:t>
      </w:r>
      <w:r>
        <w:t xml:space="preserve"> </w:t>
      </w:r>
      <m:oMath>
        <m:r>
          <m:t>α</m:t>
        </m:r>
      </m:oMath>
      <w:r>
        <w:t xml:space="preserve"> </w:t>
      </w:r>
      <w:r>
        <w:t xml:space="preserve">refitted to the two readings at that</w:t>
      </w:r>
      <w:r>
        <w:t xml:space="preserve"> </w:t>
      </w:r>
      <m:oMath>
        <m:r>
          <m:t>κ</m:t>
        </m:r>
      </m:oMath>
      <w:r>
        <w:t xml:space="preserve"> </w:t>
      </w:r>
      <w:r>
        <w:t xml:space="preserve">(</w:t>
      </w:r>
      <m:oMath>
        <m:sSup>
          <m:e>
            <m:r>
              <m:t>α</m:t>
            </m:r>
          </m:e>
          <m:sup>
            <m:r>
              <m:rPr>
                <m:sty m:val="p"/>
              </m:rPr>
              <m:t>*</m:t>
            </m:r>
          </m:sup>
        </m:sSup>
        <m:r>
          <m:rPr>
            <m:sty m:val="p"/>
          </m:rPr>
          <m:t>=</m:t>
        </m:r>
        <m:r>
          <m:t>1.07</m:t>
        </m:r>
      </m:oMath>
      <w:r>
        <w:t xml:space="preserve">; the curve</w:t>
      </w:r>
      <w:r>
        <w:t xml:space="preserve"> </w:t>
      </w:r>
      <m:oMath>
        <m:sSup>
          <m:e>
            <m:r>
              <m:t>α</m:t>
            </m:r>
          </m:e>
          <m:sup>
            <m:r>
              <m:rPr>
                <m:sty m:val="p"/>
              </m:rPr>
              <m:t>*</m:t>
            </m:r>
          </m:sup>
        </m:sSup>
        <m:d>
          <m:dPr>
            <m:begChr m:val="("/>
            <m:endChr m:val=")"/>
            <m:sepChr m:val=""/>
            <m:grow/>
          </m:dPr>
          <m:e>
            <m:r>
              <m:t>κ</m:t>
            </m:r>
          </m:e>
        </m:d>
      </m:oMath>
      <w:r>
        <w:t xml:space="preserve"> </w:t>
      </w:r>
      <w:r>
        <w:t xml:space="preserve">of best static fit is shown in Fig. 9b). Each static reading has the standard uncertainty of 2.64 % derived in Section 5.2, and the rotation an assumed 3 %.</w:t>
      </w:r>
    </w:p>
    <w:p>
      <w:pPr>
        <w:pStyle w:val="BodyText"/>
      </w:pPr>
      <w:r>
        <w:t xml:space="preserve">At calibration A the two deflections alone give a bound of 0.87. Adding the tiltmeter reduces it to 0.18; adding the identified first and third vertical frequencies instead reduces it to 0.24. At calibration B the two-reading Fisher matrix is singular, so the deflections alone cannot bound</w:t>
      </w:r>
      <w:r>
        <w:t xml:space="preserve"> </w:t>
      </w:r>
      <m:oMath>
        <m:r>
          <m:rPr>
            <m:sty m:val="p"/>
          </m:rPr>
          <m:t>ln</m:t>
        </m:r>
        <m:sSub>
          <m:e>
            <m:r>
              <m:t>C</m:t>
            </m:r>
          </m:e>
          <m:sub>
            <m:r>
              <m:t>8</m:t>
            </m:r>
          </m:sub>
        </m:sSub>
      </m:oMath>
      <w:r>
        <w:t xml:space="preserve">, and with the tiltmeter the bound is 0.04. A rotation reading at the end bearing T8 adds little, because its sensitivity duplicates that of N8.</w:t>
      </w:r>
    </w:p>
    <w:p>
      <w:pPr>
        <w:pStyle w:val="BodyText"/>
      </w:pPr>
      <w:r>
        <w:t xml:space="preserve">A moving-load test with weighed trucks has been designed for this bridge, and Table 6 gives the predicted values that would decide between the reference calibrations. These are predictions, not results. The ratio of integrals at the side-span and main-span deflection gauges is independent of truck weight and absolute rigidity, and it differs by a factor of 2.3 between calibrations A and B.</w:t>
      </w:r>
    </w:p>
    <w:p>
      <w:pPr>
        <w:pStyle w:val="BodyText"/>
      </w:pPr>
      <w:r>
        <w:rPr>
          <w:bCs/>
          <w:b/>
        </w:rPr>
        <w:t xml:space="preserve">Table 6.</w:t>
      </w:r>
      <w:r>
        <w:t xml:space="preserve"> </w:t>
      </w:r>
      <w:r>
        <w:t xml:space="preserve">Predicted discriminating measurements at Cầu Mây for a 25 t 3-axle truck (not measured).</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3796"/>
        <w:gridCol w:w="2636"/>
        <w:gridCol w:w="2636"/>
      </w:tblGrid>
      <w:tr>
        <w:trPr>
          <w:tblHeader w:val="true"/>
        </w:trPr>
        <w:tc>
          <w:tcPr>
            <w:tcW w:type="dxa" w:w="3796"/>
            <w:tcBorders>
              <w:top w:val="nil"/>
              <w:left w:val="nil"/>
              <w:bottom w:val="single" w:sz="6" w:space="0" w:color="000000"/>
              <w:right w:val="nil"/>
            </w:tcBorders>
          </w:tcPr>
          <w:p>
            <w:pPr>
              <w:pStyle w:val="Compact"/>
              <w:jc w:val="left"/>
            </w:pPr>
            <w:r>
              <w:t xml:space="preserve">Measured quantity</w:t>
            </w:r>
          </w:p>
        </w:tc>
        <w:tc>
          <w:tcPr>
            <w:tcW w:type="dxa" w:w="2636"/>
            <w:tcBorders>
              <w:top w:val="nil"/>
              <w:left w:val="nil"/>
              <w:bottom w:val="single" w:sz="6" w:space="0" w:color="000000"/>
              <w:right w:val="nil"/>
            </w:tcBorders>
          </w:tcPr>
          <w:p>
            <w:pPr>
              <w:pStyle w:val="Compact"/>
              <w:jc w:val="left"/>
            </w:pPr>
            <w:r>
              <w:t xml:space="preserve">Calibration A</w:t>
            </w:r>
          </w:p>
        </w:tc>
        <w:tc>
          <w:tcPr>
            <w:tcW w:type="dxa" w:w="2636"/>
            <w:tcBorders>
              <w:top w:val="nil"/>
              <w:left w:val="nil"/>
              <w:bottom w:val="single" w:sz="6" w:space="0" w:color="000000"/>
              <w:right w:val="nil"/>
            </w:tcBorders>
          </w:tcPr>
          <w:p>
            <w:pPr>
              <w:pStyle w:val="Compact"/>
              <w:jc w:val="left"/>
            </w:pPr>
            <w:r>
              <w:t xml:space="preserve">Calibration B</w:t>
            </w:r>
          </w:p>
        </w:tc>
      </w:tr>
      <w:tr>
        <w:tc>
          <w:tcPr>
            <w:tcW w:type="dxa" w:w="3796"/>
          </w:tcPr>
          <w:p>
            <w:pPr>
              <w:pStyle w:val="Compact"/>
              <w:jc w:val="left"/>
            </w:pPr>
            <w:r>
              <w:t xml:space="preserve">Integral ratio, N8 at 0.4L / N7 at mid-span</w:t>
            </w:r>
          </w:p>
        </w:tc>
        <w:tc>
          <w:tcPr>
            <w:tcW w:type="dxa" w:w="2636"/>
          </w:tcPr>
          <w:p>
            <w:pPr>
              <w:pStyle w:val="Compact"/>
              <w:jc w:val="left"/>
            </w:pPr>
            <w:r>
              <w:t xml:space="preserve">0.121</w:t>
            </w:r>
          </w:p>
        </w:tc>
        <w:tc>
          <w:tcPr>
            <w:tcW w:type="dxa" w:w="2636"/>
          </w:tcPr>
          <w:p>
            <w:pPr>
              <w:pStyle w:val="Compact"/>
              <w:jc w:val="left"/>
            </w:pPr>
            <w:r>
              <w:t xml:space="preserve">0.284</w:t>
            </w:r>
          </w:p>
        </w:tc>
      </w:tr>
      <w:tr>
        <w:tc>
          <w:tcPr>
            <w:tcW w:type="dxa" w:w="3796"/>
          </w:tcPr>
          <w:p>
            <w:pPr>
              <w:pStyle w:val="Compact"/>
              <w:jc w:val="left"/>
            </w:pPr>
            <w:r>
              <w:t xml:space="preserve">Peak girder rotation over pier T7 (µrad)</w:t>
            </w:r>
          </w:p>
        </w:tc>
        <w:tc>
          <w:tcPr>
            <w:tcW w:type="dxa" w:w="2636"/>
          </w:tcPr>
          <w:p>
            <w:pPr>
              <w:pStyle w:val="Compact"/>
              <w:jc w:val="left"/>
            </w:pPr>
            <w:r>
              <w:t xml:space="preserve">−58</w:t>
            </w:r>
          </w:p>
        </w:tc>
        <w:tc>
          <w:tcPr>
            <w:tcW w:type="dxa" w:w="2636"/>
          </w:tcPr>
          <w:p>
            <w:pPr>
              <w:pStyle w:val="Compact"/>
              <w:jc w:val="left"/>
            </w:pPr>
            <w:r>
              <w:t xml:space="preserve">−29</w:t>
            </w:r>
          </w:p>
        </w:tc>
      </w:tr>
      <w:tr>
        <w:tc>
          <w:tcPr>
            <w:tcW w:type="dxa" w:w="3796"/>
          </w:tcPr>
          <w:p>
            <w:pPr>
              <w:pStyle w:val="Compact"/>
              <w:jc w:val="left"/>
            </w:pPr>
            <w:r>
              <w:t xml:space="preserve">Strain integral at the zero-moment point of A (171.3 m) / at gauge N7 (mid main span)</w:t>
            </w:r>
          </w:p>
        </w:tc>
        <w:tc>
          <w:tcPr>
            <w:tcW w:type="dxa" w:w="2636"/>
          </w:tcPr>
          <w:p>
            <w:pPr>
              <w:pStyle w:val="Compact"/>
              <w:jc w:val="left"/>
            </w:pPr>
            <w:r>
              <w:t xml:space="preserve">0.006</w:t>
            </w:r>
          </w:p>
        </w:tc>
        <w:tc>
          <w:tcPr>
            <w:tcW w:type="dxa" w:w="2636"/>
          </w:tcPr>
          <w:p>
            <w:pPr>
              <w:pStyle w:val="Compact"/>
              <w:jc w:val="left"/>
            </w:pPr>
            <w:r>
              <w:t xml:space="preserve">0.17</w:t>
            </w:r>
          </w:p>
        </w:tc>
      </w:tr>
    </w:tbl>
    <w:p>
      <w:pPr>
        <w:pStyle w:val="BodyText"/>
      </w:pPr>
      <w:r>
        <w:t xml:space="preserve">The in-service girder shows that a side-span deflection gauge on a layout near the prismatic blind locus is not identifiable from static acceptance data, whereas a main-span gauge is. One tiltmeter or one integral ratio would discriminate between the reference calibrations.</w:t>
      </w:r>
    </w:p>
    <w:bookmarkEnd w:id="37"/>
    <w:bookmarkEnd w:id="38"/>
    <w:bookmarkStart w:id="39" w:name="error-budget"/>
    <w:p>
      <w:pPr>
        <w:pStyle w:val="Heading2"/>
      </w:pPr>
      <w:r>
        <w:t xml:space="preserve">6. Error budget</w:t>
      </w:r>
    </w:p>
    <w:p>
      <w:pPr>
        <w:pStyle w:val="FirstParagraph"/>
      </w:pPr>
      <w:r>
        <w:t xml:space="preserve">This section states the error terms of the integral estimator with their sensitivities and the values measured or assumed in this paper. The budget is indicative, not an evaluation according to the Guide to the Expression of Uncertainty in Measurement (GUM): several entries are scenario ranges and the correlations between terms are not quantified.</w:t>
      </w:r>
    </w:p>
    <w:p>
      <w:pPr>
        <w:pStyle w:val="BodyText"/>
      </w:pPr>
      <w:r>
        <w:t xml:space="preserve">To first order, the relative error of BPM is the sum of the relative errors of the rigidity, the gain, the speed and the offset term of Eq. (12), plus four times the relative error of the span length. SLM removes the structural terms, because they belong to</w:t>
      </w:r>
      <w:r>
        <w:t xml:space="preserve"> </w:t>
      </w:r>
      <m:oMath>
        <m:r>
          <m:t>C</m:t>
        </m:r>
      </m:oMath>
      <w:r>
        <w:t xml:space="preserve">. Every other term survives as the difference between the target and the reference crossings.</w:t>
      </w:r>
    </w:p>
    <w:p>
      <w:pPr>
        <w:pStyle w:val="BodyText"/>
      </w:pPr>
      <w:r>
        <w:t xml:space="preserve">Speed enters twice. It affects the response itself, and it enters again through its measurement, because the space integral is the time integral times the speed measured at the gauges; a speed error therefore passes one-to-one into the weight. Speed variation over a 605 m crossing was not measured.</w:t>
      </w:r>
    </w:p>
    <w:p>
      <w:pPr>
        <w:pStyle w:val="BodyText"/>
      </w:pPr>
      <w:r>
        <w:t xml:space="preserve">For a constant force moving across the laboratory beam, the quasi-static error is at most about 1 % when the ratio of the crossing time to the fundamental period,</w:t>
      </w:r>
      <w:r>
        <w:t xml:space="preserve"> </w:t>
      </w:r>
      <m:oMath>
        <m:sSub>
          <m:e>
            <m:r>
              <m:t>t</m:t>
            </m:r>
          </m:e>
          <m:sub>
            <m:r>
              <m:rPr>
                <m:sty m:val="p"/>
              </m:rPr>
              <m:t>c</m:t>
            </m:r>
            <m:r>
              <m:rPr>
                <m:sty m:val="p"/>
              </m:rPr>
              <m:t>r</m:t>
            </m:r>
          </m:sub>
        </m:sSub>
        <m:r>
          <m:rPr>
            <m:sty m:val="p"/>
          </m:rPr>
          <m:t>/</m:t>
        </m:r>
        <m:sSub>
          <m:e>
            <m:r>
              <m:t>T</m:t>
            </m:r>
          </m:e>
          <m:sub>
            <m:r>
              <m:t>1</m:t>
            </m:r>
          </m:sub>
        </m:sSub>
      </m:oMath>
      <w:r>
        <w:t xml:space="preserve">, is at least 8, and it exceeds 15 % below 2.5 [51]. This bound omits vehicle–bridge interaction and road roughness.</w:t>
      </w:r>
    </w:p>
    <w:p>
      <w:pPr>
        <w:pStyle w:val="BodyText"/>
      </w:pPr>
      <w:r>
        <w:t xml:space="preserve">Table 7 evaluates Eq. (12) for the Cầu Mây gauges over the admissible set, with</w:t>
      </w:r>
      <w:r>
        <w:t xml:space="preserve"> </w:t>
      </w:r>
      <m:oMath>
        <m:sSub>
          <m:e>
            <m:r>
              <m:t>L</m:t>
            </m:r>
          </m:e>
          <m:sub>
            <m:r>
              <m:rPr>
                <m:sty m:val="p"/>
              </m:rPr>
              <m:t>t</m:t>
            </m:r>
            <m:r>
              <m:rPr>
                <m:sty m:val="p"/>
              </m:rPr>
              <m:t>o</m:t>
            </m:r>
            <m:r>
              <m:rPr>
                <m:sty m:val="p"/>
              </m:rPr>
              <m:t>t</m:t>
            </m:r>
          </m:sub>
        </m:sSub>
        <m:r>
          <m:rPr>
            <m:sty m:val="p"/>
          </m:rPr>
          <m:t>=</m:t>
        </m:r>
        <m:r>
          <m:t>200</m:t>
        </m:r>
      </m:oMath>
      <w:r>
        <w:t xml:space="preserve"> </w:t>
      </w:r>
      <w:r>
        <w:t xml:space="preserve">m and the mean weighed truck of 25.06 t. The smaller offsets in Table 7 are typical of displacement transducers. Absolute deflection on a 90 m span over water would usually come from a non-contact technique, whose residual offset after re-zeroing has to be established on site, since environmental effects act over the same window [52,53].</w:t>
      </w:r>
    </w:p>
    <w:p>
      <w:pPr>
        <w:pStyle w:val="BodyText"/>
      </w:pPr>
      <w:r>
        <w:t xml:space="preserve">The authors’ deflection records from two simply supported bridges (Supplementary Material) showed post-minus-pre level differences of up to 0.23 mm. Linear re-zeroing removes such differences, so this value bounds the drift before re-zeroing, not</w:t>
      </w:r>
      <w:r>
        <w:t xml:space="preserve"> </w:t>
      </w:r>
      <m:oMath>
        <m:sSub>
          <m:e>
            <m:r>
              <m:t>δ</m:t>
            </m:r>
          </m:e>
          <m:sub>
            <m:r>
              <m:t>0</m:t>
            </m:r>
          </m:sub>
        </m:sSub>
      </m:oMath>
      <w:r>
        <w:t xml:space="preserve">.</w:t>
      </w:r>
    </w:p>
    <w:p>
      <w:pPr>
        <w:pStyle w:val="BodyText"/>
      </w:pPr>
      <w:r>
        <w:rPr>
          <w:bCs/>
          <w:b/>
        </w:rPr>
        <w:t xml:space="preserve">Table 7.</w:t>
      </w:r>
      <w:r>
        <w:t xml:space="preserve"> </w:t>
      </w:r>
      <w:r>
        <w:t xml:space="preserve">Bias of a single-channel estimate caused by a residual offset</w:t>
      </w:r>
      <w:r>
        <w:t xml:space="preserve"> </w:t>
      </w:r>
      <m:oMath>
        <m:sSub>
          <m:e>
            <m:r>
              <m:t>δ</m:t>
            </m:r>
          </m:e>
          <m:sub>
            <m:r>
              <m:t>0</m:t>
            </m:r>
          </m:sub>
        </m:sSub>
      </m:oMath>
      <w:r>
        <w:t xml:space="preserve">, Eq. (12), for a 25.06 t truck;</w:t>
      </w:r>
      <w:r>
        <w:t xml:space="preserve"> </w:t>
      </w:r>
      <m:oMath>
        <m:sSub>
          <m:e>
            <m:r>
              <m:t>L</m:t>
            </m:r>
          </m:e>
          <m:sub>
            <m:r>
              <m:rPr>
                <m:sty m:val="p"/>
              </m:rPr>
              <m:t>t</m:t>
            </m:r>
            <m:r>
              <m:rPr>
                <m:sty m:val="p"/>
              </m:rPr>
              <m:t>o</m:t>
            </m:r>
            <m:r>
              <m:rPr>
                <m:sty m:val="p"/>
              </m:rPr>
              <m:t>t</m:t>
            </m:r>
          </m:sub>
        </m:sSub>
      </m:oMath>
      <w:r>
        <w:t xml:space="preserve"> </w:t>
      </w:r>
      <w:r>
        <w:t xml:space="preserve">= 200 m. Ranges over the admissible set (</w:t>
      </w:r>
      <m:oMath>
        <m:r>
          <m:t>τ</m:t>
        </m:r>
      </m:oMath>
      <w:r>
        <w:t xml:space="preserve"> </w:t>
      </w:r>
      <w:r>
        <w:t xml:space="preserve">= 5.3 %).</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1536"/>
        <w:gridCol w:w="1431"/>
        <w:gridCol w:w="1280"/>
        <w:gridCol w:w="1129"/>
        <w:gridCol w:w="1129"/>
        <w:gridCol w:w="1129"/>
        <w:gridCol w:w="1431"/>
      </w:tblGrid>
      <w:tr>
        <w:trPr>
          <w:tblHeader w:val="true"/>
        </w:trPr>
        <w:tc>
          <w:tcPr>
            <w:tcW w:type="dxa" w:w="1536"/>
            <w:tcBorders>
              <w:top w:val="nil"/>
              <w:left w:val="nil"/>
              <w:bottom w:val="single" w:sz="6" w:space="0" w:color="000000"/>
              <w:right w:val="nil"/>
            </w:tcBorders>
          </w:tcPr>
          <w:p>
            <w:pPr>
              <w:pStyle w:val="Compact"/>
              <w:jc w:val="left"/>
            </w:pPr>
            <w:r>
              <w:t xml:space="preserve">Gauge</w:t>
            </w:r>
          </w:p>
        </w:tc>
        <w:tc>
          <w:tcPr>
            <w:tcW w:type="dxa" w:w="1431"/>
            <w:tcBorders>
              <w:top w:val="nil"/>
              <w:left w:val="nil"/>
              <w:bottom w:val="single" w:sz="6" w:space="0" w:color="000000"/>
              <w:right w:val="nil"/>
            </w:tcBorders>
          </w:tcPr>
          <w:p>
            <w:pPr>
              <w:pStyle w:val="Compact"/>
              <w:jc w:val="left"/>
            </w:pPr>
            <m:oMath>
              <m:r>
                <m:t>C</m:t>
              </m:r>
            </m:oMath>
            <w:r>
              <w:t xml:space="preserve"> </w:t>
            </w:r>
            <w:r>
              <w:t xml:space="preserve">(m²/kN)</w:t>
            </w:r>
          </w:p>
        </w:tc>
        <w:tc>
          <w:tcPr>
            <w:tcW w:type="dxa" w:w="1280"/>
            <w:tcBorders>
              <w:top w:val="nil"/>
              <w:left w:val="nil"/>
              <w:bottom w:val="single" w:sz="6" w:space="0" w:color="000000"/>
              <w:right w:val="nil"/>
            </w:tcBorders>
          </w:tcPr>
          <w:p>
            <w:pPr>
              <w:pStyle w:val="Compact"/>
              <w:jc w:val="left"/>
            </w:pPr>
            <w:r>
              <w:t xml:space="preserve">0.02 mm</w:t>
            </w:r>
          </w:p>
        </w:tc>
        <w:tc>
          <w:tcPr>
            <w:tcW w:type="dxa" w:w="1129"/>
            <w:tcBorders>
              <w:top w:val="nil"/>
              <w:left w:val="nil"/>
              <w:bottom w:val="single" w:sz="6" w:space="0" w:color="000000"/>
              <w:right w:val="nil"/>
            </w:tcBorders>
          </w:tcPr>
          <w:p>
            <w:pPr>
              <w:pStyle w:val="Compact"/>
              <w:jc w:val="left"/>
            </w:pPr>
            <w:r>
              <w:t xml:space="preserve">0.05 mm</w:t>
            </w:r>
          </w:p>
        </w:tc>
        <w:tc>
          <w:tcPr>
            <w:tcW w:type="dxa" w:w="1129"/>
            <w:tcBorders>
              <w:top w:val="nil"/>
              <w:left w:val="nil"/>
              <w:bottom w:val="single" w:sz="6" w:space="0" w:color="000000"/>
              <w:right w:val="nil"/>
            </w:tcBorders>
          </w:tcPr>
          <w:p>
            <w:pPr>
              <w:pStyle w:val="Compact"/>
              <w:jc w:val="left"/>
            </w:pPr>
            <w:r>
              <w:t xml:space="preserve">0.1 mm</w:t>
            </w:r>
          </w:p>
        </w:tc>
        <w:tc>
          <w:tcPr>
            <w:tcW w:type="dxa" w:w="1129"/>
            <w:tcBorders>
              <w:top w:val="nil"/>
              <w:left w:val="nil"/>
              <w:bottom w:val="single" w:sz="6" w:space="0" w:color="000000"/>
              <w:right w:val="nil"/>
            </w:tcBorders>
          </w:tcPr>
          <w:p>
            <w:pPr>
              <w:pStyle w:val="Compact"/>
              <w:jc w:val="left"/>
            </w:pPr>
            <w:r>
              <w:t xml:space="preserve">0.2 mm</w:t>
            </w:r>
          </w:p>
        </w:tc>
        <w:tc>
          <w:tcPr>
            <w:tcW w:type="dxa" w:w="1431"/>
            <w:tcBorders>
              <w:top w:val="nil"/>
              <w:left w:val="nil"/>
              <w:bottom w:val="single" w:sz="6" w:space="0" w:color="000000"/>
              <w:right w:val="nil"/>
            </w:tcBorders>
          </w:tcPr>
          <w:p>
            <w:pPr>
              <w:pStyle w:val="Compact"/>
              <w:jc w:val="left"/>
            </w:pPr>
            <w:r>
              <w:t xml:space="preserve">0.5 mm</w:t>
            </w:r>
          </w:p>
        </w:tc>
      </w:tr>
      <w:tr>
        <w:tc>
          <w:tcPr>
            <w:tcW w:type="dxa" w:w="1536"/>
          </w:tcPr>
          <w:p>
            <w:pPr>
              <w:pStyle w:val="Compact"/>
              <w:jc w:val="left"/>
            </w:pPr>
            <w:r>
              <w:t xml:space="preserve">N7, mid main span</w:t>
            </w:r>
          </w:p>
        </w:tc>
        <w:tc>
          <w:tcPr>
            <w:tcW w:type="dxa" w:w="1431"/>
          </w:tcPr>
          <w:p>
            <w:pPr>
              <w:pStyle w:val="Compact"/>
              <w:jc w:val="left"/>
            </w:pPr>
            <w:r>
              <w:t xml:space="preserve">3.3–5.0 × 10⁻⁴</w:t>
            </w:r>
          </w:p>
        </w:tc>
        <w:tc>
          <w:tcPr>
            <w:tcW w:type="dxa" w:w="1280"/>
          </w:tcPr>
          <w:p>
            <w:pPr>
              <w:pStyle w:val="Compact"/>
              <w:jc w:val="left"/>
            </w:pPr>
            <w:r>
              <w:t xml:space="preserve">3.3–5.0 %</w:t>
            </w:r>
          </w:p>
        </w:tc>
        <w:tc>
          <w:tcPr>
            <w:tcW w:type="dxa" w:w="1129"/>
          </w:tcPr>
          <w:p>
            <w:pPr>
              <w:pStyle w:val="Compact"/>
              <w:jc w:val="left"/>
            </w:pPr>
            <w:r>
              <w:t xml:space="preserve">8–12 %</w:t>
            </w:r>
          </w:p>
        </w:tc>
        <w:tc>
          <w:tcPr>
            <w:tcW w:type="dxa" w:w="1129"/>
          </w:tcPr>
          <w:p>
            <w:pPr>
              <w:pStyle w:val="Compact"/>
              <w:jc w:val="left"/>
            </w:pPr>
            <w:r>
              <w:t xml:space="preserve">16–25 %</w:t>
            </w:r>
          </w:p>
        </w:tc>
        <w:tc>
          <w:tcPr>
            <w:tcW w:type="dxa" w:w="1129"/>
          </w:tcPr>
          <w:p>
            <w:pPr>
              <w:pStyle w:val="Compact"/>
              <w:jc w:val="left"/>
            </w:pPr>
            <w:r>
              <w:t xml:space="preserve">33–50 %</w:t>
            </w:r>
          </w:p>
        </w:tc>
        <w:tc>
          <w:tcPr>
            <w:tcW w:type="dxa" w:w="1431"/>
          </w:tcPr>
          <w:p>
            <w:pPr>
              <w:pStyle w:val="Compact"/>
              <w:jc w:val="left"/>
            </w:pPr>
            <w:r>
              <w:t xml:space="preserve">82–124 %</w:t>
            </w:r>
          </w:p>
        </w:tc>
      </w:tr>
      <w:tr>
        <w:tc>
          <w:tcPr>
            <w:tcW w:type="dxa" w:w="1536"/>
          </w:tcPr>
          <w:p>
            <w:pPr>
              <w:pStyle w:val="Compact"/>
              <w:jc w:val="left"/>
            </w:pPr>
            <w:r>
              <w:t xml:space="preserve">N8, 0.4L</w:t>
            </w:r>
          </w:p>
        </w:tc>
        <w:tc>
          <w:tcPr>
            <w:tcW w:type="dxa" w:w="1431"/>
          </w:tcPr>
          <w:p>
            <w:pPr>
              <w:pStyle w:val="Compact"/>
              <w:jc w:val="left"/>
            </w:pPr>
            <w:r>
              <w:t xml:space="preserve">0.30–2.0 × 10⁻⁴</w:t>
            </w:r>
          </w:p>
        </w:tc>
        <w:tc>
          <w:tcPr>
            <w:tcW w:type="dxa" w:w="1280"/>
          </w:tcPr>
          <w:p>
            <w:pPr>
              <w:pStyle w:val="Compact"/>
              <w:jc w:val="left"/>
            </w:pPr>
            <w:r>
              <w:t xml:space="preserve">8–54 %</w:t>
            </w:r>
          </w:p>
        </w:tc>
        <w:tc>
          <w:tcPr>
            <w:tcW w:type="dxa" w:w="1129"/>
          </w:tcPr>
          <w:p>
            <w:pPr>
              <w:pStyle w:val="Compact"/>
              <w:jc w:val="left"/>
            </w:pPr>
            <w:r>
              <w:t xml:space="preserve">21–136 %</w:t>
            </w:r>
          </w:p>
        </w:tc>
        <w:tc>
          <w:tcPr>
            <w:tcW w:type="dxa" w:w="1129"/>
          </w:tcPr>
          <w:p>
            <w:pPr>
              <w:pStyle w:val="Compact"/>
              <w:jc w:val="left"/>
            </w:pPr>
            <w:r>
              <w:t xml:space="preserve">41–271 %</w:t>
            </w:r>
          </w:p>
        </w:tc>
        <w:tc>
          <w:tcPr>
            <w:tcW w:type="dxa" w:w="1129"/>
          </w:tcPr>
          <w:p>
            <w:pPr>
              <w:pStyle w:val="Compact"/>
              <w:jc w:val="left"/>
            </w:pPr>
            <w:r>
              <w:t xml:space="preserve">82–543 %</w:t>
            </w:r>
          </w:p>
        </w:tc>
        <w:tc>
          <w:tcPr>
            <w:tcW w:type="dxa" w:w="1431"/>
          </w:tcPr>
          <w:p>
            <w:pPr>
              <w:pStyle w:val="Compact"/>
              <w:jc w:val="left"/>
            </w:pPr>
            <w:r>
              <w:t xml:space="preserve">206–1356 %</w:t>
            </w:r>
          </w:p>
        </w:tc>
      </w:tr>
    </w:tbl>
    <w:p>
      <w:pPr>
        <w:pStyle w:val="BodyText"/>
      </w:pPr>
      <w:r>
        <w:t xml:space="preserve">At</w:t>
      </w:r>
      <w:r>
        <w:t xml:space="preserve"> </w:t>
      </w:r>
      <m:oMath>
        <m:sSub>
          <m:e>
            <m:r>
              <m:t>δ</m:t>
            </m:r>
          </m:e>
          <m:sub>
            <m:r>
              <m:t>0</m:t>
            </m:r>
          </m:sub>
        </m:sSub>
        <m:r>
          <m:rPr>
            <m:sty m:val="p"/>
          </m:rPr>
          <m:t>=</m:t>
        </m:r>
        <m:r>
          <m:t>0.1</m:t>
        </m:r>
      </m:oMath>
      <w:r>
        <w:t xml:space="preserve"> </w:t>
      </w:r>
      <w:r>
        <w:t xml:space="preserve">mm a single main-span gauge biases a 25 t truck by 16–25 %, and a single side-span gauge by 41–271 %. With present absolute-deflection technology, single-point integral weighing on a long-span girder is therefore marginal even at the best location. The zero-sum pair addresses this term only to the extent that the offset is common-mode during crossings (Section 4.3).</w:t>
      </w:r>
    </w:p>
    <w:p>
      <w:pPr>
        <w:pStyle w:val="BodyText"/>
      </w:pPr>
      <w:r>
        <w:t xml:space="preserve">Transverse position and multiple presence add further terms; Table 8 collects all terms. On the five-span girder the far-lane constant was 0.79 of the near-lane value. At Cầu Mây the readings across one section differ by up to 2.05 mm in the eccentric N7 case, about 13 % of the mean reading.</w:t>
      </w:r>
    </w:p>
    <w:p>
      <w:pPr>
        <w:pStyle w:val="BodyText"/>
      </w:pPr>
      <w:r>
        <w:t xml:space="preserve">Several vehicles on the structure return their combined weight; on the five-span girder the two-truck events gave 0.92 of the prediction. A crossing of the 200 m Cầu Mây unit takes 12.4 s at 60 km/h, and every crossing that overlaps another vehicle in that window must be discarded or treated as a group. The fraction of usable isolated crossings was not quantified.</w:t>
      </w:r>
    </w:p>
    <w:p>
      <w:pPr>
        <w:pStyle w:val="BodyText"/>
      </w:pPr>
      <w:r>
        <w:rPr>
          <w:bCs/>
          <w:b/>
        </w:rPr>
        <w:t xml:space="preserve">Table 8.</w:t>
      </w:r>
      <w:r>
        <w:t xml:space="preserve"> </w:t>
      </w:r>
      <w:r>
        <w:t xml:space="preserve">Indicative sensitivity budget of the integral estimator. Values are those measured or assumed in this paper; they are not combined.</w:t>
      </w:r>
    </w:p>
    <w:tbl>
      <w:tblPr>
        <w:tblStyle w:val="Table"/>
        <w:tblW w:type="pct" w:w="500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2045"/>
        <w:gridCol w:w="2114"/>
        <w:gridCol w:w="2455"/>
        <w:gridCol w:w="2455"/>
      </w:tblGrid>
      <w:tr>
        <w:trPr>
          <w:tblHeader w:val="true"/>
        </w:trPr>
        <w:tc>
          <w:tcPr>
            <w:tcW w:type="dxa" w:w="2045"/>
            <w:tcBorders>
              <w:top w:val="nil"/>
              <w:left w:val="nil"/>
              <w:bottom w:val="single" w:sz="6" w:space="0" w:color="000000"/>
              <w:right w:val="nil"/>
            </w:tcBorders>
          </w:tcPr>
          <w:p>
            <w:pPr>
              <w:pStyle w:val="Compact"/>
              <w:jc w:val="left"/>
            </w:pPr>
            <w:r>
              <w:t xml:space="preserve">Term</w:t>
            </w:r>
          </w:p>
        </w:tc>
        <w:tc>
          <w:tcPr>
            <w:tcW w:type="dxa" w:w="2114"/>
            <w:tcBorders>
              <w:top w:val="nil"/>
              <w:left w:val="nil"/>
              <w:bottom w:val="single" w:sz="6" w:space="0" w:color="000000"/>
              <w:right w:val="nil"/>
            </w:tcBorders>
          </w:tcPr>
          <w:p>
            <w:pPr>
              <w:pStyle w:val="Compact"/>
              <w:jc w:val="left"/>
            </w:pPr>
            <w:r>
              <w:t xml:space="preserve">Sensitivity</w:t>
            </w:r>
          </w:p>
        </w:tc>
        <w:tc>
          <w:tcPr>
            <w:tcW w:type="dxa" w:w="2455"/>
            <w:tcBorders>
              <w:top w:val="nil"/>
              <w:left w:val="nil"/>
              <w:bottom w:val="single" w:sz="6" w:space="0" w:color="000000"/>
              <w:right w:val="nil"/>
            </w:tcBorders>
          </w:tcPr>
          <w:p>
            <w:pPr>
              <w:pStyle w:val="Compact"/>
              <w:jc w:val="left"/>
            </w:pPr>
            <w:r>
              <w:t xml:space="preserve">Cancels in SLM?</w:t>
            </w:r>
          </w:p>
        </w:tc>
        <w:tc>
          <w:tcPr>
            <w:tcW w:type="dxa" w:w="2455"/>
            <w:tcBorders>
              <w:top w:val="nil"/>
              <w:left w:val="nil"/>
              <w:bottom w:val="single" w:sz="6" w:space="0" w:color="000000"/>
              <w:right w:val="nil"/>
            </w:tcBorders>
          </w:tcPr>
          <w:p>
            <w:pPr>
              <w:pStyle w:val="Compact"/>
              <w:jc w:val="left"/>
            </w:pPr>
            <w:r>
              <w:t xml:space="preserve">Value in this paper</w:t>
            </w:r>
          </w:p>
        </w:tc>
      </w:tr>
      <w:tr>
        <w:tc>
          <w:tcPr>
            <w:tcW w:type="dxa" w:w="2045"/>
          </w:tcPr>
          <w:p>
            <w:pPr>
              <w:pStyle w:val="Compact"/>
              <w:jc w:val="left"/>
            </w:pPr>
            <w:r>
              <w:t xml:space="preserve">Flexural rigidity</w:t>
            </w:r>
            <w:r>
              <w:t xml:space="preserve"> </w:t>
            </w:r>
            <m:oMath>
              <m:r>
                <m:t>E</m:t>
              </m:r>
              <m:r>
                <m:t>I</m:t>
              </m:r>
            </m:oMath>
          </w:p>
        </w:tc>
        <w:tc>
          <w:tcPr>
            <w:tcW w:type="dxa" w:w="2114"/>
          </w:tcPr>
          <w:p>
            <w:pPr>
              <w:pStyle w:val="Compact"/>
              <w:jc w:val="left"/>
            </w:pPr>
            <w:r>
              <w:t xml:space="preserve">1</w:t>
            </w:r>
          </w:p>
        </w:tc>
        <w:tc>
          <w:tcPr>
            <w:tcW w:type="dxa" w:w="2455"/>
          </w:tcPr>
          <w:p>
            <w:pPr>
              <w:pStyle w:val="Compact"/>
              <w:jc w:val="left"/>
            </w:pPr>
            <w:r>
              <w:t xml:space="preserve">yes</w:t>
            </w:r>
          </w:p>
        </w:tc>
        <w:tc>
          <w:tcPr>
            <w:tcW w:type="dxa" w:w="2455"/>
          </w:tcPr>
          <w:p>
            <w:pPr>
              <w:pStyle w:val="Compact"/>
              <w:jc w:val="left"/>
            </w:pPr>
            <w:r>
              <w:t xml:space="preserve">BPM only; Cầu Mây N8 constant varies 6.6-fold over the admissible set</w:t>
            </w:r>
          </w:p>
        </w:tc>
      </w:tr>
      <w:tr>
        <w:tc>
          <w:tcPr>
            <w:tcW w:type="dxa" w:w="2045"/>
          </w:tcPr>
          <w:p>
            <w:pPr>
              <w:pStyle w:val="Compact"/>
              <w:jc w:val="left"/>
            </w:pPr>
            <w:r>
              <w:t xml:space="preserve">Span length</w:t>
            </w:r>
          </w:p>
        </w:tc>
        <w:tc>
          <w:tcPr>
            <w:tcW w:type="dxa" w:w="2114"/>
          </w:tcPr>
          <w:p>
            <w:pPr>
              <w:pStyle w:val="Compact"/>
              <w:jc w:val="left"/>
            </w:pPr>
            <w:r>
              <w:t xml:space="preserve">4</w:t>
            </w:r>
          </w:p>
        </w:tc>
        <w:tc>
          <w:tcPr>
            <w:tcW w:type="dxa" w:w="2455"/>
          </w:tcPr>
          <w:p>
            <w:pPr>
              <w:pStyle w:val="Compact"/>
              <w:jc w:val="left"/>
            </w:pPr>
            <w:r>
              <w:t xml:space="preserve">yes</w:t>
            </w:r>
          </w:p>
        </w:tc>
        <w:tc>
          <w:tcPr>
            <w:tcW w:type="dxa" w:w="2455"/>
          </w:tcPr>
          <w:p>
            <w:pPr>
              <w:pStyle w:val="Compact"/>
              <w:jc w:val="left"/>
            </w:pPr>
            <w:r>
              <w:t xml:space="preserve">BPM only</w:t>
            </w:r>
          </w:p>
        </w:tc>
      </w:tr>
      <w:tr>
        <w:tc>
          <w:tcPr>
            <w:tcW w:type="dxa" w:w="2045"/>
          </w:tcPr>
          <w:p>
            <w:pPr>
              <w:pStyle w:val="Compact"/>
              <w:jc w:val="left"/>
            </w:pPr>
            <w:r>
              <w:t xml:space="preserve">Gain</w:t>
            </w:r>
          </w:p>
        </w:tc>
        <w:tc>
          <w:tcPr>
            <w:tcW w:type="dxa" w:w="2114"/>
          </w:tcPr>
          <w:p>
            <w:pPr>
              <w:pStyle w:val="Compact"/>
              <w:jc w:val="left"/>
            </w:pPr>
            <w:r>
              <w:t xml:space="preserve">1</w:t>
            </w:r>
          </w:p>
        </w:tc>
        <w:tc>
          <w:tcPr>
            <w:tcW w:type="dxa" w:w="2455"/>
          </w:tcPr>
          <w:p>
            <w:pPr>
              <w:pStyle w:val="Compact"/>
              <w:jc w:val="left"/>
            </w:pPr>
            <w:r>
              <w:t xml:space="preserve">if not recalibrated between crossings</w:t>
            </w:r>
          </w:p>
        </w:tc>
        <w:tc>
          <w:tcPr>
            <w:tcW w:type="dxa" w:w="2455"/>
          </w:tcPr>
          <w:p>
            <w:pPr>
              <w:pStyle w:val="Compact"/>
              <w:jc w:val="left"/>
            </w:pPr>
            <w:r>
              <w:t xml:space="preserve">not evaluated</w:t>
            </w:r>
          </w:p>
        </w:tc>
      </w:tr>
      <w:tr>
        <w:tc>
          <w:tcPr>
            <w:tcW w:type="dxa" w:w="2045"/>
          </w:tcPr>
          <w:p>
            <w:pPr>
              <w:pStyle w:val="Compact"/>
              <w:jc w:val="left"/>
            </w:pPr>
            <w:r>
              <w:t xml:space="preserve">Reference weighing</w:t>
            </w:r>
            <w:r>
              <w:t xml:space="preserve"> </w:t>
            </w:r>
            <m:oMath>
              <m:sSub>
                <m:e>
                  <m:r>
                    <m:t>P</m:t>
                  </m:r>
                </m:e>
                <m:sub>
                  <m:r>
                    <m:t>0</m:t>
                  </m:r>
                </m:sub>
              </m:sSub>
            </m:oMath>
          </w:p>
        </w:tc>
        <w:tc>
          <w:tcPr>
            <w:tcW w:type="dxa" w:w="2114"/>
          </w:tcPr>
          <w:p>
            <w:pPr>
              <w:pStyle w:val="Compact"/>
              <w:jc w:val="left"/>
            </w:pPr>
            <w:r>
              <w:t xml:space="preserve">1</w:t>
            </w:r>
          </w:p>
        </w:tc>
        <w:tc>
          <w:tcPr>
            <w:tcW w:type="dxa" w:w="2455"/>
          </w:tcPr>
          <w:p>
            <w:pPr>
              <w:pStyle w:val="Compact"/>
              <w:jc w:val="left"/>
            </w:pPr>
            <w:r>
              <w:t xml:space="preserve">no</w:t>
            </w:r>
          </w:p>
        </w:tc>
        <w:tc>
          <w:tcPr>
            <w:tcW w:type="dxa" w:w="2455"/>
          </w:tcPr>
          <w:p>
            <w:pPr>
              <w:pStyle w:val="Compact"/>
              <w:jc w:val="left"/>
            </w:pPr>
            <w:r>
              <w:t xml:space="preserve">laboratory: accuracy class [NEED VALUE]; field: day-1 weights driver-reported</w:t>
            </w:r>
          </w:p>
        </w:tc>
      </w:tr>
      <w:tr>
        <w:tc>
          <w:tcPr>
            <w:tcW w:type="dxa" w:w="2045"/>
          </w:tcPr>
          <w:p>
            <w:pPr>
              <w:pStyle w:val="Compact"/>
              <w:jc w:val="left"/>
            </w:pPr>
            <w:r>
              <w:t xml:space="preserve">Residual offset, drift</w:t>
            </w:r>
            <w:r>
              <w:t xml:space="preserve"> </w:t>
            </w:r>
            <m:oMath>
              <m:sSub>
                <m:e>
                  <m:r>
                    <m:t>δ</m:t>
                  </m:r>
                </m:e>
                <m:sub>
                  <m:r>
                    <m:t>0</m:t>
                  </m:r>
                </m:sub>
              </m:sSub>
            </m:oMath>
          </w:p>
        </w:tc>
        <w:tc>
          <w:tcPr>
            <w:tcW w:type="dxa" w:w="2114"/>
          </w:tcPr>
          <w:p>
            <w:pPr>
              <w:pStyle w:val="Compact"/>
              <w:jc w:val="left"/>
            </w:pPr>
            <m:oMath>
              <m:sSub>
                <m:e>
                  <m:r>
                    <m:t>L</m:t>
                  </m:r>
                </m:e>
                <m:sub>
                  <m:r>
                    <m:rPr>
                      <m:sty m:val="p"/>
                    </m:rPr>
                    <m:t>t</m:t>
                  </m:r>
                  <m:r>
                    <m:rPr>
                      <m:sty m:val="p"/>
                    </m:rPr>
                    <m:t>o</m:t>
                  </m:r>
                  <m:r>
                    <m:rPr>
                      <m:sty m:val="p"/>
                    </m:rPr>
                    <m:t>t</m:t>
                  </m:r>
                </m:sub>
              </m:sSub>
              <m:r>
                <m:rPr>
                  <m:sty m:val="p"/>
                </m:rPr>
                <m:t>/</m:t>
              </m:r>
              <m:r>
                <m:t>J</m:t>
              </m:r>
            </m:oMath>
            <w:r>
              <w:t xml:space="preserve"> </w:t>
            </w:r>
            <w:r>
              <w:t xml:space="preserve">per unit offset</w:t>
            </w:r>
          </w:p>
        </w:tc>
        <w:tc>
          <w:tcPr>
            <w:tcW w:type="dxa" w:w="2455"/>
          </w:tcPr>
          <w:p>
            <w:pPr>
              <w:pStyle w:val="Compact"/>
              <w:jc w:val="left"/>
            </w:pPr>
            <w:r>
              <w:t xml:space="preserve">only if common-mode during crossings</w:t>
            </w:r>
          </w:p>
        </w:tc>
        <w:tc>
          <w:tcPr>
            <w:tcW w:type="dxa" w:w="2455"/>
          </w:tcPr>
          <w:p>
            <w:pPr>
              <w:pStyle w:val="Compact"/>
              <w:jc w:val="left"/>
            </w:pPr>
            <w:r>
              <w:t xml:space="preserve">Table 7; field per-crossing SD of the gauge average predicted 19.8 % (day 2), 5.3 % (day 1)</w:t>
            </w:r>
          </w:p>
        </w:tc>
      </w:tr>
      <w:tr>
        <w:tc>
          <w:tcPr>
            <w:tcW w:type="dxa" w:w="2045"/>
          </w:tcPr>
          <w:p>
            <w:pPr>
              <w:pStyle w:val="Compact"/>
              <w:jc w:val="left"/>
            </w:pPr>
            <w:r>
              <w:t xml:space="preserve">Speed effect</w:t>
            </w:r>
          </w:p>
        </w:tc>
        <w:tc>
          <w:tcPr>
            <w:tcW w:type="dxa" w:w="2114"/>
          </w:tcPr>
          <w:p>
            <w:pPr>
              <w:pStyle w:val="Compact"/>
              <w:jc w:val="left"/>
            </w:pPr>
            <w:r>
              <w:t xml:space="preserve">1</w:t>
            </w:r>
          </w:p>
        </w:tc>
        <w:tc>
          <w:tcPr>
            <w:tcW w:type="dxa" w:w="2455"/>
          </w:tcPr>
          <w:p>
            <w:pPr>
              <w:pStyle w:val="Compact"/>
              <w:jc w:val="left"/>
            </w:pPr>
            <w:r>
              <w:t xml:space="preserve">no</w:t>
            </w:r>
          </w:p>
        </w:tc>
        <w:tc>
          <w:tcPr>
            <w:tcW w:type="dxa" w:w="2455"/>
          </w:tcPr>
          <w:p>
            <w:pPr>
              <w:pStyle w:val="Compact"/>
              <w:jc w:val="left"/>
            </w:pPr>
            <w:r>
              <w:t xml:space="preserve">day 2: +6 % per 10 m/s (95 % CI −23 to +35 %), not resolved</w:t>
            </w:r>
          </w:p>
        </w:tc>
      </w:tr>
      <w:tr>
        <w:tc>
          <w:tcPr>
            <w:tcW w:type="dxa" w:w="2045"/>
          </w:tcPr>
          <w:p>
            <w:pPr>
              <w:pStyle w:val="Compact"/>
              <w:jc w:val="left"/>
            </w:pPr>
            <w:r>
              <w:t xml:space="preserve">Speed measurement</w:t>
            </w:r>
          </w:p>
        </w:tc>
        <w:tc>
          <w:tcPr>
            <w:tcW w:type="dxa" w:w="2114"/>
          </w:tcPr>
          <w:p>
            <w:pPr>
              <w:pStyle w:val="Compact"/>
              <w:jc w:val="left"/>
            </w:pPr>
            <w:r>
              <w:t xml:space="preserve">1</w:t>
            </w:r>
          </w:p>
        </w:tc>
        <w:tc>
          <w:tcPr>
            <w:tcW w:type="dxa" w:w="2455"/>
          </w:tcPr>
          <w:p>
            <w:pPr>
              <w:pStyle w:val="Compact"/>
              <w:jc w:val="left"/>
            </w:pPr>
            <w:r>
              <w:t xml:space="preserve">no</w:t>
            </w:r>
          </w:p>
        </w:tc>
        <w:tc>
          <w:tcPr>
            <w:tcW w:type="dxa" w:w="2455"/>
          </w:tcPr>
          <w:p>
            <w:pPr>
              <w:pStyle w:val="Compact"/>
              <w:jc w:val="left"/>
            </w:pPr>
            <w:r>
              <w:t xml:space="preserve">not evaluated beyond 1–2 % agreement with the dataset speeds</w:t>
            </w:r>
          </w:p>
        </w:tc>
      </w:tr>
      <w:tr>
        <w:tc>
          <w:tcPr>
            <w:tcW w:type="dxa" w:w="2045"/>
          </w:tcPr>
          <w:p>
            <w:pPr>
              <w:pStyle w:val="Compact"/>
              <w:jc w:val="left"/>
            </w:pPr>
            <w:r>
              <w:t xml:space="preserve">Dynamics</w:t>
            </w:r>
          </w:p>
        </w:tc>
        <w:tc>
          <w:tcPr>
            <w:tcW w:type="dxa" w:w="2114"/>
          </w:tcPr>
          <w:p>
            <w:pPr>
              <w:pStyle w:val="Compact"/>
              <w:jc w:val="left"/>
            </w:pPr>
            <w:r>
              <w:t xml:space="preserve">1</w:t>
            </w:r>
          </w:p>
        </w:tc>
        <w:tc>
          <w:tcPr>
            <w:tcW w:type="dxa" w:w="2455"/>
          </w:tcPr>
          <w:p>
            <w:pPr>
              <w:pStyle w:val="Compact"/>
              <w:jc w:val="left"/>
            </w:pPr>
            <w:r>
              <w:t xml:space="preserve">partly</w:t>
            </w:r>
          </w:p>
        </w:tc>
        <w:tc>
          <w:tcPr>
            <w:tcW w:type="dxa" w:w="2455"/>
          </w:tcPr>
          <w:p>
            <w:pPr>
              <w:pStyle w:val="Compact"/>
              <w:jc w:val="left"/>
            </w:pPr>
            <w:r>
              <w:t xml:space="preserve">≤ 1 % for</w:t>
            </w:r>
            <w:r>
              <w:t xml:space="preserve"> </w:t>
            </w:r>
            <m:oMath>
              <m:sSub>
                <m:e>
                  <m:r>
                    <m:t>t</m:t>
                  </m:r>
                </m:e>
                <m:sub>
                  <m:r>
                    <m:rPr>
                      <m:sty m:val="p"/>
                    </m:rPr>
                    <m:t>c</m:t>
                  </m:r>
                  <m:r>
                    <m:rPr>
                      <m:sty m:val="p"/>
                    </m:rPr>
                    <m:t>r</m:t>
                  </m:r>
                </m:sub>
              </m:sSub>
              <m:r>
                <m:rPr>
                  <m:sty m:val="p"/>
                </m:rPr>
                <m:t>/</m:t>
              </m:r>
              <m:sSub>
                <m:e>
                  <m:r>
                    <m:t>T</m:t>
                  </m:r>
                </m:e>
                <m:sub>
                  <m:r>
                    <m:t>1</m:t>
                  </m:r>
                </m:sub>
              </m:sSub>
              <m:r>
                <m:rPr>
                  <m:sty m:val="p"/>
                </m:rPr>
                <m:t>≥</m:t>
              </m:r>
              <m:r>
                <m:t>8</m:t>
              </m:r>
            </m:oMath>
            <w:r>
              <w:t xml:space="preserve"> </w:t>
            </w:r>
            <w:r>
              <w:t xml:space="preserve">(constant force)</w:t>
            </w:r>
          </w:p>
        </w:tc>
      </w:tr>
      <w:tr>
        <w:tc>
          <w:tcPr>
            <w:tcW w:type="dxa" w:w="2045"/>
          </w:tcPr>
          <w:p>
            <w:pPr>
              <w:pStyle w:val="Compact"/>
              <w:jc w:val="left"/>
            </w:pPr>
            <w:r>
              <w:t xml:space="preserve">Transverse position</w:t>
            </w:r>
          </w:p>
        </w:tc>
        <w:tc>
          <w:tcPr>
            <w:tcW w:type="dxa" w:w="2114"/>
          </w:tcPr>
          <w:p>
            <w:pPr>
              <w:pStyle w:val="Compact"/>
              <w:jc w:val="left"/>
            </w:pPr>
            <w:r>
              <w:t xml:space="preserve">lane-dependent</w:t>
            </w:r>
            <w:r>
              <w:t xml:space="preserve"> </w:t>
            </w:r>
            <m:oMath>
              <m:r>
                <m:t>C</m:t>
              </m:r>
            </m:oMath>
          </w:p>
        </w:tc>
        <w:tc>
          <w:tcPr>
            <w:tcW w:type="dxa" w:w="2455"/>
          </w:tcPr>
          <w:p>
            <w:pPr>
              <w:pStyle w:val="Compact"/>
              <w:jc w:val="left"/>
            </w:pPr>
            <w:r>
              <w:t xml:space="preserve">no, unless lane-specific</w:t>
            </w:r>
          </w:p>
        </w:tc>
        <w:tc>
          <w:tcPr>
            <w:tcW w:type="dxa" w:w="2455"/>
          </w:tcPr>
          <w:p>
            <w:pPr>
              <w:pStyle w:val="Compact"/>
              <w:jc w:val="left"/>
            </w:pPr>
            <w:r>
              <w:t xml:space="preserve">field lane ratio 0.79; Cầu Mây range 2.05 mm across a section</w:t>
            </w:r>
          </w:p>
        </w:tc>
      </w:tr>
      <w:tr>
        <w:tc>
          <w:tcPr>
            <w:tcW w:type="dxa" w:w="2045"/>
          </w:tcPr>
          <w:p>
            <w:pPr>
              <w:pStyle w:val="Compact"/>
              <w:jc w:val="left"/>
            </w:pPr>
            <w:r>
              <w:t xml:space="preserve">Multiple presence</w:t>
            </w:r>
          </w:p>
        </w:tc>
        <w:tc>
          <w:tcPr>
            <w:tcW w:type="dxa" w:w="2114"/>
          </w:tcPr>
          <w:p>
            <w:pPr>
              <w:pStyle w:val="Compact"/>
              <w:jc w:val="left"/>
            </w:pPr>
            <w:r>
              <w:t xml:space="preserve">group weight</w:t>
            </w:r>
          </w:p>
        </w:tc>
        <w:tc>
          <w:tcPr>
            <w:tcW w:type="dxa" w:w="2455"/>
          </w:tcPr>
          <w:p>
            <w:pPr>
              <w:pStyle w:val="Compact"/>
              <w:jc w:val="left"/>
            </w:pPr>
            <w:r>
              <w:t xml:space="preserve">–</w:t>
            </w:r>
          </w:p>
        </w:tc>
        <w:tc>
          <w:tcPr>
            <w:tcW w:type="dxa" w:w="2455"/>
          </w:tcPr>
          <w:p>
            <w:pPr>
              <w:pStyle w:val="Compact"/>
              <w:jc w:val="left"/>
            </w:pPr>
            <w:r>
              <w:t xml:space="preserve">two-truck events 0.92 of prediction</w:t>
            </w:r>
          </w:p>
        </w:tc>
      </w:tr>
      <w:tr>
        <w:tc>
          <w:tcPr>
            <w:tcW w:type="dxa" w:w="2045"/>
          </w:tcPr>
          <w:p>
            <w:pPr>
              <w:pStyle w:val="Compact"/>
              <w:jc w:val="left"/>
            </w:pPr>
            <w:r>
              <w:t xml:space="preserve">Linearity, seating</w:t>
            </w:r>
          </w:p>
        </w:tc>
        <w:tc>
          <w:tcPr>
            <w:tcW w:type="dxa" w:w="2114"/>
          </w:tcPr>
          <w:p>
            <w:pPr>
              <w:pStyle w:val="Compact"/>
              <w:jc w:val="left"/>
            </w:pPr>
            <w:r>
              <w:t xml:space="preserve">1</w:t>
            </w:r>
          </w:p>
        </w:tc>
        <w:tc>
          <w:tcPr>
            <w:tcW w:type="dxa" w:w="2455"/>
          </w:tcPr>
          <w:p>
            <w:pPr>
              <w:pStyle w:val="Compact"/>
              <w:jc w:val="left"/>
            </w:pPr>
            <w:r>
              <w:t xml:space="preserve">no</w:t>
            </w:r>
          </w:p>
        </w:tc>
        <w:tc>
          <w:tcPr>
            <w:tcW w:type="dxa" w:w="2455"/>
          </w:tcPr>
          <w:p>
            <w:pPr>
              <w:pStyle w:val="Compact"/>
              <w:jc w:val="left"/>
            </w:pPr>
            <w:r>
              <w:t xml:space="preserve">laboratory integral ratio 1.010 → 1.017</w:t>
            </w:r>
          </w:p>
        </w:tc>
      </w:tr>
    </w:tbl>
    <w:p>
      <w:pPr>
        <w:pStyle w:val="BodyText"/>
      </w:pPr>
      <w:r>
        <w:t xml:space="preserve">In the laboratory, the reference record and the load-dependent growth of the integral ratio cause the SLM deviations of 0.6–0.7 %. In the field, the noise, the lane and the gauge position dominate, and the weight errors of single crossings, 5–12 % on these records, exceed the spread of the reference weights.</w:t>
      </w:r>
    </w:p>
    <w:p>
      <w:pPr>
        <w:pStyle w:val="BodyText"/>
      </w:pPr>
      <w:r>
        <w:t xml:space="preserve">The method is therefore proposed for preliminary overload screening, with the decision threshold set with a margin below the legal limit and the design live loads [54,55]. Setting that threshold needs field calibration with trucks of clearly different weights, which this study did not have.</w:t>
      </w:r>
    </w:p>
    <w:bookmarkEnd w:id="39"/>
    <w:bookmarkStart w:id="40" w:name="design-workflow-and-limitations"/>
    <w:p>
      <w:pPr>
        <w:pStyle w:val="Heading2"/>
      </w:pPr>
      <w:r>
        <w:t xml:space="preserve">7. Design workflow and limitations</w:t>
      </w:r>
    </w:p>
    <w:p>
      <w:pPr>
        <w:pStyle w:val="FirstParagraph"/>
      </w:pPr>
      <w:r>
        <w:t xml:space="preserve">The results combine into a procedure for designing load-monitoring channels on a continuous girder before installation.</w:t>
      </w:r>
    </w:p>
    <w:p>
      <w:pPr>
        <w:numPr>
          <w:ilvl w:val="0"/>
          <w:numId w:val="1002"/>
        </w:numPr>
        <w:pStyle w:val="BodyText"/>
      </w:pPr>
      <w:r>
        <w:rPr>
          <w:bCs/>
          <w:b/>
        </w:rPr>
        <w:t xml:space="preserve">Constants.</w:t>
      </w:r>
      <w:r>
        <w:t xml:space="preserve"> </w:t>
      </w:r>
      <w:r>
        <w:t xml:space="preserve">For each candidate channel and position, compute</w:t>
      </w:r>
      <w:r>
        <w:t xml:space="preserve"> </w:t>
      </w:r>
      <m:oMath>
        <m:r>
          <m:t>C</m:t>
        </m:r>
      </m:oMath>
      <w:r>
        <w:t xml:space="preserve"> </w:t>
      </w:r>
      <w:r>
        <w:t xml:space="preserve">from one static analysis under a uniform unit load on each lane, Eq. (2). Use Eqs. (4)–(9) for prismatic two- and three-span beams.</w:t>
      </w:r>
    </w:p>
    <w:p>
      <w:pPr>
        <w:numPr>
          <w:ilvl w:val="0"/>
          <w:numId w:val="1002"/>
        </w:numPr>
        <w:pStyle w:val="BodyText"/>
      </w:pPr>
      <w:r>
        <w:rPr>
          <w:bCs/>
          <w:b/>
        </w:rPr>
        <w:t xml:space="preserve">Blindness.</w:t>
      </w:r>
      <w:r>
        <w:t xml:space="preserve"> </w:t>
      </w:r>
      <w:r>
        <w:t xml:space="preserve">Locate the blind loci of Table 1. Keep strain gauges out of the near-blind band</w:t>
      </w:r>
      <w:r>
        <w:t xml:space="preserve"> </w:t>
      </w:r>
      <m:oMath>
        <m:d>
          <m:dPr>
            <m:begChr m:val="|"/>
            <m:endChr m:val="|"/>
            <m:sepChr m:val=""/>
            <m:grow/>
          </m:dPr>
          <m:e>
            <m:sSub>
              <m:e>
                <m:r>
                  <m:t>N</m:t>
                </m:r>
              </m:e>
              <m:sub>
                <m:r>
                  <m:t>M</m:t>
                </m:r>
              </m:sub>
            </m:sSub>
          </m:e>
        </m:d>
        <m:r>
          <m:rPr>
            <m:sty m:val="p"/>
          </m:rPr>
          <m:t>&lt;</m:t>
        </m:r>
        <m:r>
          <m:t>0.2</m:t>
        </m:r>
      </m:oMath>
      <w:r>
        <w:t xml:space="preserve"> </w:t>
      </w:r>
      <w:r>
        <w:t xml:space="preserve">around every zero-moment point, including gauges set back from a pier. Keep deflection gauges out of the near-blind bands</w:t>
      </w:r>
      <w:r>
        <w:t xml:space="preserve"> </w:t>
      </w:r>
      <m:oMath>
        <m:d>
          <m:dPr>
            <m:begChr m:val="|"/>
            <m:endChr m:val="|"/>
            <m:sepChr m:val=""/>
            <m:grow/>
          </m:dPr>
          <m:e>
            <m:sSub>
              <m:e>
                <m:r>
                  <m:t>N</m:t>
                </m:r>
              </m:e>
              <m:sub>
                <m:r>
                  <m:t>w</m:t>
                </m:r>
              </m:sub>
            </m:sSub>
          </m:e>
        </m:d>
        <m:r>
          <m:rPr>
            <m:sty m:val="p"/>
          </m:rPr>
          <m:t>&lt;</m:t>
        </m:r>
        <m:r>
          <m:t>0.2</m:t>
        </m:r>
      </m:oMath>
      <w:r>
        <w:t xml:space="preserve">, for example</w:t>
      </w:r>
      <w:r>
        <w:t xml:space="preserve"> </w:t>
      </w:r>
      <m:oMath>
        <m:r>
          <m:t>1.385</m:t>
        </m:r>
        <m:r>
          <m:rPr>
            <m:sty m:val="p"/>
          </m:rPr>
          <m:t>&lt;</m:t>
        </m:r>
        <m:r>
          <m:t>λ</m:t>
        </m:r>
        <m:r>
          <m:rPr>
            <m:sty m:val="p"/>
          </m:rPr>
          <m:t>&lt;</m:t>
        </m:r>
        <m:r>
          <m:t>1.525</m:t>
        </m:r>
      </m:oMath>
      <w:r>
        <w:t xml:space="preserve"> </w:t>
      </w:r>
      <w:r>
        <w:t xml:space="preserve">for a mid-span gauge on two spans and</w:t>
      </w:r>
      <w:r>
        <w:t xml:space="preserve"> </w:t>
      </w:r>
      <m:oMath>
        <m:r>
          <m:t>1.621</m:t>
        </m:r>
        <m:r>
          <m:rPr>
            <m:sty m:val="p"/>
          </m:rPr>
          <m:t>&lt;</m:t>
        </m:r>
        <m:r>
          <m:t>β</m:t>
        </m:r>
        <m:r>
          <m:rPr>
            <m:sty m:val="p"/>
          </m:rPr>
          <m:t>&lt;</m:t>
        </m:r>
        <m:r>
          <m:t>1.775</m:t>
        </m:r>
      </m:oMath>
      <w:r>
        <w:t xml:space="preserve"> </w:t>
      </w:r>
      <w:r>
        <w:t xml:space="preserve">for a mid side-span gauge on three spans.</w:t>
      </w:r>
    </w:p>
    <w:p>
      <w:pPr>
        <w:numPr>
          <w:ilvl w:val="0"/>
          <w:numId w:val="1002"/>
        </w:numPr>
        <w:pStyle w:val="BodyText"/>
      </w:pPr>
      <w:r>
        <w:rPr>
          <w:bCs/>
          <w:b/>
        </w:rPr>
        <w:t xml:space="preserve">Conditioning.</w:t>
      </w:r>
      <w:r>
        <w:t xml:space="preserve"> </w:t>
      </w:r>
      <w:r>
        <w:t xml:space="preserve">Report</w:t>
      </w:r>
      <w:r>
        <w:t xml:space="preserve"> </w:t>
      </w:r>
      <m:oMath>
        <m:sSub>
          <m:e>
            <m:r>
              <m:t>N</m:t>
            </m:r>
          </m:e>
          <m:sub>
            <m:r>
              <m:t>M</m:t>
            </m:r>
          </m:sub>
        </m:sSub>
      </m:oMath>
      <w:r>
        <w:t xml:space="preserve"> </w:t>
      </w:r>
      <w:r>
        <w:t xml:space="preserve">for strain,</w:t>
      </w:r>
      <w:r>
        <w:t xml:space="preserve"> </w:t>
      </w:r>
      <m:oMath>
        <m:sSub>
          <m:e>
            <m:r>
              <m:t>N</m:t>
            </m:r>
          </m:e>
          <m:sub>
            <m:r>
              <m:t>w</m:t>
            </m:r>
          </m:sub>
        </m:sSub>
      </m:oMath>
      <w:r>
        <w:t xml:space="preserve"> </w:t>
      </w:r>
      <w:r>
        <w:t xml:space="preserve">with its</w:t>
      </w:r>
      <w:r>
        <w:t xml:space="preserve"> </w:t>
      </w:r>
      <m:oMath>
        <m:r>
          <m:t>E</m:t>
        </m:r>
        <m:sSub>
          <m:e>
            <m:r>
              <m:t>I</m:t>
            </m:r>
          </m:e>
          <m:sub>
            <m:r>
              <m:rPr>
                <m:sty m:val="p"/>
              </m:rPr>
              <m:t>r</m:t>
            </m:r>
            <m:r>
              <m:rPr>
                <m:sty m:val="p"/>
              </m:rPr>
              <m:t>e</m:t>
            </m:r>
            <m:r>
              <m:rPr>
                <m:sty m:val="p"/>
              </m:rPr>
              <m:t>f</m:t>
            </m:r>
          </m:sub>
        </m:sSub>
      </m:oMath>
      <w:r>
        <w:t xml:space="preserve"> </w:t>
      </w:r>
      <w:r>
        <w:t xml:space="preserve">for deflection (or the absolute constant), and</w:t>
      </w:r>
      <w:r>
        <w:t xml:space="preserve"> </w:t>
      </w:r>
      <m:oMath>
        <m:r>
          <m:t>R</m:t>
        </m:r>
      </m:oMath>
      <w:r>
        <w:t xml:space="preserve"> </w:t>
      </w:r>
      <w:r>
        <w:t xml:space="preserve">for both. A small indicator with</w:t>
      </w:r>
      <w:r>
        <w:t xml:space="preserve"> </w:t>
      </w:r>
      <m:oMath>
        <m:r>
          <m:t>R</m:t>
        </m:r>
      </m:oMath>
      <w:r>
        <w:t xml:space="preserve"> </w:t>
      </w:r>
      <w:r>
        <w:t xml:space="preserve">near 1 is restraint, not cancellation.</w:t>
      </w:r>
    </w:p>
    <w:p>
      <w:pPr>
        <w:numPr>
          <w:ilvl w:val="0"/>
          <w:numId w:val="1002"/>
        </w:numPr>
        <w:pStyle w:val="BodyText"/>
      </w:pPr>
      <w:r>
        <w:rPr>
          <w:bCs/>
          <w:b/>
        </w:rPr>
        <w:t xml:space="preserve">Boundary robustness.</w:t>
      </w:r>
      <w:r>
        <w:t xml:space="preserve"> </w:t>
      </w:r>
      <w:r>
        <w:t xml:space="preserve">Evaluate</w:t>
      </w:r>
      <w:r>
        <w:t xml:space="preserve"> </w:t>
      </w:r>
      <m:oMath>
        <m:r>
          <m:t>C</m:t>
        </m:r>
      </m:oMath>
      <w:r>
        <w:t xml:space="preserve"> </w:t>
      </w:r>
      <w:r>
        <w:t xml:space="preserve">over the plausible range of pier stiffness; for a symmetric girder, Eq. (15) gives the whole curve from the pinned and fixed constants. Avoid locations with large</w:t>
      </w:r>
      <w:r>
        <w:t xml:space="preserve"> </w:t>
      </w:r>
      <m:oMath>
        <m:sSub>
          <m:e>
            <m:r>
              <m:t>C</m:t>
            </m:r>
          </m:e>
          <m:sub>
            <m:r>
              <m:rPr>
                <m:sty m:val="p"/>
              </m:rPr>
              <m:t>∞</m:t>
            </m:r>
          </m:sub>
        </m:sSub>
        <m:r>
          <m:rPr>
            <m:sty m:val="p"/>
          </m:rPr>
          <m:t>/</m:t>
        </m:r>
        <m:sSub>
          <m:e>
            <m:r>
              <m:t>C</m:t>
            </m:r>
          </m:e>
          <m:sub>
            <m:r>
              <m:t>0</m:t>
            </m:r>
          </m:sub>
        </m:sSub>
      </m:oMath>
      <w:r>
        <w:t xml:space="preserve"> </w:t>
      </w:r>
      <w:r>
        <w:t xml:space="preserve">or</w:t>
      </w:r>
      <w:r>
        <w:t xml:space="preserve"> </w:t>
      </w:r>
      <m:oMath>
        <m:sSub>
          <m:e>
            <m:r>
              <m:t>B</m:t>
            </m:r>
          </m:e>
          <m:sub>
            <m:r>
              <m:t>m</m:t>
            </m:r>
          </m:sub>
        </m:sSub>
      </m:oMath>
      <w:r>
        <w:t xml:space="preserve">, or plan the measurement that identifies</w:t>
      </w:r>
      <w:r>
        <w:t xml:space="preserve"> </w:t>
      </w:r>
      <m:oMath>
        <m:r>
          <m:t>κ</m:t>
        </m:r>
      </m:oMath>
      <w:r>
        <w:t xml:space="preserve">: a tiltmeter on a monolithic pier, an identified first frequency, or an integral ratio between two gauges.</w:t>
      </w:r>
    </w:p>
    <w:p>
      <w:pPr>
        <w:numPr>
          <w:ilvl w:val="0"/>
          <w:numId w:val="1002"/>
        </w:numPr>
        <w:pStyle w:val="BodyText"/>
      </w:pPr>
      <w:r>
        <w:rPr>
          <w:bCs/>
          <w:b/>
        </w:rPr>
        <w:t xml:space="preserve">Placement.</w:t>
      </w:r>
      <w:r>
        <w:t xml:space="preserve"> </w:t>
      </w:r>
      <w:r>
        <w:t xml:space="preserve">Place sensors at the extremes of</w:t>
      </w:r>
      <w:r>
        <w:t xml:space="preserve"> </w:t>
      </w:r>
      <m:oMath>
        <m:r>
          <m:t>C</m:t>
        </m:r>
        <m:d>
          <m:dPr>
            <m:begChr m:val="("/>
            <m:endChr m:val=")"/>
            <m:sepChr m:val=""/>
            <m:grow/>
          </m:dPr>
          <m:e>
            <m:r>
              <m:t>x</m:t>
            </m:r>
          </m:e>
        </m:d>
      </m:oMath>
      <w:r>
        <w:t xml:space="preserve"> </w:t>
      </w:r>
      <w:r>
        <w:t xml:space="preserve">of each channel type:</w:t>
      </w:r>
      <w:r>
        <w:t xml:space="preserve"> </w:t>
      </w:r>
      <m:oMath>
        <m:sSub>
          <m:e>
            <m:r>
              <m:t>w</m:t>
            </m:r>
          </m:e>
          <m:sub>
            <m:r>
              <m:t>q</m:t>
            </m:r>
          </m:sub>
        </m:sSub>
      </m:oMath>
      <w:r>
        <w:t xml:space="preserve"> </w:t>
      </w:r>
      <w:r>
        <w:t xml:space="preserve">for deflection and</w:t>
      </w:r>
      <w:r>
        <w:t xml:space="preserve"> </w:t>
      </w:r>
      <m:oMath>
        <m:r>
          <m:t>c</m:t>
        </m:r>
        <m:sSub>
          <m:e>
            <m:r>
              <m:t>M</m:t>
            </m:r>
          </m:e>
          <m:sub>
            <m:r>
              <m:t>q</m:t>
            </m:r>
          </m:sub>
        </m:sSub>
        <m:r>
          <m:rPr>
            <m:sty m:val="p"/>
          </m:rPr>
          <m:t>/</m:t>
        </m:r>
        <m:r>
          <m:t>E</m:t>
        </m:r>
        <m:r>
          <m:t>I</m:t>
        </m:r>
      </m:oMath>
      <w:r>
        <w:t xml:space="preserve"> </w:t>
      </w:r>
      <w:r>
        <w:t xml:space="preserve">for strain.</w:t>
      </w:r>
    </w:p>
    <w:p>
      <w:pPr>
        <w:numPr>
          <w:ilvl w:val="0"/>
          <w:numId w:val="1002"/>
        </w:numPr>
        <w:pStyle w:val="BodyText"/>
      </w:pPr>
      <w:r>
        <w:rPr>
          <w:bCs/>
          <w:b/>
        </w:rPr>
        <w:t xml:space="preserve">Estimator.</w:t>
      </w:r>
      <w:r>
        <w:t xml:space="preserve"> </w:t>
      </w:r>
      <w:r>
        <w:t xml:space="preserve">Use SLM with weighed vehicles of clearly different weights, several reference crossings and lane-specific constants. Combine channels by GLS or zero-sum weights only after estimating</w:t>
      </w:r>
      <w:r>
        <w:t xml:space="preserve"> </w:t>
      </w:r>
      <m:oMath>
        <m:r>
          <m:t>Σ</m:t>
        </m:r>
      </m:oMath>
      <w:r>
        <w:t xml:space="preserve"> </w:t>
      </w:r>
      <w:r>
        <w:t xml:space="preserve">from the residuals of calibration crossings and checking it out of sample against the gauge average; covariances from vehicle-free windows alone can mislead. Use BPM only where the location is well conditioned and the structure is known; on box girders with deck-mounted gauges, a beam model does not give the constant.</w:t>
      </w:r>
    </w:p>
    <w:p>
      <w:pPr>
        <w:numPr>
          <w:ilvl w:val="0"/>
          <w:numId w:val="1002"/>
        </w:numPr>
        <w:pStyle w:val="BodyText"/>
      </w:pPr>
      <w:r>
        <w:rPr>
          <w:bCs/>
          <w:b/>
        </w:rPr>
        <w:t xml:space="preserve">Offset and dynamics.</w:t>
      </w:r>
      <w:r>
        <w:t xml:space="preserve"> </w:t>
      </w:r>
      <w:r>
        <w:t xml:space="preserve">Evaluate</w:t>
      </w:r>
      <w:r>
        <w:t xml:space="preserve"> </w:t>
      </w:r>
      <m:oMath>
        <m:sSub>
          <m:e>
            <m:r>
              <m:t>P</m:t>
            </m:r>
          </m:e>
          <m:sub>
            <m:r>
              <m:t>δ</m:t>
            </m:r>
          </m:sub>
        </m:sSub>
      </m:oMath>
      <w:r>
        <w:t xml:space="preserve">, Eq. (12), for the residual offset that the instrumentation achieves after re-zeroing, and compare it with the lightest vehicle to be screened. Check</w:t>
      </w:r>
      <w:r>
        <w:t xml:space="preserve"> </w:t>
      </w:r>
      <m:oMath>
        <m:sSub>
          <m:e>
            <m:r>
              <m:t>t</m:t>
            </m:r>
          </m:e>
          <m:sub>
            <m:r>
              <m:rPr>
                <m:sty m:val="p"/>
              </m:rPr>
              <m:t>c</m:t>
            </m:r>
            <m:r>
              <m:rPr>
                <m:sty m:val="p"/>
              </m:rPr>
              <m:t>r</m:t>
            </m:r>
          </m:sub>
        </m:sSub>
        <m:r>
          <m:rPr>
            <m:sty m:val="p"/>
          </m:rPr>
          <m:t>/</m:t>
        </m:r>
        <m:sSub>
          <m:e>
            <m:r>
              <m:t>T</m:t>
            </m:r>
          </m:e>
          <m:sub>
            <m:r>
              <m:t>1</m:t>
            </m:r>
          </m:sub>
        </m:sSub>
        <m:r>
          <m:rPr>
            <m:sty m:val="p"/>
          </m:rPr>
          <m:t>≥</m:t>
        </m:r>
        <m:r>
          <m:t>8</m:t>
        </m:r>
      </m:oMath>
      <w:r>
        <w:t xml:space="preserve"> </w:t>
      </w:r>
      <w:r>
        <w:t xml:space="preserve">with the measured fundamental frequency</w:t>
      </w:r>
      <w:r>
        <w:t xml:space="preserve"> </w:t>
      </w:r>
      <m:oMath>
        <m:sSub>
          <m:e>
            <m:r>
              <m:t>f</m:t>
            </m:r>
          </m:e>
          <m:sub>
            <m:r>
              <m:t>1</m:t>
            </m:r>
          </m:sub>
        </m:sSub>
        <m:r>
          <m:rPr>
            <m:sty m:val="p"/>
          </m:rPr>
          <m:t>=</m:t>
        </m:r>
        <m:r>
          <m:t>1</m:t>
        </m:r>
        <m:r>
          <m:rPr>
            <m:sty m:val="p"/>
          </m:rPr>
          <m:t>/</m:t>
        </m:r>
        <m:sSub>
          <m:e>
            <m:r>
              <m:t>T</m:t>
            </m:r>
          </m:e>
          <m:sub>
            <m:r>
              <m:t>1</m:t>
            </m:r>
          </m:sub>
        </m:sSub>
      </m:oMath>
      <w:r>
        <w:t xml:space="preserve">.</w:t>
      </w:r>
    </w:p>
    <w:p>
      <w:pPr>
        <w:numPr>
          <w:ilvl w:val="0"/>
          <w:numId w:val="1002"/>
        </w:numPr>
        <w:pStyle w:val="BodyText"/>
      </w:pPr>
      <w:r>
        <w:rPr>
          <w:bCs/>
          <w:b/>
        </w:rPr>
        <w:t xml:space="preserve">Processing.</w:t>
      </w:r>
      <w:r>
        <w:t xml:space="preserve"> </w:t>
      </w:r>
      <w:r>
        <w:t xml:space="preserve">Integrate in space over the complete crossing, re-zero before and after each crossing, remove dynamics with a low-pass filter whose cut-off is well below the fundamental frequency</w:t>
      </w:r>
      <w:r>
        <w:t xml:space="preserve"> </w:t>
      </w:r>
      <m:oMath>
        <m:sSub>
          <m:e>
            <m:r>
              <m:t>f</m:t>
            </m:r>
          </m:e>
          <m:sub>
            <m:r>
              <m:t>1</m:t>
            </m:r>
          </m:sub>
        </m:sSub>
      </m:oMath>
      <w:r>
        <w:t xml:space="preserve"> </w:t>
      </w:r>
      <w:r>
        <w:t xml:space="preserve">and never with a high-pass filter, and discard overlapping crossings.</w:t>
      </w:r>
    </w:p>
    <w:p>
      <w:pPr>
        <w:pStyle w:val="FirstParagraph"/>
      </w:pPr>
      <w:r>
        <w:t xml:space="preserve">The integral is a simplified alternative to influence-line BWIM, not a competitor. It returns the gross weight of a vehicle or group from one scalar constant per channel and one weighted sum. Its natural role is low-cost screening across many continuous structures, with instrumented BWIM or enforcement weighing for the vehicles it flags. Influence-line BWIM does not suffer the blindness of Table 1, because it fits the whole record shape.</w:t>
      </w:r>
    </w:p>
    <w:p>
      <w:pPr>
        <w:pStyle w:val="BodyText"/>
      </w:pPr>
      <w:r>
        <w:t xml:space="preserve">Several limitations remain. The laboratory beam had equal spans and statically positioned loads, and the blind configuration was not tested. The field assessment rests on one public dataset with four trucks, two axle counts, nearly constant reference weights and no gauge at a zero-moment point; it could not test weight discrimination, the deflection blind loci or a deflection pair. The in-service application uses static data and an Euler–Bernoulli beam model with an assumed depth law and equal pier springs. The treatment is one-dimensional along each lane.</w:t>
      </w:r>
    </w:p>
    <w:bookmarkEnd w:id="40"/>
    <w:bookmarkStart w:id="41" w:name="conclusions"/>
    <w:p>
      <w:pPr>
        <w:pStyle w:val="Heading2"/>
      </w:pPr>
      <w:r>
        <w:t xml:space="preserve">8. Conclusions</w:t>
      </w:r>
    </w:p>
    <w:p>
      <w:pPr>
        <w:pStyle w:val="FirstParagraph"/>
      </w:pPr>
      <w:r>
        <w:t xml:space="preserve">This paper derived design criteria for channels that monitor the total load on continuous girder bridges, building on the classical influence-area identity and on standard GLS estimation.</w:t>
      </w:r>
    </w:p>
    <w:p>
      <w:pPr>
        <w:numPr>
          <w:ilvl w:val="0"/>
          <w:numId w:val="1003"/>
        </w:numPr>
        <w:pStyle w:val="BodyText"/>
      </w:pPr>
      <w:r>
        <w:t xml:space="preserve">Strain channels are blind at every zero of the uniform-load moment diagram, which every continuous girder has, and a near-blind band surrounds each zero: on two equal spans it lies 0.19–0.32 of the span from the interior support. Deflection channels are blind only near particular span ratios, such as</w:t>
      </w:r>
      <w:r>
        <w:t xml:space="preserve"> </w:t>
      </w:r>
      <m:oMath>
        <m:r>
          <m:t>λ</m:t>
        </m:r>
        <m:r>
          <m:rPr>
            <m:sty m:val="p"/>
          </m:rPr>
          <m:t>=</m:t>
        </m:r>
        <m:d>
          <m:dPr>
            <m:begChr m:val="("/>
            <m:endChr m:val=")"/>
            <m:sepChr m:val=""/>
            <m:grow/>
          </m:dPr>
          <m:e>
            <m:r>
              <m:t>3</m:t>
            </m:r>
            <m:r>
              <m:rPr>
                <m:sty m:val="p"/>
              </m:rPr>
              <m:t>+</m:t>
            </m:r>
            <m:rad>
              <m:radPr>
                <m:degHide m:val="on"/>
              </m:radPr>
              <m:deg/>
              <m:e>
                <m:r>
                  <m:t>33</m:t>
                </m:r>
              </m:e>
            </m:rad>
          </m:e>
        </m:d>
        <m:r>
          <m:rPr>
            <m:sty m:val="p"/>
          </m:rPr>
          <m:t>/</m:t>
        </m:r>
        <m:r>
          <m:t>6</m:t>
        </m:r>
      </m:oMath>
      <w:r>
        <w:t xml:space="preserve"> </w:t>
      </w:r>
      <w:r>
        <w:t xml:space="preserve">for two spans and</w:t>
      </w:r>
      <w:r>
        <w:t xml:space="preserve"> </w:t>
      </w:r>
      <m:oMath>
        <m:r>
          <m:t>β</m:t>
        </m:r>
        <m:r>
          <m:rPr>
            <m:sty m:val="p"/>
          </m:rPr>
          <m:t>=</m:t>
        </m:r>
        <m:r>
          <m:t>1.7006</m:t>
        </m:r>
      </m:oMath>
      <w:r>
        <w:t xml:space="preserve"> </w:t>
      </w:r>
      <w:r>
        <w:t xml:space="preserve">for a mid side-span gauge on three symmetric spans.</w:t>
      </w:r>
    </w:p>
    <w:p>
      <w:pPr>
        <w:numPr>
          <w:ilvl w:val="0"/>
          <w:numId w:val="1003"/>
        </w:numPr>
        <w:pStyle w:val="BodyText"/>
      </w:pPr>
      <w:r>
        <w:t xml:space="preserve">The strain indicator</w:t>
      </w:r>
      <w:r>
        <w:t xml:space="preserve"> </w:t>
      </w:r>
      <m:oMath>
        <m:sSub>
          <m:e>
            <m:r>
              <m:t>N</m:t>
            </m:r>
          </m:e>
          <m:sub>
            <m:r>
              <m:t>M</m:t>
            </m:r>
          </m:sub>
        </m:sSub>
      </m:oMath>
      <w:r>
        <w:t xml:space="preserve"> </w:t>
      </w:r>
      <w:r>
        <w:t xml:space="preserve">needs no reference rigidity, and the cancellation ratio</w:t>
      </w:r>
      <w:r>
        <w:t xml:space="preserve"> </w:t>
      </w:r>
      <m:oMath>
        <m:r>
          <m:t>R</m:t>
        </m:r>
      </m:oMath>
      <w:r>
        <w:t xml:space="preserve"> </w:t>
      </w:r>
      <w:r>
        <w:t xml:space="preserve">separates cancellation from restraint on haunched girders. The deflection indicator equals 2.5, not 1, at mid-span of a simply supported span, so its threshold must be stated with its normalisation.</w:t>
      </w:r>
    </w:p>
    <w:p>
      <w:pPr>
        <w:numPr>
          <w:ilvl w:val="0"/>
          <w:numId w:val="1003"/>
        </w:numPr>
        <w:pStyle w:val="BodyText"/>
      </w:pPr>
      <w:r>
        <w:t xml:space="preserve">Optimal sensors lie at the extremes of the uniform-load response, for strain at the extremes of</w:t>
      </w:r>
      <w:r>
        <w:t xml:space="preserve"> </w:t>
      </w:r>
      <m:oMath>
        <m:r>
          <m:t>c</m:t>
        </m:r>
        <m:sSub>
          <m:e>
            <m:r>
              <m:t>M</m:t>
            </m:r>
          </m:e>
          <m:sub>
            <m:r>
              <m:t>q</m:t>
            </m:r>
          </m:sub>
        </m:sSub>
        <m:r>
          <m:rPr>
            <m:sty m:val="p"/>
          </m:rPr>
          <m:t>/</m:t>
        </m:r>
        <m:r>
          <m:t>E</m:t>
        </m:r>
        <m:r>
          <m:t>I</m:t>
        </m:r>
      </m:oMath>
      <w:r>
        <w:t xml:space="preserve">. Zero-sum weights remove a common-mode offset exactly. On public field records, however, GLS weights built from vehicle-free noise were worse out of sample than the gauge average (20.4 % against 11.9 % mean absolute error), because crossing residuals were much less correlated between gauges than vehicle-free noise at the same window length (0.63 against 0.90).</w:t>
      </w:r>
    </w:p>
    <w:p>
      <w:pPr>
        <w:numPr>
          <w:ilvl w:val="0"/>
          <w:numId w:val="1003"/>
        </w:numPr>
        <w:pStyle w:val="BodyText"/>
      </w:pPr>
      <w:r>
        <w:t xml:space="preserve">On those records, the constants were consistent with axle-configuration invariance (5-axle/3-axle ratio 0.98, 95 % CI 0.70–1.37) and with superposition, but the tests could not resolve differences smaller than 10–27 %. Speed was confounded with truck on one day, each lane and each deck gauge needed its own constant, and the reference weights varied too little for any estimator to beat the mean weight.</w:t>
      </w:r>
    </w:p>
    <w:p>
      <w:pPr>
        <w:numPr>
          <w:ilvl w:val="0"/>
          <w:numId w:val="1003"/>
        </w:numPr>
        <w:pStyle w:val="BodyText"/>
      </w:pPr>
      <w:r>
        <w:t xml:space="preserve">On a 55 + 90 + 55 m box girder, two static readings bound the scaled pier stiffness only from below at a 5.3 % tolerance, leaving the constant of the side-span deflection gauge uncertain by a factor of 6.6, whereas the main-span gauge is well determined. A pier tiltmeter would reduce the Cramér–Rao bound on</w:t>
      </w:r>
      <w:r>
        <w:t xml:space="preserve"> </w:t>
      </w:r>
      <m:oMath>
        <m:r>
          <m:rPr>
            <m:sty m:val="p"/>
          </m:rPr>
          <m:t>ln</m:t>
        </m:r>
        <m:sSub>
          <m:e>
            <m:r>
              <m:t>C</m:t>
            </m:r>
          </m:e>
          <m:sub>
            <m:r>
              <m:t>8</m:t>
            </m:r>
          </m:sub>
        </m:sSub>
      </m:oMath>
      <w:r>
        <w:t xml:space="preserve"> </w:t>
      </w:r>
      <w:r>
        <w:t xml:space="preserve">from 0.87 to 0.18. A residual offset of 0.1 mm would bias a 25 t truck by 16–25 % even at mid main span.</w:t>
      </w:r>
    </w:p>
    <w:p>
      <w:pPr>
        <w:pStyle w:val="FirstParagraph"/>
      </w:pPr>
      <w:r>
        <w:t xml:space="preserve">The next steps are the moving-load test designed for the in-service girder, laboratory tests of the blind configuration, and field calibration with trucks of clearly different weights.</w:t>
      </w:r>
    </w:p>
    <w:bookmarkEnd w:id="41"/>
    <w:bookmarkStart w:id="42" w:name="X456e826d03272217d785932542538504df7f2c0"/>
    <w:p>
      <w:pPr>
        <w:pStyle w:val="Heading2"/>
      </w:pPr>
      <w:r>
        <w:t xml:space="preserve">Appendix A. Closed forms for two- and three-span beams</w:t>
      </w:r>
    </w:p>
    <w:p>
      <w:pPr>
        <w:pStyle w:val="FirstParagraph"/>
      </w:pPr>
      <w:r>
        <w:t xml:space="preserve">For unequal spans the uniform-load support moment of a two-span beam is</w:t>
      </w:r>
      <w:r>
        <w:t xml:space="preserve"> </w:t>
      </w:r>
      <m:oMath>
        <m:sSub>
          <m:e>
            <m:r>
              <m:t>M</m:t>
            </m:r>
          </m:e>
          <m:sub>
            <m:r>
              <m:t>B</m:t>
            </m:r>
          </m:sub>
        </m:sSub>
        <m:r>
          <m:rPr>
            <m:sty m:val="p"/>
          </m:rPr>
          <m:t>=</m:t>
        </m:r>
        <m:r>
          <m:rPr>
            <m:sty m:val="p"/>
          </m:rPr>
          <m:t>−</m:t>
        </m:r>
        <m:sSub>
          <m:e>
            <m:r>
              <m:t>q</m:t>
            </m:r>
          </m:e>
          <m:sub>
            <m:r>
              <m:t>0</m:t>
            </m:r>
          </m:sub>
        </m:sSub>
        <m:d>
          <m:dPr>
            <m:begChr m:val="("/>
            <m:endChr m:val=")"/>
            <m:sepChr m:val=""/>
            <m:grow/>
          </m:dPr>
          <m:e>
            <m:sSubSup>
              <m:e>
                <m:r>
                  <m:t>L</m:t>
                </m:r>
              </m:e>
              <m:sub>
                <m:r>
                  <m:t>1</m:t>
                </m:r>
              </m:sub>
              <m:sup>
                <m:r>
                  <m:t>3</m:t>
                </m:r>
              </m:sup>
            </m:sSubSup>
            <m:r>
              <m:rPr>
                <m:sty m:val="p"/>
              </m:rPr>
              <m:t>/</m:t>
            </m:r>
            <m:r>
              <m:t>E</m:t>
            </m:r>
            <m:sSub>
              <m:e>
                <m:r>
                  <m:t>I</m:t>
                </m:r>
              </m:e>
              <m:sub>
                <m:r>
                  <m:t>1</m:t>
                </m:r>
              </m:sub>
            </m:sSub>
            <m:r>
              <m:rPr>
                <m:sty m:val="p"/>
              </m:rPr>
              <m:t>+</m:t>
            </m:r>
            <m:sSubSup>
              <m:e>
                <m:r>
                  <m:t>L</m:t>
                </m:r>
              </m:e>
              <m:sub>
                <m:r>
                  <m:t>2</m:t>
                </m:r>
              </m:sub>
              <m:sup>
                <m:r>
                  <m:t>3</m:t>
                </m:r>
              </m:sup>
            </m:sSubSup>
            <m:r>
              <m:rPr>
                <m:sty m:val="p"/>
              </m:rPr>
              <m:t>/</m:t>
            </m:r>
            <m:r>
              <m:t>E</m:t>
            </m:r>
            <m:sSub>
              <m:e>
                <m:r>
                  <m:t>I</m:t>
                </m:r>
              </m:e>
              <m:sub>
                <m:r>
                  <m:t>2</m:t>
                </m:r>
              </m:sub>
            </m:sSub>
          </m:e>
        </m:d>
        <m:r>
          <m:rPr>
            <m:sty m:val="p"/>
          </m:rPr>
          <m:t>/</m:t>
        </m:r>
        <m:d>
          <m:dPr>
            <m:begChr m:val="["/>
            <m:endChr m:val="]"/>
            <m:sepChr m:val=""/>
            <m:grow/>
          </m:dPr>
          <m:e>
            <m:r>
              <m:t>8</m:t>
            </m:r>
            <m:d>
              <m:dPr>
                <m:begChr m:val="("/>
                <m:endChr m:val=")"/>
                <m:sepChr m:val=""/>
                <m:grow/>
              </m:dPr>
              <m:e>
                <m:sSub>
                  <m:e>
                    <m:r>
                      <m:t>L</m:t>
                    </m:r>
                  </m:e>
                  <m:sub>
                    <m:r>
                      <m:t>1</m:t>
                    </m:r>
                  </m:sub>
                </m:sSub>
                <m:r>
                  <m:rPr>
                    <m:sty m:val="p"/>
                  </m:rPr>
                  <m:t>/</m:t>
                </m:r>
                <m:r>
                  <m:t>E</m:t>
                </m:r>
                <m:sSub>
                  <m:e>
                    <m:r>
                      <m:t>I</m:t>
                    </m:r>
                  </m:e>
                  <m:sub>
                    <m:r>
                      <m:t>1</m:t>
                    </m:r>
                  </m:sub>
                </m:sSub>
                <m:r>
                  <m:rPr>
                    <m:sty m:val="p"/>
                  </m:rPr>
                  <m:t>+</m:t>
                </m:r>
                <m:sSub>
                  <m:e>
                    <m:r>
                      <m:t>L</m:t>
                    </m:r>
                  </m:e>
                  <m:sub>
                    <m:r>
                      <m:t>2</m:t>
                    </m:r>
                  </m:sub>
                </m:sSub>
                <m:r>
                  <m:rPr>
                    <m:sty m:val="p"/>
                  </m:rPr>
                  <m:t>/</m:t>
                </m:r>
                <m:r>
                  <m:t>E</m:t>
                </m:r>
                <m:sSub>
                  <m:e>
                    <m:r>
                      <m:t>I</m:t>
                    </m:r>
                  </m:e>
                  <m:sub>
                    <m:r>
                      <m:t>2</m:t>
                    </m:r>
                  </m:sub>
                </m:sSub>
              </m:e>
            </m:d>
          </m:e>
        </m:d>
      </m:oMath>
      <w:r>
        <w:t xml:space="preserve">. Superposing the simply supported uniform-load deflection of span 1 and the deflection due to</w:t>
      </w:r>
      <w:r>
        <w:t xml:space="preserve"> </w:t>
      </w:r>
      <m:oMath>
        <m:sSub>
          <m:e>
            <m:r>
              <m:t>M</m:t>
            </m:r>
          </m:e>
          <m:sub>
            <m:r>
              <m:t>B</m:t>
            </m:r>
          </m:sub>
        </m:sSub>
      </m:oMath>
      <w:r>
        <w:t xml:space="preserve">, evaluating at</w:t>
      </w:r>
      <w:r>
        <w:t xml:space="preserve"> </w:t>
      </w:r>
      <m:oMath>
        <m:sSub>
          <m:e>
            <m:r>
              <m:t>x</m:t>
            </m:r>
          </m:e>
          <m:sub>
            <m:r>
              <m:t>m</m:t>
            </m:r>
          </m:sub>
        </m:sSub>
      </m:oMath>
      <w:r>
        <w:t xml:space="preserve"> </w:t>
      </w:r>
      <w:r>
        <w:t xml:space="preserve">and dividing by</w:t>
      </w:r>
      <w:r>
        <w:t xml:space="preserve"> </w:t>
      </w:r>
      <m:oMath>
        <m:sSub>
          <m:e>
            <m:r>
              <m:t>q</m:t>
            </m:r>
          </m:e>
          <m:sub>
            <m:r>
              <m:t>0</m:t>
            </m:r>
          </m:sub>
        </m:sSub>
      </m:oMath>
      <w:r>
        <w:t xml:space="preserve"> </w:t>
      </w:r>
      <w:r>
        <w:t xml:space="preserve">gives Eq. (5) with</w:t>
      </w:r>
      <w:r>
        <w:t xml:space="preserve"> </w:t>
      </w:r>
      <m:oMath>
        <m:r>
          <m:t>μ</m:t>
        </m:r>
        <m:r>
          <m:rPr>
            <m:sty m:val="p"/>
          </m:rPr>
          <m:t>=</m:t>
        </m:r>
        <m:r>
          <m:rPr>
            <m:sty m:val="p"/>
          </m:rPr>
          <m:t>−</m:t>
        </m:r>
        <m:r>
          <m:t>8</m:t>
        </m:r>
        <m:sSub>
          <m:e>
            <m:r>
              <m:t>M</m:t>
            </m:r>
          </m:e>
          <m:sub>
            <m:r>
              <m:t>B</m:t>
            </m:r>
          </m:sub>
        </m:sSub>
        <m:r>
          <m:rPr>
            <m:sty m:val="p"/>
          </m:rPr>
          <m:t>/</m:t>
        </m:r>
        <m:d>
          <m:dPr>
            <m:begChr m:val="("/>
            <m:endChr m:val=")"/>
            <m:sepChr m:val=""/>
            <m:grow/>
          </m:dPr>
          <m:e>
            <m:sSub>
              <m:e>
                <m:r>
                  <m:t>q</m:t>
                </m:r>
              </m:e>
              <m:sub>
                <m:r>
                  <m:t>0</m:t>
                </m:r>
              </m:sub>
            </m:sSub>
            <m:sSubSup>
              <m:e>
                <m:r>
                  <m:t>L</m:t>
                </m:r>
              </m:e>
              <m:sub>
                <m:r>
                  <m:t>1</m:t>
                </m:r>
              </m:sub>
              <m:sup>
                <m:r>
                  <m:t>2</m:t>
                </m:r>
              </m:sup>
            </m:sSubSup>
          </m:e>
        </m:d>
      </m:oMath>
      <w:r>
        <w:t xml:space="preserve">, which is</w:t>
      </w:r>
      <w:r>
        <w:t xml:space="preserve"> </w:t>
      </w:r>
      <m:oMath>
        <m:sSub>
          <m:e>
            <m:r>
              <m:t>μ</m:t>
            </m:r>
          </m:e>
          <m:sub>
            <m:r>
              <m:rPr>
                <m:sty m:val="p"/>
              </m:rPr>
              <m:t>2</m:t>
            </m:r>
            <m:r>
              <m:rPr>
                <m:sty m:val="p"/>
              </m:rPr>
              <m:t>s</m:t>
            </m:r>
            <m:r>
              <m:rPr>
                <m:sty m:val="p"/>
              </m:rPr>
              <m:t>p</m:t>
            </m:r>
            <m:r>
              <m:rPr>
                <m:sty m:val="p"/>
              </m:rPr>
              <m:t>a</m:t>
            </m:r>
            <m:r>
              <m:rPr>
                <m:sty m:val="p"/>
              </m:rPr>
              <m:t>n</m:t>
            </m:r>
          </m:sub>
        </m:sSub>
      </m:oMath>
      <w:r>
        <w:t xml:space="preserve"> </w:t>
      </w:r>
      <w:r>
        <w:t xml:space="preserve">of Eq. (4). Because</w:t>
      </w:r>
      <w:r>
        <w:t xml:space="preserve"> </w:t>
      </w:r>
      <m:oMath>
        <m:r>
          <m:t>1</m:t>
        </m:r>
        <m:r>
          <m:rPr>
            <m:sty m:val="p"/>
          </m:rPr>
          <m:t>−</m:t>
        </m:r>
        <m:r>
          <m:t>2</m:t>
        </m:r>
        <m:sSup>
          <m:e>
            <m:r>
              <m:t>ξ</m:t>
            </m:r>
          </m:e>
          <m:sup>
            <m:r>
              <m:t>2</m:t>
            </m:r>
          </m:sup>
        </m:sSup>
        <m:r>
          <m:rPr>
            <m:sty m:val="p"/>
          </m:rPr>
          <m:t>+</m:t>
        </m:r>
        <m:sSup>
          <m:e>
            <m:r>
              <m:t>ξ</m:t>
            </m:r>
          </m:e>
          <m:sup>
            <m:r>
              <m:t>3</m:t>
            </m:r>
          </m:sup>
        </m:sSup>
        <m:r>
          <m:rPr>
            <m:sty m:val="p"/>
          </m:rPr>
          <m:t>=</m:t>
        </m:r>
        <m:d>
          <m:dPr>
            <m:begChr m:val="("/>
            <m:endChr m:val=")"/>
            <m:sepChr m:val=""/>
            <m:grow/>
          </m:dPr>
          <m:e>
            <m:r>
              <m:t>1</m:t>
            </m:r>
            <m:r>
              <m:rPr>
                <m:sty m:val="p"/>
              </m:rPr>
              <m:t>−</m:t>
            </m:r>
            <m:r>
              <m:t>ξ</m:t>
            </m:r>
          </m:e>
        </m:d>
        <m:d>
          <m:dPr>
            <m:begChr m:val="("/>
            <m:endChr m:val=")"/>
            <m:sepChr m:val=""/>
            <m:grow/>
          </m:dPr>
          <m:e>
            <m:r>
              <m:t>1</m:t>
            </m:r>
            <m:r>
              <m:rPr>
                <m:sty m:val="p"/>
              </m:rPr>
              <m:t>+</m:t>
            </m:r>
            <m:r>
              <m:t>ξ</m:t>
            </m:r>
            <m:r>
              <m:rPr>
                <m:sty m:val="p"/>
              </m:rPr>
              <m:t>−</m:t>
            </m:r>
            <m:sSup>
              <m:e>
                <m:r>
                  <m:t>ξ</m:t>
                </m:r>
              </m:e>
              <m:sup>
                <m:r>
                  <m:t>2</m:t>
                </m:r>
              </m:sup>
            </m:sSup>
          </m:e>
        </m:d>
      </m:oMath>
      <w:r>
        <w:t xml:space="preserve">, setting</w:t>
      </w:r>
      <w:r>
        <w:t xml:space="preserve"> </w:t>
      </w:r>
      <m:oMath>
        <m:r>
          <m:t>F</m:t>
        </m:r>
        <m:r>
          <m:rPr>
            <m:sty m:val="p"/>
          </m:rPr>
          <m:t>=</m:t>
        </m:r>
        <m:r>
          <m:t>0</m:t>
        </m:r>
      </m:oMath>
      <w:r>
        <w:t xml:space="preserve"> </w:t>
      </w:r>
      <w:r>
        <w:t xml:space="preserve">gives Eq. (6). With uniform stiffness, the blind condition for a mid-span sensor is</w:t>
      </w:r>
      <w:r>
        <w:t xml:space="preserve"> </w:t>
      </w:r>
      <m:oMath>
        <m:r>
          <m:t>3</m:t>
        </m:r>
        <m:sSup>
          <m:e>
            <m:r>
              <m:t>λ</m:t>
            </m:r>
          </m:e>
          <m:sup>
            <m:r>
              <m:t>2</m:t>
            </m:r>
          </m:sup>
        </m:sSup>
        <m:r>
          <m:rPr>
            <m:sty m:val="p"/>
          </m:rPr>
          <m:t>−</m:t>
        </m:r>
        <m:r>
          <m:t>3</m:t>
        </m:r>
        <m:r>
          <m:t>λ</m:t>
        </m:r>
        <m:r>
          <m:rPr>
            <m:sty m:val="p"/>
          </m:rPr>
          <m:t>−</m:t>
        </m:r>
        <m:r>
          <m:t>2</m:t>
        </m:r>
        <m:r>
          <m:rPr>
            <m:sty m:val="p"/>
          </m:rPr>
          <m:t>=</m:t>
        </m:r>
        <m:r>
          <m:t>0</m:t>
        </m:r>
      </m:oMath>
      <w:r>
        <w:t xml:space="preserve">, and maximising</w:t>
      </w:r>
      <w:r>
        <w:t xml:space="preserve"> </w:t>
      </w:r>
      <m:oMath>
        <m:r>
          <m:t>F</m:t>
        </m:r>
      </m:oMath>
      <w:r>
        <w:t xml:space="preserve"> </w:t>
      </w:r>
      <w:r>
        <w:t xml:space="preserve">over</w:t>
      </w:r>
      <w:r>
        <w:t xml:space="preserve"> </w:t>
      </w:r>
      <m:oMath>
        <m:r>
          <m:t>ξ</m:t>
        </m:r>
      </m:oMath>
      <w:r>
        <w:t xml:space="preserve"> </w:t>
      </w:r>
      <w:r>
        <w:t xml:space="preserve">at</w:t>
      </w:r>
      <w:r>
        <w:t xml:space="preserve"> </w:t>
      </w:r>
      <m:oMath>
        <m:r>
          <m:t>μ</m:t>
        </m:r>
        <m:r>
          <m:rPr>
            <m:sty m:val="p"/>
          </m:rPr>
          <m:t>=</m:t>
        </m:r>
        <m:r>
          <m:t>1</m:t>
        </m:r>
      </m:oMath>
      <w:r>
        <w:t xml:space="preserve"> </w:t>
      </w:r>
      <w:r>
        <w:t xml:space="preserve">gives</w:t>
      </w:r>
      <w:r>
        <w:t xml:space="preserve"> </w:t>
      </w:r>
      <m:oMath>
        <m:r>
          <m:t>8</m:t>
        </m:r>
        <m:sSup>
          <m:e>
            <m:r>
              <m:t>ξ</m:t>
            </m:r>
          </m:e>
          <m:sup>
            <m:r>
              <m:t>2</m:t>
            </m:r>
          </m:sup>
        </m:sSup>
        <m:r>
          <m:rPr>
            <m:sty m:val="p"/>
          </m:rPr>
          <m:t>−</m:t>
        </m:r>
        <m:r>
          <m:t>ξ</m:t>
        </m:r>
        <m:r>
          <m:rPr>
            <m:sty m:val="p"/>
          </m:rPr>
          <m:t>−</m:t>
        </m:r>
        <m:r>
          <m:t>1</m:t>
        </m:r>
        <m:r>
          <m:rPr>
            <m:sty m:val="p"/>
          </m:rPr>
          <m:t>=</m:t>
        </m:r>
        <m:r>
          <m:t>0</m:t>
        </m:r>
      </m:oMath>
      <w:r>
        <w:t xml:space="preserve">, hence Eq. (7). In units of</w:t>
      </w:r>
      <w:r>
        <w:t xml:space="preserve"> </w:t>
      </w:r>
      <m:oMath>
        <m:sSubSup>
          <m:e>
            <m:r>
              <m:t>L</m:t>
            </m:r>
          </m:e>
          <m:sub>
            <m:r>
              <m:t>1</m:t>
            </m:r>
          </m:sub>
          <m:sup>
            <m:r>
              <m:t>4</m:t>
            </m:r>
          </m:sup>
        </m:sSubSup>
        <m:r>
          <m:rPr>
            <m:sty m:val="p"/>
          </m:rPr>
          <m:t>/</m:t>
        </m:r>
        <m:d>
          <m:dPr>
            <m:begChr m:val="("/>
            <m:endChr m:val=")"/>
            <m:sepChr m:val=""/>
            <m:grow/>
          </m:dPr>
          <m:e>
            <m:r>
              <m:t>192</m:t>
            </m:r>
            <m:r>
              <m:t>E</m:t>
            </m:r>
            <m:sSub>
              <m:e>
                <m:r>
                  <m:t>I</m:t>
                </m:r>
              </m:e>
              <m:sub>
                <m:r>
                  <m:t>1</m:t>
                </m:r>
              </m:sub>
            </m:sSub>
          </m:e>
        </m:d>
      </m:oMath>
      <w:r>
        <w:t xml:space="preserve">, the positive contribution of the instrumented span varies only between 1.50 and 2.00 for</w:t>
      </w:r>
      <w:r>
        <w:t xml:space="preserve"> </w:t>
      </w:r>
      <m:oMath>
        <m:r>
          <m:t>λ</m:t>
        </m:r>
      </m:oMath>
      <w:r>
        <w:t xml:space="preserve"> </w:t>
      </w:r>
      <w:r>
        <w:t xml:space="preserve">from 0.5 to 2.0, whereas the negative contribution of the adjacent span sweeps from −0.125 to −4.00; the cancellation is driven almost entirely by the adjacent span.</w:t>
      </w:r>
    </w:p>
    <w:p>
      <w:pPr>
        <w:pStyle w:val="BodyText"/>
      </w:pPr>
      <w:r>
        <w:t xml:space="preserve">For the symmetric three-span beam the three-moment equation gives</w:t>
      </w:r>
      <w:r>
        <w:t xml:space="preserve"> </w:t>
      </w:r>
      <m:oMath>
        <m:sSub>
          <m:e>
            <m:r>
              <m:t>M</m:t>
            </m:r>
          </m:e>
          <m:sub>
            <m:r>
              <m:t>B</m:t>
            </m:r>
          </m:sub>
        </m:sSub>
        <m:r>
          <m:rPr>
            <m:sty m:val="p"/>
          </m:rPr>
          <m:t>=</m:t>
        </m:r>
        <m:sSub>
          <m:e>
            <m:r>
              <m:t>M</m:t>
            </m:r>
          </m:e>
          <m:sub>
            <m:r>
              <m:t>C</m:t>
            </m:r>
          </m:sub>
        </m:sSub>
        <m:r>
          <m:rPr>
            <m:sty m:val="p"/>
          </m:rPr>
          <m:t>=</m:t>
        </m:r>
        <m:r>
          <m:rPr>
            <m:sty m:val="p"/>
          </m:rPr>
          <m:t>−</m:t>
        </m:r>
        <m:sSub>
          <m:e>
            <m:r>
              <m:t>q</m:t>
            </m:r>
          </m:e>
          <m:sub>
            <m:r>
              <m:t>0</m:t>
            </m:r>
          </m:sub>
        </m:sSub>
        <m:sSubSup>
          <m:e>
            <m:r>
              <m:t>L</m:t>
            </m:r>
          </m:e>
          <m:sub>
            <m:r>
              <m:rPr>
                <m:sty m:val="p"/>
              </m:rPr>
              <m:t>s</m:t>
            </m:r>
            <m:r>
              <m:rPr>
                <m:sty m:val="p"/>
              </m:rPr>
              <m:t>i</m:t>
            </m:r>
            <m:r>
              <m:rPr>
                <m:sty m:val="p"/>
              </m:rPr>
              <m:t>d</m:t>
            </m:r>
            <m:r>
              <m:rPr>
                <m:sty m:val="p"/>
              </m:rPr>
              <m:t>e</m:t>
            </m:r>
          </m:sub>
          <m:sup>
            <m:r>
              <m:t>2</m:t>
            </m:r>
          </m:sup>
        </m:sSubSup>
        <m:r>
          <m:t>μ</m:t>
        </m:r>
        <m:r>
          <m:rPr>
            <m:sty m:val="p"/>
          </m:rPr>
          <m:t>/</m:t>
        </m:r>
        <m:r>
          <m:t>8</m:t>
        </m:r>
      </m:oMath>
      <w:r>
        <w:t xml:space="preserve"> </w:t>
      </w:r>
      <w:r>
        <w:t xml:space="preserve">with</w:t>
      </w:r>
      <w:r>
        <w:t xml:space="preserve"> </w:t>
      </w:r>
      <m:oMath>
        <m:sSub>
          <m:e>
            <m:r>
              <m:t>μ</m:t>
            </m:r>
          </m:e>
          <m:sub>
            <m:r>
              <m:rPr>
                <m:sty m:val="p"/>
              </m:rPr>
              <m:t>3</m:t>
            </m:r>
            <m:r>
              <m:rPr>
                <m:sty m:val="p"/>
              </m:rPr>
              <m:t>s</m:t>
            </m:r>
            <m:r>
              <m:rPr>
                <m:sty m:val="p"/>
              </m:rPr>
              <m:t>p</m:t>
            </m:r>
            <m:r>
              <m:rPr>
                <m:sty m:val="p"/>
              </m:rPr>
              <m:t>a</m:t>
            </m:r>
            <m:r>
              <m:rPr>
                <m:sty m:val="p"/>
              </m:rPr>
              <m:t>n</m:t>
            </m:r>
          </m:sub>
        </m:sSub>
      </m:oMath>
      <w:r>
        <w:t xml:space="preserve"> </w:t>
      </w:r>
      <w:r>
        <w:t xml:space="preserve">of Eq. (4). Three equal spans give</w:t>
      </w:r>
      <w:r>
        <w:t xml:space="preserve"> </w:t>
      </w:r>
      <m:oMath>
        <m:r>
          <m:t>μ</m:t>
        </m:r>
        <m:r>
          <m:rPr>
            <m:sty m:val="p"/>
          </m:rPr>
          <m:t>=</m:t>
        </m:r>
        <m:r>
          <m:t>4</m:t>
        </m:r>
        <m:r>
          <m:rPr>
            <m:sty m:val="p"/>
          </m:rPr>
          <m:t>/</m:t>
        </m:r>
        <m:r>
          <m:t>5</m:t>
        </m:r>
      </m:oMath>
      <w:r>
        <w:t xml:space="preserve">. The optimal side-span position solves</w:t>
      </w:r>
      <w:r>
        <w:t xml:space="preserve"> </w:t>
      </w:r>
      <m:oMath>
        <m:r>
          <m:t>8</m:t>
        </m:r>
        <m:sSup>
          <m:e>
            <m:r>
              <m:t>ξ</m:t>
            </m:r>
          </m:e>
          <m:sup>
            <m:r>
              <m:t>3</m:t>
            </m:r>
          </m:sup>
        </m:sSup>
        <m:r>
          <m:rPr>
            <m:sty m:val="p"/>
          </m:rPr>
          <m:t>−</m:t>
        </m:r>
        <m:d>
          <m:dPr>
            <m:begChr m:val="("/>
            <m:endChr m:val=")"/>
            <m:sepChr m:val=""/>
            <m:grow/>
          </m:dPr>
          <m:e>
            <m:r>
              <m:t>12</m:t>
            </m:r>
            <m:r>
              <m:rPr>
                <m:sty m:val="p"/>
              </m:rPr>
              <m:t>−</m:t>
            </m:r>
            <m:r>
              <m:t>3</m:t>
            </m:r>
            <m:r>
              <m:t>μ</m:t>
            </m:r>
          </m:e>
        </m:d>
        <m:sSup>
          <m:e>
            <m:r>
              <m:t>ξ</m:t>
            </m:r>
          </m:e>
          <m:sup>
            <m:r>
              <m:t>2</m:t>
            </m:r>
          </m:sup>
        </m:sSup>
        <m:r>
          <m:rPr>
            <m:sty m:val="p"/>
          </m:rPr>
          <m:t>+</m:t>
        </m:r>
        <m:d>
          <m:dPr>
            <m:begChr m:val="("/>
            <m:endChr m:val=")"/>
            <m:sepChr m:val=""/>
            <m:grow/>
          </m:dPr>
          <m:e>
            <m:r>
              <m:t>2</m:t>
            </m:r>
            <m:r>
              <m:rPr>
                <m:sty m:val="p"/>
              </m:rPr>
              <m:t>−</m:t>
            </m:r>
            <m:r>
              <m:t>μ</m:t>
            </m:r>
          </m:e>
        </m:d>
        <m:r>
          <m:rPr>
            <m:sty m:val="p"/>
          </m:rPr>
          <m:t>=</m:t>
        </m:r>
        <m:r>
          <m:t>0</m:t>
        </m:r>
      </m:oMath>
      <w:r>
        <w:t xml:space="preserve">. The near-blind band at mid side span runs from the root of</w:t>
      </w:r>
      <w:r>
        <w:t xml:space="preserve"> </w:t>
      </w:r>
      <m:oMath>
        <m:r>
          <m:t>30</m:t>
        </m:r>
        <m:sSup>
          <m:e>
            <m:r>
              <m:t>β</m:t>
            </m:r>
          </m:e>
          <m:sup>
            <m:r>
              <m:t>3</m:t>
            </m:r>
          </m:sup>
        </m:sSup>
        <m:r>
          <m:rPr>
            <m:sty m:val="p"/>
          </m:rPr>
          <m:t>−</m:t>
        </m:r>
        <m:r>
          <m:t>69</m:t>
        </m:r>
        <m:r>
          <m:t>β</m:t>
        </m:r>
        <m:r>
          <m:rPr>
            <m:sty m:val="p"/>
          </m:rPr>
          <m:t>−</m:t>
        </m:r>
        <m:r>
          <m:t>16</m:t>
        </m:r>
        <m:r>
          <m:rPr>
            <m:sty m:val="p"/>
          </m:rPr>
          <m:t>=</m:t>
        </m:r>
        <m:r>
          <m:t>0</m:t>
        </m:r>
      </m:oMath>
      <w:r>
        <w:t xml:space="preserve"> </w:t>
      </w:r>
      <w:r>
        <w:t xml:space="preserve">(1.621) to that of</w:t>
      </w:r>
      <w:r>
        <w:t xml:space="preserve"> </w:t>
      </w:r>
      <m:oMath>
        <m:r>
          <m:t>10</m:t>
        </m:r>
        <m:sSup>
          <m:e>
            <m:r>
              <m:t>β</m:t>
            </m:r>
          </m:e>
          <m:sup>
            <m:r>
              <m:t>3</m:t>
            </m:r>
          </m:sup>
        </m:sSup>
        <m:r>
          <m:rPr>
            <m:sty m:val="p"/>
          </m:rPr>
          <m:t>−</m:t>
        </m:r>
        <m:r>
          <m:t>27</m:t>
        </m:r>
        <m:r>
          <m:t>β</m:t>
        </m:r>
        <m:r>
          <m:rPr>
            <m:sty m:val="p"/>
          </m:rPr>
          <m:t>−</m:t>
        </m:r>
        <m:r>
          <m:t>8</m:t>
        </m:r>
        <m:r>
          <m:rPr>
            <m:sty m:val="p"/>
          </m:rPr>
          <m:t>=</m:t>
        </m:r>
        <m:r>
          <m:t>0</m:t>
        </m:r>
      </m:oMath>
      <w:r>
        <w:t xml:space="preserve"> </w:t>
      </w:r>
      <w:r>
        <w:t xml:space="preserve">(1.775). A mid main-span deflection sensor is blind at</w:t>
      </w:r>
      <w:r>
        <w:t xml:space="preserve"> </w:t>
      </w:r>
      <m:oMath>
        <m:r>
          <m:t>β</m:t>
        </m:r>
        <m:r>
          <m:rPr>
            <m:sty m:val="p"/>
          </m:rPr>
          <m:t>=</m:t>
        </m:r>
        <m:r>
          <m:t>0.9647</m:t>
        </m:r>
      </m:oMath>
      <w:r>
        <w:t xml:space="preserve">. For a sensor at</w:t>
      </w:r>
      <w:r>
        <w:t xml:space="preserve"> </w:t>
      </w:r>
      <m:oMath>
        <m:r>
          <m:t>ζ</m:t>
        </m:r>
        <m:r>
          <m:rPr>
            <m:sty m:val="p"/>
          </m:rPr>
          <m:t>=</m:t>
        </m:r>
        <m:r>
          <m:t>x</m:t>
        </m:r>
        <m:r>
          <m:rPr>
            <m:sty m:val="p"/>
          </m:rPr>
          <m:t>/</m:t>
        </m:r>
        <m:sSub>
          <m:e>
            <m:r>
              <m:t>L</m:t>
            </m:r>
          </m:e>
          <m:sub>
            <m:r>
              <m:rPr>
                <m:sty m:val="p"/>
              </m:rPr>
              <m:t>m</m:t>
            </m:r>
            <m:r>
              <m:rPr>
                <m:sty m:val="p"/>
              </m:rPr>
              <m:t>a</m:t>
            </m:r>
            <m:r>
              <m:rPr>
                <m:sty m:val="p"/>
              </m:rPr>
              <m:t>i</m:t>
            </m:r>
            <m:r>
              <m:rPr>
                <m:sty m:val="p"/>
              </m:rPr>
              <m:t>n</m:t>
            </m:r>
          </m:sub>
        </m:sSub>
      </m:oMath>
      <w:r>
        <w:t xml:space="preserve"> </w:t>
      </w:r>
      <w:r>
        <w:t xml:space="preserve">in the main span,</w:t>
      </w:r>
      <w:r>
        <w:t xml:space="preserve"> </w:t>
      </w:r>
      <m:oMath>
        <m:r>
          <m:t>192</m:t>
        </m:r>
        <m:r>
          <m:t>E</m:t>
        </m:r>
        <m:sSub>
          <m:e>
            <m:r>
              <m:t>I</m:t>
            </m:r>
          </m:e>
          <m:sub>
            <m:r>
              <m:rPr>
                <m:sty m:val="p"/>
              </m:rPr>
              <m:t>m</m:t>
            </m:r>
            <m:r>
              <m:rPr>
                <m:sty m:val="p"/>
              </m:rPr>
              <m:t>a</m:t>
            </m:r>
            <m:r>
              <m:rPr>
                <m:sty m:val="p"/>
              </m:rPr>
              <m:t>i</m:t>
            </m:r>
            <m:r>
              <m:rPr>
                <m:sty m:val="p"/>
              </m:rPr>
              <m:t>n</m:t>
            </m:r>
          </m:sub>
        </m:sSub>
        <m:sSub>
          <m:e>
            <m:r>
              <m:t>C</m:t>
            </m:r>
          </m:e>
          <m:sub>
            <m:r>
              <m:t>m</m:t>
            </m:r>
          </m:sub>
        </m:sSub>
        <m:r>
          <m:rPr>
            <m:sty m:val="p"/>
          </m:rPr>
          <m:t>/</m:t>
        </m:r>
        <m:sSubSup>
          <m:e>
            <m:r>
              <m:t>L</m:t>
            </m:r>
          </m:e>
          <m:sub>
            <m:r>
              <m:rPr>
                <m:sty m:val="p"/>
              </m:rPr>
              <m:t>m</m:t>
            </m:r>
            <m:r>
              <m:rPr>
                <m:sty m:val="p"/>
              </m:rPr>
              <m:t>a</m:t>
            </m:r>
            <m:r>
              <m:rPr>
                <m:sty m:val="p"/>
              </m:rPr>
              <m:t>i</m:t>
            </m:r>
            <m:r>
              <m:rPr>
                <m:sty m:val="p"/>
              </m:rPr>
              <m:t>n</m:t>
            </m:r>
          </m:sub>
          <m:sup>
            <m:r>
              <m:t>4</m:t>
            </m:r>
          </m:sup>
        </m:sSubSup>
        <m:r>
          <m:rPr>
            <m:sty m:val="p"/>
          </m:rPr>
          <m:t>=</m:t>
        </m:r>
        <m:r>
          <m:t>8</m:t>
        </m:r>
        <m:d>
          <m:dPr>
            <m:begChr m:val="["/>
            <m:endChr m:val="]"/>
            <m:sepChr m:val=""/>
            <m:grow/>
          </m:dPr>
          <m:e>
            <m:r>
              <m:t>ζ</m:t>
            </m:r>
            <m:d>
              <m:dPr>
                <m:begChr m:val="("/>
                <m:endChr m:val=")"/>
                <m:sepChr m:val=""/>
                <m:grow/>
              </m:dPr>
              <m:e>
                <m:r>
                  <m:t>1</m:t>
                </m:r>
                <m:r>
                  <m:rPr>
                    <m:sty m:val="p"/>
                  </m:rPr>
                  <m:t>−</m:t>
                </m:r>
                <m:r>
                  <m:t>2</m:t>
                </m:r>
                <m:sSup>
                  <m:e>
                    <m:r>
                      <m:t>ζ</m:t>
                    </m:r>
                  </m:e>
                  <m:sup>
                    <m:r>
                      <m:t>2</m:t>
                    </m:r>
                  </m:sup>
                </m:sSup>
                <m:r>
                  <m:rPr>
                    <m:sty m:val="p"/>
                  </m:rPr>
                  <m:t>+</m:t>
                </m:r>
                <m:sSup>
                  <m:e>
                    <m:r>
                      <m:t>ζ</m:t>
                    </m:r>
                  </m:e>
                  <m:sup>
                    <m:r>
                      <m:t>3</m:t>
                    </m:r>
                  </m:sup>
                </m:sSup>
              </m:e>
            </m:d>
            <m:r>
              <m:rPr>
                <m:sty m:val="p"/>
              </m:rPr>
              <m:t>−</m:t>
            </m:r>
            <m:r>
              <m:t>ν</m:t>
            </m:r>
            <m:r>
              <m:t>ζ</m:t>
            </m:r>
            <m:d>
              <m:dPr>
                <m:begChr m:val="("/>
                <m:endChr m:val=")"/>
                <m:sepChr m:val=""/>
                <m:grow/>
              </m:dPr>
              <m:e>
                <m:r>
                  <m:t>1</m:t>
                </m:r>
                <m:r>
                  <m:rPr>
                    <m:sty m:val="p"/>
                  </m:rPr>
                  <m:t>−</m:t>
                </m:r>
                <m:r>
                  <m:t>ζ</m:t>
                </m:r>
              </m:e>
            </m:d>
          </m:e>
        </m:d>
      </m:oMath>
      <w:r>
        <w:t xml:space="preserve"> </w:t>
      </w:r>
      <w:r>
        <w:t xml:space="preserve">with</w:t>
      </w:r>
      <w:r>
        <w:t xml:space="preserve"> </w:t>
      </w:r>
      <m:oMath>
        <m:r>
          <m:t>ν</m:t>
        </m:r>
        <m:r>
          <m:rPr>
            <m:sty m:val="p"/>
          </m:rPr>
          <m:t>=</m:t>
        </m:r>
        <m:r>
          <m:t>3</m:t>
        </m:r>
        <m:d>
          <m:dPr>
            <m:begChr m:val="("/>
            <m:endChr m:val=")"/>
            <m:sepChr m:val=""/>
            <m:grow/>
          </m:dPr>
          <m:e>
            <m:r>
              <m:t>γ</m:t>
            </m:r>
            <m:r>
              <m:rPr>
                <m:sty m:val="p"/>
              </m:rPr>
              <m:t>+</m:t>
            </m:r>
            <m:sSup>
              <m:e>
                <m:r>
                  <m:t>β</m:t>
                </m:r>
              </m:e>
              <m:sup>
                <m:r>
                  <m:t>3</m:t>
                </m:r>
              </m:sup>
            </m:sSup>
          </m:e>
        </m:d>
        <m:r>
          <m:rPr>
            <m:sty m:val="p"/>
          </m:rPr>
          <m:t>/</m:t>
        </m:r>
        <m:d>
          <m:dPr>
            <m:begChr m:val="["/>
            <m:endChr m:val="]"/>
            <m:sepChr m:val=""/>
            <m:grow/>
          </m:dPr>
          <m:e>
            <m:sSup>
              <m:e>
                <m:r>
                  <m:t>β</m:t>
                </m:r>
              </m:e>
              <m:sup>
                <m:r>
                  <m:t>2</m:t>
                </m:r>
              </m:sup>
            </m:sSup>
            <m:d>
              <m:dPr>
                <m:begChr m:val="("/>
                <m:endChr m:val=")"/>
                <m:sepChr m:val=""/>
                <m:grow/>
              </m:dPr>
              <m:e>
                <m:r>
                  <m:t>2</m:t>
                </m:r>
                <m:r>
                  <m:t>γ</m:t>
                </m:r>
                <m:r>
                  <m:rPr>
                    <m:sty m:val="p"/>
                  </m:rPr>
                  <m:t>+</m:t>
                </m:r>
                <m:r>
                  <m:t>3</m:t>
                </m:r>
                <m:r>
                  <m:t>β</m:t>
                </m:r>
              </m:e>
            </m:d>
          </m:e>
        </m:d>
      </m:oMath>
      <w:r>
        <w:t xml:space="preserve">. For</w:t>
      </w:r>
      <w:r>
        <w:t xml:space="preserve"> </w:t>
      </w:r>
      <m:oMath>
        <m:r>
          <m:t>β</m:t>
        </m:r>
        <m:r>
          <m:rPr>
            <m:sty m:val="p"/>
          </m:rPr>
          <m:t>=</m:t>
        </m:r>
        <m:r>
          <m:t>1.636</m:t>
        </m:r>
      </m:oMath>
      <w:r>
        <w:t xml:space="preserve"> </w:t>
      </w:r>
      <w:r>
        <w:t xml:space="preserve">the strain blind point in the main span lies at</w:t>
      </w:r>
      <w:r>
        <w:t xml:space="preserve"> </w:t>
      </w:r>
      <m:oMath>
        <m:sSub>
          <m:e>
            <m:r>
              <m:t>ζ</m:t>
            </m:r>
          </m:e>
          <m:sub>
            <m:r>
              <m:t>0</m:t>
            </m:r>
          </m:sub>
        </m:sSub>
        <m:r>
          <m:rPr>
            <m:sty m:val="p"/>
          </m:rPr>
          <m:t>=</m:t>
        </m:r>
        <m:r>
          <m:t>0.177</m:t>
        </m:r>
      </m:oMath>
      <w:r>
        <w:t xml:space="preserve"> </w:t>
      </w:r>
      <w:r>
        <w:t xml:space="preserve">from the pier. Asymmetric layouts follow from the three-moment equations (Supplementary Material).</w:t>
      </w:r>
    </w:p>
    <w:p>
      <w:pPr>
        <w:pStyle w:val="BodyText"/>
      </w:pPr>
      <w:r>
        <w:rPr>
          <w:bCs/>
          <w:b/>
        </w:rPr>
        <w:t xml:space="preserve">Table A.1.</w:t>
      </w:r>
      <w:r>
        <w:t xml:space="preserve"> </w:t>
      </w:r>
      <w:r>
        <w:t xml:space="preserve">Symmetric three-span beam, uniform rigidity: optimal side-span position</w:t>
      </w:r>
      <w:r>
        <w:t xml:space="preserve"> </w:t>
      </w:r>
      <m:oMath>
        <m:sSup>
          <m:e>
            <m:r>
              <m:t>ξ</m:t>
            </m:r>
          </m:e>
          <m:sup>
            <m:r>
              <m:rPr>
                <m:sty m:val="p"/>
              </m:rPr>
              <m:t>*</m:t>
            </m:r>
          </m:sup>
        </m:sSup>
      </m:oMath>
      <w:r>
        <w:t xml:space="preserve"> </w:t>
      </w:r>
      <w:r>
        <w:t xml:space="preserve">and deflection indicator</w:t>
      </w:r>
      <w:r>
        <w:t xml:space="preserve"> </w:t>
      </w:r>
      <m:oMath>
        <m:sSub>
          <m:e>
            <m:r>
              <m:t>N</m:t>
            </m:r>
          </m:e>
          <m:sub>
            <m:r>
              <m:t>w</m:t>
            </m:r>
          </m:sub>
        </m:sSub>
      </m:oMath>
      <w:r>
        <w:t xml:space="preserve"> </w:t>
      </w:r>
      <w:r>
        <w:t xml:space="preserve">(Eq. (10); 2.5 for a simply supported mid-span).</w:t>
      </w:r>
    </w:p>
    <w:tbl>
      <w:tblPr>
        <w:tblStyle w:val="Table"/>
        <w:tblW w:type="auto" w:w="0"/>
        <w:tblLook w:firstRow="1" w:lastRow="0" w:firstColumn="0" w:lastColumn="0" w:noHBand="0" w:noVBand="0" w:val="0020"/>
        <w:jc w:val="start"/>
        <w:tblBorders>
          <w:top w:val="single" w:sz="8" w:space="0" w:color="000000"/>
          <w:left w:val="nil"/>
          <w:bottom w:val="single" w:sz="8" w:space="0" w:color="000000"/>
          <w:right w:val="nil"/>
          <w:insideH w:val="nil"/>
          <w:insideV w:val="nil"/>
        </w:tblBorders>
      </w:tblPr>
      <w:tblGrid>
        <w:gridCol w:w="1615"/>
        <w:gridCol w:w="1863"/>
        <w:gridCol w:w="1863"/>
        <w:gridCol w:w="1863"/>
        <w:gridCol w:w="1863"/>
      </w:tblGrid>
      <w:tr>
        <w:trPr>
          <w:tblHeader w:val="true"/>
        </w:trPr>
        <w:tc>
          <w:tcPr>
            <w:tcW w:type="dxa" w:w="1615"/>
            <w:tcBorders>
              <w:top w:val="nil"/>
              <w:left w:val="nil"/>
              <w:bottom w:val="single" w:sz="6" w:space="0" w:color="000000"/>
              <w:right w:val="nil"/>
            </w:tcBorders>
          </w:tcPr>
          <w:p>
            <w:pPr>
              <w:pStyle w:val="Compact"/>
              <w:jc w:val="left"/>
            </w:pPr>
            <m:oMath>
              <m:r>
                <m:t>β</m:t>
              </m:r>
            </m:oMath>
          </w:p>
        </w:tc>
        <w:tc>
          <w:tcPr>
            <w:tcW w:type="dxa" w:w="1863"/>
            <w:tcBorders>
              <w:top w:val="nil"/>
              <w:left w:val="nil"/>
              <w:bottom w:val="single" w:sz="6" w:space="0" w:color="000000"/>
              <w:right w:val="nil"/>
            </w:tcBorders>
          </w:tcPr>
          <w:p>
            <w:pPr>
              <w:pStyle w:val="Compact"/>
              <w:jc w:val="left"/>
            </w:pPr>
            <m:oMath>
              <m:r>
                <m:t>μ</m:t>
              </m:r>
            </m:oMath>
          </w:p>
        </w:tc>
        <w:tc>
          <w:tcPr>
            <w:tcW w:type="dxa" w:w="1863"/>
            <w:tcBorders>
              <w:top w:val="nil"/>
              <w:left w:val="nil"/>
              <w:bottom w:val="single" w:sz="6" w:space="0" w:color="000000"/>
              <w:right w:val="nil"/>
            </w:tcBorders>
          </w:tcPr>
          <w:p>
            <w:pPr>
              <w:pStyle w:val="Compact"/>
              <w:jc w:val="left"/>
            </w:pPr>
            <m:oMath>
              <m:sSup>
                <m:e>
                  <m:r>
                    <m:t>ξ</m:t>
                  </m:r>
                </m:e>
                <m:sup>
                  <m:r>
                    <m:rPr>
                      <m:sty m:val="p"/>
                    </m:rPr>
                    <m:t>*</m:t>
                  </m:r>
                </m:sup>
              </m:sSup>
            </m:oMath>
          </w:p>
        </w:tc>
        <w:tc>
          <w:tcPr>
            <w:tcW w:type="dxa" w:w="1863"/>
            <w:tcBorders>
              <w:top w:val="nil"/>
              <w:left w:val="nil"/>
              <w:bottom w:val="single" w:sz="6" w:space="0" w:color="000000"/>
              <w:right w:val="nil"/>
            </w:tcBorders>
          </w:tcPr>
          <w:p>
            <w:pPr>
              <w:pStyle w:val="Compact"/>
              <w:jc w:val="left"/>
            </w:pPr>
            <m:oMath>
              <m:sSub>
                <m:e>
                  <m:r>
                    <m:t>N</m:t>
                  </m:r>
                </m:e>
                <m:sub>
                  <m:r>
                    <m:t>w</m:t>
                  </m:r>
                </m:sub>
              </m:sSub>
            </m:oMath>
            <w:r>
              <w:t xml:space="preserve"> </w:t>
            </w:r>
            <w:r>
              <w:t xml:space="preserve">at</w:t>
            </w:r>
            <w:r>
              <w:t xml:space="preserve"> </w:t>
            </w:r>
            <m:oMath>
              <m:sSup>
                <m:e>
                  <m:r>
                    <m:t>ξ</m:t>
                  </m:r>
                </m:e>
                <m:sup>
                  <m:r>
                    <m:rPr>
                      <m:sty m:val="p"/>
                    </m:rPr>
                    <m:t>*</m:t>
                  </m:r>
                </m:sup>
              </m:sSup>
            </m:oMath>
          </w:p>
        </w:tc>
        <w:tc>
          <w:tcPr>
            <w:tcW w:type="dxa" w:w="1863"/>
            <w:tcBorders>
              <w:top w:val="nil"/>
              <w:left w:val="nil"/>
              <w:bottom w:val="single" w:sz="6" w:space="0" w:color="000000"/>
              <w:right w:val="nil"/>
            </w:tcBorders>
          </w:tcPr>
          <w:p>
            <w:pPr>
              <w:pStyle w:val="Compact"/>
              <w:jc w:val="left"/>
            </w:pPr>
            <m:oMath>
              <m:sSub>
                <m:e>
                  <m:r>
                    <m:t>N</m:t>
                  </m:r>
                </m:e>
                <m:sub>
                  <m:r>
                    <m:t>w</m:t>
                  </m:r>
                </m:sub>
              </m:sSub>
            </m:oMath>
            <w:r>
              <w:t xml:space="preserve"> </w:t>
            </w:r>
            <w:r>
              <w:t xml:space="preserve">at</w:t>
            </w:r>
            <w:r>
              <w:t xml:space="preserve"> </w:t>
            </w:r>
            <m:oMath>
              <m:r>
                <m:t>ξ</m:t>
              </m:r>
              <m:r>
                <m:rPr>
                  <m:sty m:val="p"/>
                </m:rPr>
                <m:t>=</m:t>
              </m:r>
              <m:r>
                <m:t>1</m:t>
              </m:r>
              <m:r>
                <m:rPr>
                  <m:sty m:val="p"/>
                </m:rPr>
                <m:t>/</m:t>
              </m:r>
              <m:r>
                <m:t>2</m:t>
              </m:r>
            </m:oMath>
          </w:p>
        </w:tc>
      </w:tr>
      <w:tr>
        <w:tc>
          <w:tcPr>
            <w:tcW w:type="dxa" w:w="1615"/>
          </w:tcPr>
          <w:p>
            <w:pPr>
              <w:pStyle w:val="Compact"/>
              <w:jc w:val="left"/>
            </w:pPr>
            <w:r>
              <w:t xml:space="preserve">1.0</w:t>
            </w:r>
          </w:p>
        </w:tc>
        <w:tc>
          <w:tcPr>
            <w:tcW w:type="dxa" w:w="1863"/>
          </w:tcPr>
          <w:p>
            <w:pPr>
              <w:pStyle w:val="Compact"/>
              <w:jc w:val="left"/>
            </w:pPr>
            <w:r>
              <w:t xml:space="preserve">0.800</w:t>
            </w:r>
          </w:p>
        </w:tc>
        <w:tc>
          <w:tcPr>
            <w:tcW w:type="dxa" w:w="1863"/>
          </w:tcPr>
          <w:p>
            <w:pPr>
              <w:pStyle w:val="Compact"/>
              <w:jc w:val="left"/>
            </w:pPr>
            <w:r>
              <w:t xml:space="preserve">0.4460</w:t>
            </w:r>
          </w:p>
        </w:tc>
        <w:tc>
          <w:tcPr>
            <w:tcW w:type="dxa" w:w="1863"/>
          </w:tcPr>
          <w:p>
            <w:pPr>
              <w:pStyle w:val="Compact"/>
              <w:jc w:val="left"/>
            </w:pPr>
            <w:r>
              <w:t xml:space="preserve">1.322</w:t>
            </w:r>
          </w:p>
        </w:tc>
        <w:tc>
          <w:tcPr>
            <w:tcW w:type="dxa" w:w="1863"/>
          </w:tcPr>
          <w:p>
            <w:pPr>
              <w:pStyle w:val="Compact"/>
              <w:jc w:val="left"/>
            </w:pPr>
            <w:r>
              <w:t xml:space="preserve">1.300</w:t>
            </w:r>
          </w:p>
        </w:tc>
      </w:tr>
      <w:tr>
        <w:tc>
          <w:tcPr>
            <w:tcW w:type="dxa" w:w="1615"/>
          </w:tcPr>
          <w:p>
            <w:pPr>
              <w:pStyle w:val="Compact"/>
              <w:jc w:val="left"/>
            </w:pPr>
            <w:r>
              <w:t xml:space="preserve">1.2</w:t>
            </w:r>
          </w:p>
        </w:tc>
        <w:tc>
          <w:tcPr>
            <w:tcW w:type="dxa" w:w="1863"/>
          </w:tcPr>
          <w:p>
            <w:pPr>
              <w:pStyle w:val="Compact"/>
              <w:jc w:val="left"/>
            </w:pPr>
            <w:r>
              <w:t xml:space="preserve">0.9743</w:t>
            </w:r>
          </w:p>
        </w:tc>
        <w:tc>
          <w:tcPr>
            <w:tcW w:type="dxa" w:w="1863"/>
          </w:tcPr>
          <w:p>
            <w:pPr>
              <w:pStyle w:val="Compact"/>
              <w:jc w:val="left"/>
            </w:pPr>
            <w:r>
              <w:t xml:space="preserve">0.4251</w:t>
            </w:r>
          </w:p>
        </w:tc>
        <w:tc>
          <w:tcPr>
            <w:tcW w:type="dxa" w:w="1863"/>
          </w:tcPr>
          <w:p>
            <w:pPr>
              <w:pStyle w:val="Compact"/>
              <w:jc w:val="left"/>
            </w:pPr>
            <w:r>
              <w:t xml:space="preserve">1.076</w:t>
            </w:r>
          </w:p>
        </w:tc>
        <w:tc>
          <w:tcPr>
            <w:tcW w:type="dxa" w:w="1863"/>
          </w:tcPr>
          <w:p>
            <w:pPr>
              <w:pStyle w:val="Compact"/>
              <w:jc w:val="left"/>
            </w:pPr>
            <w:r>
              <w:t xml:space="preserve">1.039</w:t>
            </w:r>
          </w:p>
        </w:tc>
      </w:tr>
      <w:tr>
        <w:tc>
          <w:tcPr>
            <w:tcW w:type="dxa" w:w="1615"/>
          </w:tcPr>
          <w:p>
            <w:pPr>
              <w:pStyle w:val="Compact"/>
              <w:jc w:val="left"/>
            </w:pPr>
            <w:r>
              <w:t xml:space="preserve">1.4</w:t>
            </w:r>
          </w:p>
        </w:tc>
        <w:tc>
          <w:tcPr>
            <w:tcW w:type="dxa" w:w="1863"/>
          </w:tcPr>
          <w:p>
            <w:pPr>
              <w:pStyle w:val="Compact"/>
              <w:jc w:val="left"/>
            </w:pPr>
            <w:r>
              <w:t xml:space="preserve">1.208</w:t>
            </w:r>
          </w:p>
        </w:tc>
        <w:tc>
          <w:tcPr>
            <w:tcW w:type="dxa" w:w="1863"/>
          </w:tcPr>
          <w:p>
            <w:pPr>
              <w:pStyle w:val="Compact"/>
              <w:jc w:val="left"/>
            </w:pPr>
            <w:r>
              <w:t xml:space="preserve">0.3875</w:t>
            </w:r>
          </w:p>
        </w:tc>
        <w:tc>
          <w:tcPr>
            <w:tcW w:type="dxa" w:w="1863"/>
          </w:tcPr>
          <w:p>
            <w:pPr>
              <w:pStyle w:val="Compact"/>
              <w:jc w:val="left"/>
            </w:pPr>
            <w:r>
              <w:t xml:space="preserve">0.7585</w:t>
            </w:r>
          </w:p>
        </w:tc>
        <w:tc>
          <w:tcPr>
            <w:tcW w:type="dxa" w:w="1863"/>
          </w:tcPr>
          <w:p>
            <w:pPr>
              <w:pStyle w:val="Compact"/>
              <w:jc w:val="left"/>
            </w:pPr>
            <w:r>
              <w:t xml:space="preserve">0.6884</w:t>
            </w:r>
          </w:p>
        </w:tc>
      </w:tr>
      <w:tr>
        <w:tc>
          <w:tcPr>
            <w:tcW w:type="dxa" w:w="1615"/>
          </w:tcPr>
          <w:p>
            <w:pPr>
              <w:pStyle w:val="Compact"/>
              <w:jc w:val="left"/>
            </w:pPr>
            <w:r>
              <w:t xml:space="preserve">1.5</w:t>
            </w:r>
          </w:p>
        </w:tc>
        <w:tc>
          <w:tcPr>
            <w:tcW w:type="dxa" w:w="1863"/>
          </w:tcPr>
          <w:p>
            <w:pPr>
              <w:pStyle w:val="Compact"/>
              <w:jc w:val="left"/>
            </w:pPr>
            <w:r>
              <w:t xml:space="preserve">1.346</w:t>
            </w:r>
          </w:p>
        </w:tc>
        <w:tc>
          <w:tcPr>
            <w:tcW w:type="dxa" w:w="1863"/>
          </w:tcPr>
          <w:p>
            <w:pPr>
              <w:pStyle w:val="Compact"/>
              <w:jc w:val="left"/>
            </w:pPr>
            <w:r>
              <w:t xml:space="preserve">0.3582</w:t>
            </w:r>
          </w:p>
        </w:tc>
        <w:tc>
          <w:tcPr>
            <w:tcW w:type="dxa" w:w="1863"/>
          </w:tcPr>
          <w:p>
            <w:pPr>
              <w:pStyle w:val="Compact"/>
              <w:jc w:val="left"/>
            </w:pPr>
            <w:r>
              <w:t xml:space="preserve">0.5807</w:t>
            </w:r>
          </w:p>
        </w:tc>
        <w:tc>
          <w:tcPr>
            <w:tcW w:type="dxa" w:w="1863"/>
          </w:tcPr>
          <w:p>
            <w:pPr>
              <w:pStyle w:val="Compact"/>
              <w:jc w:val="left"/>
            </w:pPr>
            <w:r>
              <w:t xml:space="preserve">0.4808</w:t>
            </w:r>
          </w:p>
        </w:tc>
      </w:tr>
      <w:tr>
        <w:tc>
          <w:tcPr>
            <w:tcW w:type="dxa" w:w="1615"/>
          </w:tcPr>
          <w:p>
            <w:pPr>
              <w:pStyle w:val="Compact"/>
              <w:jc w:val="left"/>
            </w:pPr>
            <w:r>
              <w:t xml:space="preserve">1.636</w:t>
            </w:r>
          </w:p>
        </w:tc>
        <w:tc>
          <w:tcPr>
            <w:tcW w:type="dxa" w:w="1863"/>
          </w:tcPr>
          <w:p>
            <w:pPr>
              <w:pStyle w:val="Compact"/>
              <w:jc w:val="left"/>
            </w:pPr>
            <w:r>
              <w:t xml:space="preserve">1.558</w:t>
            </w:r>
          </w:p>
        </w:tc>
        <w:tc>
          <w:tcPr>
            <w:tcW w:type="dxa" w:w="1863"/>
          </w:tcPr>
          <w:p>
            <w:pPr>
              <w:pStyle w:val="Compact"/>
              <w:jc w:val="left"/>
            </w:pPr>
            <w:r>
              <w:t xml:space="preserve">0.2994</w:t>
            </w:r>
          </w:p>
        </w:tc>
        <w:tc>
          <w:tcPr>
            <w:tcW w:type="dxa" w:w="1863"/>
          </w:tcPr>
          <w:p>
            <w:pPr>
              <w:pStyle w:val="Compact"/>
              <w:jc w:val="left"/>
            </w:pPr>
            <w:r>
              <w:t xml:space="preserve">0.3316</w:t>
            </w:r>
          </w:p>
        </w:tc>
        <w:tc>
          <w:tcPr>
            <w:tcW w:type="dxa" w:w="1863"/>
          </w:tcPr>
          <w:p>
            <w:pPr>
              <w:pStyle w:val="Compact"/>
              <w:jc w:val="left"/>
            </w:pPr>
            <w:r>
              <w:t xml:space="preserve">0.1632</w:t>
            </w:r>
          </w:p>
        </w:tc>
      </w:tr>
      <w:tr>
        <w:tc>
          <w:tcPr>
            <w:tcW w:type="dxa" w:w="1615"/>
          </w:tcPr>
          <w:p>
            <w:pPr>
              <w:pStyle w:val="Compact"/>
              <w:jc w:val="left"/>
            </w:pPr>
            <w:r>
              <w:t xml:space="preserve">1.7</w:t>
            </w:r>
          </w:p>
        </w:tc>
        <w:tc>
          <w:tcPr>
            <w:tcW w:type="dxa" w:w="1863"/>
          </w:tcPr>
          <w:p>
            <w:pPr>
              <w:pStyle w:val="Compact"/>
              <w:jc w:val="left"/>
            </w:pPr>
            <w:r>
              <w:t xml:space="preserve">1.666</w:t>
            </w:r>
          </w:p>
        </w:tc>
        <w:tc>
          <w:tcPr>
            <w:tcW w:type="dxa" w:w="1863"/>
          </w:tcPr>
          <w:p>
            <w:pPr>
              <w:pStyle w:val="Compact"/>
              <w:jc w:val="left"/>
            </w:pPr>
            <w:r>
              <w:t xml:space="preserve">0.2608</w:t>
            </w:r>
          </w:p>
        </w:tc>
        <w:tc>
          <w:tcPr>
            <w:tcW w:type="dxa" w:w="1863"/>
          </w:tcPr>
          <w:p>
            <w:pPr>
              <w:pStyle w:val="Compact"/>
              <w:jc w:val="left"/>
            </w:pPr>
            <w:r>
              <w:t xml:space="preserve">0.2202</w:t>
            </w:r>
          </w:p>
        </w:tc>
        <w:tc>
          <w:tcPr>
            <w:tcW w:type="dxa" w:w="1863"/>
          </w:tcPr>
          <w:p>
            <w:pPr>
              <w:pStyle w:val="Compact"/>
              <w:jc w:val="left"/>
            </w:pPr>
            <w:r>
              <w:t xml:space="preserve">0.0015</w:t>
            </w:r>
          </w:p>
        </w:tc>
      </w:tr>
    </w:tbl>
    <w:bookmarkEnd w:id="42"/>
    <w:bookmarkStart w:id="43" w:name="X0ebc401f1b08b90996efef4e255e7d7d96e4ee0"/>
    <w:p>
      <w:pPr>
        <w:pStyle w:val="Heading2"/>
      </w:pPr>
      <w:r>
        <w:t xml:space="preserve">Appendix B. General channels and invariant weighting functions</w:t>
      </w:r>
    </w:p>
    <w:p>
      <w:pPr>
        <w:pStyle w:val="FirstParagraph"/>
      </w:pPr>
      <w:r>
        <w:t xml:space="preserve">For a prismatic span with end-moment parameters</w:t>
      </w:r>
      <w:r>
        <w:t xml:space="preserve"> </w:t>
      </w:r>
      <m:oMath>
        <m:sSub>
          <m:e>
            <m:acc>
              <m:accPr>
                <m:chr m:val="‾"/>
              </m:accPr>
              <m:e>
                <m:r>
                  <m:t>M</m:t>
                </m:r>
              </m:e>
            </m:acc>
          </m:e>
          <m:sub>
            <m:r>
              <m:t>l</m:t>
            </m:r>
          </m:sub>
        </m:sSub>
      </m:oMath>
      <w:r>
        <w:t xml:space="preserve">,</w:t>
      </w:r>
      <w:r>
        <w:t xml:space="preserve"> </w:t>
      </w:r>
      <m:oMath>
        <m:sSub>
          <m:e>
            <m:acc>
              <m:accPr>
                <m:chr m:val="‾"/>
              </m:accPr>
              <m:e>
                <m:r>
                  <m:t>M</m:t>
                </m:r>
              </m:e>
            </m:acc>
          </m:e>
          <m:sub>
            <m:r>
              <m:t>r</m:t>
            </m:r>
          </m:sub>
        </m:sSub>
      </m:oMath>
      <w:r>
        <w:t xml:space="preserve"> </w:t>
      </w:r>
      <w:r>
        <w:t xml:space="preserve">and</w:t>
      </w:r>
      <w:r>
        <w:t xml:space="preserve"> </w:t>
      </w:r>
      <m:oMath>
        <m:r>
          <m:t>ξ</m:t>
        </m:r>
        <m:r>
          <m:rPr>
            <m:sty m:val="p"/>
          </m:rPr>
          <m:t>=</m:t>
        </m:r>
        <m:r>
          <m:t>x</m:t>
        </m:r>
        <m:r>
          <m:rPr>
            <m:sty m:val="p"/>
          </m:rPr>
          <m:t>/</m:t>
        </m:r>
        <m:r>
          <m:t>L</m:t>
        </m:r>
      </m:oMath>
      <w:r>
        <w:t xml:space="preserve">, the indicators are</w:t>
      </w:r>
      <w:r>
        <w:t xml:space="preserve"> </w:t>
      </w:r>
      <m:oMath>
        <m:sSub>
          <m:e>
            <m:r>
              <m:t>N</m:t>
            </m:r>
          </m:e>
          <m:sub>
            <m:r>
              <m:t>w</m:t>
            </m:r>
          </m:sub>
        </m:sSub>
        <m:r>
          <m:rPr>
            <m:sty m:val="p"/>
          </m:rPr>
          <m:t>=</m:t>
        </m:r>
        <m:r>
          <m:t>8</m:t>
        </m:r>
        <m:r>
          <m:t>Φ</m:t>
        </m:r>
      </m:oMath>
      <w:r>
        <w:t xml:space="preserve"> </w:t>
      </w:r>
      <w:r>
        <w:t xml:space="preserve">with</w:t>
      </w:r>
      <w:r>
        <w:t xml:space="preserve"> </w:t>
      </w:r>
      <m:oMath>
        <m:r>
          <m:t>Φ</m:t>
        </m:r>
        <m:r>
          <m:rPr>
            <m:sty m:val="p"/>
          </m:rPr>
          <m:t>=</m:t>
        </m:r>
        <m:r>
          <m:t>ξ</m:t>
        </m:r>
        <m:d>
          <m:dPr>
            <m:begChr m:val="("/>
            <m:endChr m:val=")"/>
            <m:sepChr m:val=""/>
            <m:grow/>
          </m:dPr>
          <m:e>
            <m:r>
              <m:t>1</m:t>
            </m:r>
            <m:r>
              <m:rPr>
                <m:sty m:val="p"/>
              </m:rPr>
              <m:t>−</m:t>
            </m:r>
            <m:r>
              <m:t>2</m:t>
            </m:r>
            <m:sSup>
              <m:e>
                <m:r>
                  <m:t>ξ</m:t>
                </m:r>
              </m:e>
              <m:sup>
                <m:r>
                  <m:t>2</m:t>
                </m:r>
              </m:sup>
            </m:sSup>
            <m:r>
              <m:rPr>
                <m:sty m:val="p"/>
              </m:rPr>
              <m:t>+</m:t>
            </m:r>
            <m:sSup>
              <m:e>
                <m:r>
                  <m:t>ξ</m:t>
                </m:r>
              </m:e>
              <m:sup>
                <m:r>
                  <m:t>3</m:t>
                </m:r>
              </m:sup>
            </m:sSup>
          </m:e>
        </m:d>
        <m:r>
          <m:rPr>
            <m:sty m:val="p"/>
          </m:rPr>
          <m:t>−</m:t>
        </m:r>
        <m:f>
          <m:fPr>
            <m:type m:val="lin"/>
          </m:fPr>
          <m:num>
            <m:sSub>
              <m:e>
                <m:acc>
                  <m:accPr>
                    <m:chr m:val="‾"/>
                  </m:accPr>
                  <m:e>
                    <m:r>
                      <m:t>M</m:t>
                    </m:r>
                  </m:e>
                </m:acc>
              </m:e>
              <m:sub>
                <m:r>
                  <m:t>l</m:t>
                </m:r>
              </m:sub>
            </m:sSub>
          </m:num>
          <m:den>
            <m:r>
              <m:t>2</m:t>
            </m:r>
          </m:den>
        </m:f>
        <m:d>
          <m:dPr>
            <m:begChr m:val="("/>
            <m:endChr m:val=")"/>
            <m:sepChr m:val=""/>
            <m:grow/>
          </m:dPr>
          <m:e>
            <m:r>
              <m:t>2</m:t>
            </m:r>
            <m:r>
              <m:t>ξ</m:t>
            </m:r>
            <m:r>
              <m:rPr>
                <m:sty m:val="p"/>
              </m:rPr>
              <m:t>−</m:t>
            </m:r>
            <m:r>
              <m:t>3</m:t>
            </m:r>
            <m:sSup>
              <m:e>
                <m:r>
                  <m:t>ξ</m:t>
                </m:r>
              </m:e>
              <m:sup>
                <m:r>
                  <m:t>2</m:t>
                </m:r>
              </m:sup>
            </m:sSup>
            <m:r>
              <m:rPr>
                <m:sty m:val="p"/>
              </m:rPr>
              <m:t>+</m:t>
            </m:r>
            <m:sSup>
              <m:e>
                <m:r>
                  <m:t>ξ</m:t>
                </m:r>
              </m:e>
              <m:sup>
                <m:r>
                  <m:t>3</m:t>
                </m:r>
              </m:sup>
            </m:sSup>
          </m:e>
        </m:d>
        <m:r>
          <m:rPr>
            <m:sty m:val="p"/>
          </m:rPr>
          <m:t>−</m:t>
        </m:r>
        <m:f>
          <m:fPr>
            <m:type m:val="lin"/>
          </m:fPr>
          <m:num>
            <m:sSub>
              <m:e>
                <m:acc>
                  <m:accPr>
                    <m:chr m:val="‾"/>
                  </m:accPr>
                  <m:e>
                    <m:r>
                      <m:t>M</m:t>
                    </m:r>
                  </m:e>
                </m:acc>
              </m:e>
              <m:sub>
                <m:r>
                  <m:t>r</m:t>
                </m:r>
              </m:sub>
            </m:sSub>
          </m:num>
          <m:den>
            <m:r>
              <m:t>2</m:t>
            </m:r>
          </m:den>
        </m:f>
        <m:d>
          <m:dPr>
            <m:begChr m:val="("/>
            <m:endChr m:val=")"/>
            <m:sepChr m:val=""/>
            <m:grow/>
          </m:dPr>
          <m:e>
            <m:r>
              <m:t>ξ</m:t>
            </m:r>
            <m:r>
              <m:rPr>
                <m:sty m:val="p"/>
              </m:rPr>
              <m:t>−</m:t>
            </m:r>
            <m:sSup>
              <m:e>
                <m:r>
                  <m:t>ξ</m:t>
                </m:r>
              </m:e>
              <m:sup>
                <m:r>
                  <m:t>3</m:t>
                </m:r>
              </m:sup>
            </m:sSup>
          </m:e>
        </m:d>
      </m:oMath>
      <w:r>
        <w:t xml:space="preserve">,</w:t>
      </w:r>
      <w:r>
        <w:t xml:space="preserve"> </w:t>
      </w:r>
      <m:oMath>
        <m:sSub>
          <m:e>
            <m:r>
              <m:t>N</m:t>
            </m:r>
          </m:e>
          <m:sub>
            <m:r>
              <m:t>θ</m:t>
            </m:r>
          </m:sub>
        </m:sSub>
        <m:r>
          <m:rPr>
            <m:sty m:val="p"/>
          </m:rPr>
          <m:t>=</m:t>
        </m:r>
        <m:r>
          <m:t>24</m:t>
        </m:r>
        <m:r>
          <m:t>E</m:t>
        </m:r>
        <m:r>
          <m:t>I</m:t>
        </m:r>
        <m:r>
          <m:t> </m:t>
        </m:r>
        <m:sSub>
          <m:e>
            <m:r>
              <m:t>C</m:t>
            </m:r>
          </m:e>
          <m:sub>
            <m:r>
              <m:t>θ</m:t>
            </m:r>
          </m:sub>
        </m:sSub>
        <m:r>
          <m:rPr>
            <m:sty m:val="p"/>
          </m:rPr>
          <m:t>/</m:t>
        </m:r>
        <m:sSup>
          <m:e>
            <m:r>
              <m:t>L</m:t>
            </m:r>
          </m:e>
          <m:sup>
            <m:r>
              <m:t>3</m:t>
            </m:r>
          </m:sup>
        </m:sSup>
        <m:r>
          <m:rPr>
            <m:sty m:val="p"/>
          </m:rPr>
          <m:t>=</m:t>
        </m:r>
        <m:r>
          <m:t>Φ</m:t>
        </m:r>
        <m:r>
          <m:rPr>
            <m:sty m:val="p"/>
          </m:rPr>
          <m:t>′</m:t>
        </m:r>
        <m:d>
          <m:dPr>
            <m:begChr m:val="("/>
            <m:endChr m:val=")"/>
            <m:sepChr m:val=""/>
            <m:grow/>
          </m:dPr>
          <m:e>
            <m:r>
              <m:t>ξ</m:t>
            </m:r>
          </m:e>
        </m:d>
      </m:oMath>
      <w:r>
        <w:t xml:space="preserve">,</w:t>
      </w:r>
      <w:r>
        <w:t xml:space="preserve"> </w:t>
      </w:r>
      <m:oMath>
        <m:sSub>
          <m:e>
            <m:r>
              <m:t>N</m:t>
            </m:r>
          </m:e>
          <m:sub>
            <m:r>
              <m:t>M</m:t>
            </m:r>
          </m:sub>
        </m:sSub>
      </m:oMath>
      <w:r>
        <w:t xml:space="preserve"> </w:t>
      </w:r>
      <w:r>
        <w:t xml:space="preserve">of Eq. (9) and</w:t>
      </w:r>
      <w:r>
        <w:t xml:space="preserve"> </w:t>
      </w:r>
      <m:oMath>
        <m:sSub>
          <m:e>
            <m:r>
              <m:t>N</m:t>
            </m:r>
          </m:e>
          <m:sub>
            <m:r>
              <m:t>V</m:t>
            </m:r>
          </m:sub>
        </m:sSub>
        <m:r>
          <m:rPr>
            <m:sty m:val="p"/>
          </m:rPr>
          <m:t>=</m:t>
        </m:r>
        <m:r>
          <m:t>2</m:t>
        </m:r>
        <m:sSub>
          <m:e>
            <m:r>
              <m:t>C</m:t>
            </m:r>
          </m:e>
          <m:sub>
            <m:r>
              <m:t>V</m:t>
            </m:r>
          </m:sub>
        </m:sSub>
        <m:r>
          <m:rPr>
            <m:sty m:val="p"/>
          </m:rPr>
          <m:t>/</m:t>
        </m:r>
        <m:r>
          <m:t>L</m:t>
        </m:r>
        <m:r>
          <m:rPr>
            <m:sty m:val="p"/>
          </m:rPr>
          <m:t>=</m:t>
        </m:r>
        <m:r>
          <m:t>1</m:t>
        </m:r>
        <m:r>
          <m:rPr>
            <m:sty m:val="p"/>
          </m:rPr>
          <m:t>−</m:t>
        </m:r>
        <m:r>
          <m:t>2</m:t>
        </m:r>
        <m:r>
          <m:t>ξ</m:t>
        </m:r>
        <m:r>
          <m:rPr>
            <m:sty m:val="p"/>
          </m:rPr>
          <m:t>+</m:t>
        </m:r>
        <m:d>
          <m:dPr>
            <m:begChr m:val="("/>
            <m:endChr m:val=")"/>
            <m:sepChr m:val=""/>
            <m:grow/>
          </m:dPr>
          <m:e>
            <m:sSub>
              <m:e>
                <m:acc>
                  <m:accPr>
                    <m:chr m:val="‾"/>
                  </m:accPr>
                  <m:e>
                    <m:r>
                      <m:t>M</m:t>
                    </m:r>
                  </m:e>
                </m:acc>
              </m:e>
              <m:sub>
                <m:r>
                  <m:t>l</m:t>
                </m:r>
              </m:sub>
            </m:sSub>
            <m:r>
              <m:rPr>
                <m:sty m:val="p"/>
              </m:rPr>
              <m:t>−</m:t>
            </m:r>
            <m:sSub>
              <m:e>
                <m:acc>
                  <m:accPr>
                    <m:chr m:val="‾"/>
                  </m:accPr>
                  <m:e>
                    <m:r>
                      <m:t>M</m:t>
                    </m:r>
                  </m:e>
                </m:acc>
              </m:e>
              <m:sub>
                <m:r>
                  <m:t>r</m:t>
                </m:r>
              </m:sub>
            </m:sSub>
          </m:e>
        </m:d>
        <m:r>
          <m:rPr>
            <m:sty m:val="p"/>
          </m:rPr>
          <m:t>/</m:t>
        </m:r>
        <m:r>
          <m:t>4</m:t>
        </m:r>
      </m:oMath>
      <w:r>
        <w:t xml:space="preserve">.</w:t>
      </w:r>
      <w:r>
        <w:t xml:space="preserve"> </w:t>
      </w:r>
      <m:oMath>
        <m:sSub>
          <m:e>
            <m:r>
              <m:t>N</m:t>
            </m:r>
          </m:e>
          <m:sub>
            <m:r>
              <m:t>θ</m:t>
            </m:r>
          </m:sub>
        </m:sSub>
      </m:oMath>
      <w:r>
        <w:t xml:space="preserve">,</w:t>
      </w:r>
      <w:r>
        <w:t xml:space="preserve"> </w:t>
      </w:r>
      <m:oMath>
        <m:sSub>
          <m:e>
            <m:r>
              <m:t>N</m:t>
            </m:r>
          </m:e>
          <m:sub>
            <m:r>
              <m:t>M</m:t>
            </m:r>
          </m:sub>
        </m:sSub>
      </m:oMath>
      <w:r>
        <w:t xml:space="preserve"> </w:t>
      </w:r>
      <w:r>
        <w:t xml:space="preserve">and</w:t>
      </w:r>
      <w:r>
        <w:t xml:space="preserve"> </w:t>
      </w:r>
      <m:oMath>
        <m:sSub>
          <m:e>
            <m:r>
              <m:t>N</m:t>
            </m:r>
          </m:e>
          <m:sub>
            <m:r>
              <m:t>V</m:t>
            </m:r>
          </m:sub>
        </m:sSub>
      </m:oMath>
      <w:r>
        <w:t xml:space="preserve"> </w:t>
      </w:r>
      <w:r>
        <w:t xml:space="preserve">equal 1 for the simply supported reference (end rotation, mid-span moment, end shear).</w:t>
      </w:r>
      <w:r>
        <w:t xml:space="preserve"> </w:t>
      </w:r>
      <m:oMath>
        <m:sSub>
          <m:e>
            <m:r>
              <m:t>N</m:t>
            </m:r>
          </m:e>
          <m:sub>
            <m:r>
              <m:t>w</m:t>
            </m:r>
          </m:sub>
        </m:sSub>
      </m:oMath>
      <w:r>
        <w:t xml:space="preserve"> </w:t>
      </w:r>
      <w:r>
        <w:t xml:space="preserve">equals 2.5 at a simply supported mid-span and 1 at mid-span of each span of an equal two-span beam. For the two-span beam,</w:t>
      </w:r>
      <w:r>
        <w:t xml:space="preserve"> </w:t>
      </w:r>
      <m:oMath>
        <m:d>
          <m:dPr>
            <m:begChr m:val="("/>
            <m:endChr m:val=")"/>
            <m:sepChr m:val=""/>
            <m:grow/>
          </m:dPr>
          <m:e>
            <m:sSub>
              <m:e>
                <m:acc>
                  <m:accPr>
                    <m:chr m:val="‾"/>
                  </m:accPr>
                  <m:e>
                    <m:r>
                      <m:t>M</m:t>
                    </m:r>
                  </m:e>
                </m:acc>
              </m:e>
              <m:sub>
                <m:r>
                  <m:t>l</m:t>
                </m:r>
              </m:sub>
            </m:sSub>
            <m:r>
              <m:rPr>
                <m:sty m:val="p"/>
              </m:rPr>
              <m:t>,</m:t>
            </m:r>
            <m:sSub>
              <m:e>
                <m:acc>
                  <m:accPr>
                    <m:chr m:val="‾"/>
                  </m:accPr>
                  <m:e>
                    <m:r>
                      <m:t>M</m:t>
                    </m:r>
                  </m:e>
                </m:acc>
              </m:e>
              <m:sub>
                <m:r>
                  <m:t>r</m:t>
                </m:r>
              </m:sub>
            </m:sSub>
          </m:e>
        </m:d>
        <m:r>
          <m:rPr>
            <m:sty m:val="p"/>
          </m:rPr>
          <m:t>=</m:t>
        </m:r>
        <m:d>
          <m:dPr>
            <m:begChr m:val="("/>
            <m:endChr m:val=")"/>
            <m:sepChr m:val=""/>
            <m:grow/>
          </m:dPr>
          <m:e>
            <m:r>
              <m:t>0</m:t>
            </m:r>
            <m:r>
              <m:rPr>
                <m:sty m:val="p"/>
              </m:rPr>
              <m:t>,</m:t>
            </m:r>
            <m:r>
              <m:t>μ</m:t>
            </m:r>
          </m:e>
        </m:d>
      </m:oMath>
      <w:r>
        <w:t xml:space="preserve"> </w:t>
      </w:r>
      <w:r>
        <w:t xml:space="preserve">in span 1 and</w:t>
      </w:r>
      <w:r>
        <w:t xml:space="preserve"> </w:t>
      </w:r>
      <m:oMath>
        <m:d>
          <m:dPr>
            <m:begChr m:val="("/>
            <m:endChr m:val=")"/>
            <m:sepChr m:val=""/>
            <m:grow/>
          </m:dPr>
          <m:e>
            <m:r>
              <m:t>μ</m:t>
            </m:r>
            <m:r>
              <m:rPr>
                <m:sty m:val="p"/>
              </m:rPr>
              <m:t>/</m:t>
            </m:r>
            <m:sSup>
              <m:e>
                <m:r>
                  <m:t>λ</m:t>
                </m:r>
              </m:e>
              <m:sup>
                <m:r>
                  <m:t>2</m:t>
                </m:r>
              </m:sup>
            </m:sSup>
            <m:r>
              <m:rPr>
                <m:sty m:val="p"/>
              </m:rPr>
              <m:t>,</m:t>
            </m:r>
            <m:r>
              <m:t>0</m:t>
            </m:r>
          </m:e>
        </m:d>
      </m:oMath>
      <w:r>
        <w:t xml:space="preserve"> </w:t>
      </w:r>
      <w:r>
        <w:t xml:space="preserve">in span 2; for the symmetric three-span beam,</w:t>
      </w:r>
      <w:r>
        <w:t xml:space="preserve"> </w:t>
      </w:r>
      <m:oMath>
        <m:d>
          <m:dPr>
            <m:begChr m:val="("/>
            <m:endChr m:val=")"/>
            <m:sepChr m:val=""/>
            <m:grow/>
          </m:dPr>
          <m:e>
            <m:r>
              <m:t>0</m:t>
            </m:r>
            <m:r>
              <m:rPr>
                <m:sty m:val="p"/>
              </m:rPr>
              <m:t>,</m:t>
            </m:r>
            <m:r>
              <m:t>μ</m:t>
            </m:r>
          </m:e>
        </m:d>
      </m:oMath>
      <w:r>
        <w:t xml:space="preserve"> </w:t>
      </w:r>
      <w:r>
        <w:t xml:space="preserve">in the side span and</w:t>
      </w:r>
      <w:r>
        <w:t xml:space="preserve"> </w:t>
      </w:r>
      <m:oMath>
        <m:d>
          <m:dPr>
            <m:begChr m:val="("/>
            <m:endChr m:val=")"/>
            <m:sepChr m:val=""/>
            <m:grow/>
          </m:dPr>
          <m:e>
            <m:r>
              <m:t>μ</m:t>
            </m:r>
            <m:r>
              <m:rPr>
                <m:sty m:val="p"/>
              </m:rPr>
              <m:t>/</m:t>
            </m:r>
            <m:sSup>
              <m:e>
                <m:r>
                  <m:t>β</m:t>
                </m:r>
              </m:e>
              <m:sup>
                <m:r>
                  <m:t>2</m:t>
                </m:r>
              </m:sup>
            </m:sSup>
            <m:r>
              <m:rPr>
                <m:sty m:val="p"/>
              </m:rPr>
              <m:t>,</m:t>
            </m:r>
            <m:r>
              <m:t>μ</m:t>
            </m:r>
            <m:r>
              <m:rPr>
                <m:sty m:val="p"/>
              </m:rPr>
              <m:t>/</m:t>
            </m:r>
            <m:sSup>
              <m:e>
                <m:r>
                  <m:t>β</m:t>
                </m:r>
              </m:e>
              <m:sup>
                <m:r>
                  <m:t>2</m:t>
                </m:r>
              </m:sup>
            </m:sSup>
          </m:e>
        </m:d>
      </m:oMath>
      <w:r>
        <w:t xml:space="preserve"> </w:t>
      </w:r>
      <w:r>
        <w:t xml:space="preserve">in the main span. Strain zeros solve</w:t>
      </w:r>
      <w:r>
        <w:t xml:space="preserve"> </w:t>
      </w:r>
      <m:oMath>
        <m:r>
          <m:t>4</m:t>
        </m:r>
        <m:sSup>
          <m:e>
            <m:r>
              <m:t>ξ</m:t>
            </m:r>
          </m:e>
          <m:sup>
            <m:r>
              <m:t>2</m:t>
            </m:r>
          </m:sup>
        </m:sSup>
        <m:r>
          <m:rPr>
            <m:sty m:val="p"/>
          </m:rPr>
          <m:t>−</m:t>
        </m:r>
        <m:d>
          <m:dPr>
            <m:begChr m:val="("/>
            <m:endChr m:val=")"/>
            <m:sepChr m:val=""/>
            <m:grow/>
          </m:dPr>
          <m:e>
            <m:r>
              <m:t>4</m:t>
            </m:r>
            <m:r>
              <m:rPr>
                <m:sty m:val="p"/>
              </m:rPr>
              <m:t>+</m:t>
            </m:r>
            <m:sSub>
              <m:e>
                <m:acc>
                  <m:accPr>
                    <m:chr m:val="‾"/>
                  </m:accPr>
                  <m:e>
                    <m:r>
                      <m:t>M</m:t>
                    </m:r>
                  </m:e>
                </m:acc>
              </m:e>
              <m:sub>
                <m:r>
                  <m:t>l</m:t>
                </m:r>
              </m:sub>
            </m:sSub>
            <m:r>
              <m:rPr>
                <m:sty m:val="p"/>
              </m:rPr>
              <m:t>−</m:t>
            </m:r>
            <m:sSub>
              <m:e>
                <m:acc>
                  <m:accPr>
                    <m:chr m:val="‾"/>
                  </m:accPr>
                  <m:e>
                    <m:r>
                      <m:t>M</m:t>
                    </m:r>
                  </m:e>
                </m:acc>
              </m:e>
              <m:sub>
                <m:r>
                  <m:t>r</m:t>
                </m:r>
              </m:sub>
            </m:sSub>
          </m:e>
        </m:d>
        <m:r>
          <m:t>ξ</m:t>
        </m:r>
        <m:r>
          <m:rPr>
            <m:sty m:val="p"/>
          </m:rPr>
          <m:t>+</m:t>
        </m:r>
        <m:sSub>
          <m:e>
            <m:acc>
              <m:accPr>
                <m:chr m:val="‾"/>
              </m:accPr>
              <m:e>
                <m:r>
                  <m:t>M</m:t>
                </m:r>
              </m:e>
            </m:acc>
          </m:e>
          <m:sub>
            <m:r>
              <m:t>l</m:t>
            </m:r>
          </m:sub>
        </m:sSub>
        <m:r>
          <m:rPr>
            <m:sty m:val="p"/>
          </m:rPr>
          <m:t>=</m:t>
        </m:r>
        <m:r>
          <m:t>0</m:t>
        </m:r>
      </m:oMath>
      <w:r>
        <w:t xml:space="preserve">.</w:t>
      </w:r>
    </w:p>
    <w:p>
      <w:pPr>
        <w:pStyle w:val="BodyText"/>
      </w:pPr>
      <w:r>
        <w:t xml:space="preserve">All closed forms of Section 2.2 agree with FE evaluations of Eq. (2) in 981 checks, with a maximum error of 8.1 × 10⁻¹¹ on the normalised indicators. The verification covered two-span, symmetric and asymmetric three-span and four-span beams, zero-moment positions, ten blind configurations, the identity for a two-truck convoy on piecewise-prismatic girders with elastic pier springs (relative error 2.8 × 10⁻⁹), and the haunched Cầu Mây FE against an independent force-method solution (5.4 × 10⁻¹⁰). Truncating the record when the first axle leaves changed the integral by up to 59 % (rotation) and 10 % (moment) on the two-span example.</w:t>
      </w:r>
    </w:p>
    <w:p>
      <w:pPr>
        <w:pStyle w:val="BodyText"/>
      </w:pPr>
      <w:r>
        <w:t xml:space="preserve">For the most general linear estimator</w:t>
      </w:r>
      <w:r>
        <w:t xml:space="preserve"> </w:t>
      </w:r>
      <m:oMath>
        <m:acc>
          <m:accPr>
            <m:chr m:val="̂"/>
          </m:accPr>
          <m:e>
            <m:r>
              <m:t>P</m:t>
            </m:r>
          </m:e>
        </m:acc>
        <m:r>
          <m:rPr>
            <m:sty m:val="p"/>
          </m:rPr>
          <m:t>=</m:t>
        </m:r>
        <m:nary>
          <m:naryPr>
            <m:chr m:val="∑"/>
            <m:limLoc m:val="undOvr"/>
            <m:subHide m:val="off"/>
            <m:supHide m:val="on"/>
          </m:naryPr>
          <m:sub>
            <m:r>
              <m:t>j</m:t>
            </m:r>
          </m:sub>
          <m:sup>
            <m:r>
              <m:t>​</m:t>
            </m:r>
          </m:sup>
          <m:e>
            <m:r>
              <m:rPr>
                <m:sty m:val="p"/>
              </m:rPr>
              <m:t>∫</m:t>
            </m:r>
          </m:e>
        </m:nary>
        <m:sSub>
          <m:e>
            <m:r>
              <m:t>g</m:t>
            </m:r>
          </m:e>
          <m:sub>
            <m:r>
              <m:t>j</m:t>
            </m:r>
          </m:sub>
        </m:sSub>
        <m:d>
          <m:dPr>
            <m:begChr m:val="("/>
            <m:endChr m:val=")"/>
            <m:sepChr m:val=""/>
            <m:grow/>
          </m:dPr>
          <m:e>
            <m:r>
              <m:t>x</m:t>
            </m:r>
          </m:e>
        </m:d>
        <m:sSub>
          <m:e>
            <m:r>
              <m:t>y</m:t>
            </m:r>
          </m:e>
          <m:sub>
            <m:r>
              <m:t>j</m:t>
            </m:r>
          </m:sub>
        </m:sSub>
        <m:d>
          <m:dPr>
            <m:begChr m:val="("/>
            <m:endChr m:val=")"/>
            <m:sepChr m:val=""/>
            <m:grow/>
          </m:dPr>
          <m:e>
            <m:r>
              <m:t>x</m:t>
            </m:r>
          </m:e>
        </m:d>
        <m:r>
          <m:t> </m:t>
        </m:r>
        <m:r>
          <m:rPr>
            <m:sty m:val="p"/>
          </m:rPr>
          <m:t>d</m:t>
        </m:r>
        <m:r>
          <m:t>x</m:t>
        </m:r>
      </m:oMath>
      <w:r>
        <w:t xml:space="preserve">, with weighting functions</w:t>
      </w:r>
      <w:r>
        <w:t xml:space="preserve"> </w:t>
      </w:r>
      <m:oMath>
        <m:sSub>
          <m:e>
            <m:r>
              <m:t>g</m:t>
            </m:r>
          </m:e>
          <m:sub>
            <m:r>
              <m:t>j</m:t>
            </m:r>
          </m:sub>
        </m:sSub>
      </m:oMath>
      <w:r>
        <w:t xml:space="preserve"> </w:t>
      </w:r>
      <w:r>
        <w:t xml:space="preserve">along the records</w:t>
      </w:r>
      <w:r>
        <w:t xml:space="preserve"> </w:t>
      </w:r>
      <m:oMath>
        <m:sSub>
          <m:e>
            <m:r>
              <m:t>y</m:t>
            </m:r>
          </m:e>
          <m:sub>
            <m:r>
              <m:t>j</m:t>
            </m:r>
          </m:sub>
        </m:sSub>
      </m:oMath>
      <w:r>
        <w:t xml:space="preserve">, the mean is</w:t>
      </w:r>
      <w:r>
        <w:t xml:space="preserve"> </w:t>
      </w:r>
      <m:oMath>
        <m:nary>
          <m:naryPr>
            <m:chr m:val="∑"/>
            <m:limLoc m:val="undOvr"/>
            <m:subHide m:val="off"/>
            <m:supHide m:val="on"/>
          </m:naryPr>
          <m:sub>
            <m:r>
              <m:t>i</m:t>
            </m:r>
          </m:sub>
          <m:sup>
            <m:r>
              <m:t>​</m:t>
            </m:r>
          </m:sup>
          <m:e>
            <m:sSub>
              <m:e>
                <m:r>
                  <m:t>P</m:t>
                </m:r>
              </m:e>
              <m:sub>
                <m:r>
                  <m:t>i</m:t>
                </m:r>
              </m:sub>
            </m:sSub>
          </m:e>
        </m:nary>
        <m:r>
          <m:t>h</m:t>
        </m:r>
        <m:d>
          <m:dPr>
            <m:begChr m:val="("/>
            <m:endChr m:val=")"/>
            <m:sepChr m:val=""/>
            <m:grow/>
          </m:dPr>
          <m:e>
            <m:sSub>
              <m:e>
                <m:r>
                  <m:t>s</m:t>
                </m:r>
              </m:e>
              <m:sub>
                <m:r>
                  <m:t>i</m:t>
                </m:r>
              </m:sub>
            </m:sSub>
          </m:e>
        </m:d>
      </m:oMath>
      <w:r>
        <w:t xml:space="preserve"> </w:t>
      </w:r>
      <w:r>
        <w:t xml:space="preserve">with</w:t>
      </w:r>
      <w:r>
        <w:t xml:space="preserve"> </w:t>
      </w:r>
      <m:oMath>
        <m:r>
          <m:t>h</m:t>
        </m:r>
        <m:d>
          <m:dPr>
            <m:begChr m:val="("/>
            <m:endChr m:val=")"/>
            <m:sepChr m:val=""/>
            <m:grow/>
          </m:dPr>
          <m:e>
            <m:r>
              <m:t>s</m:t>
            </m:r>
          </m:e>
        </m:d>
        <m:r>
          <m:rPr>
            <m:sty m:val="p"/>
          </m:rPr>
          <m:t>=</m:t>
        </m:r>
        <m:nary>
          <m:naryPr>
            <m:chr m:val="∑"/>
            <m:limLoc m:val="undOvr"/>
            <m:subHide m:val="off"/>
            <m:supHide m:val="on"/>
          </m:naryPr>
          <m:sub>
            <m:r>
              <m:t>j</m:t>
            </m:r>
          </m:sub>
          <m:sup>
            <m:r>
              <m:t>​</m:t>
            </m:r>
          </m:sup>
          <m:e>
            <m:r>
              <m:rPr>
                <m:sty m:val="p"/>
              </m:rPr>
              <m:t>∫</m:t>
            </m:r>
          </m:e>
        </m:nary>
        <m:sSub>
          <m:e>
            <m:r>
              <m:t>g</m:t>
            </m:r>
          </m:e>
          <m:sub>
            <m:r>
              <m:t>j</m:t>
            </m:r>
          </m:sub>
        </m:sSub>
        <m:d>
          <m:dPr>
            <m:begChr m:val="("/>
            <m:endChr m:val=")"/>
            <m:sepChr m:val=""/>
            <m:grow/>
          </m:dPr>
          <m:e>
            <m:r>
              <m:t>x</m:t>
            </m:r>
          </m:e>
        </m:d>
        <m:sSub>
          <m:e>
            <m:r>
              <m:t>η</m:t>
            </m:r>
          </m:e>
          <m:sub>
            <m:r>
              <m:t>j</m:t>
            </m:r>
          </m:sub>
        </m:sSub>
        <m:d>
          <m:dPr>
            <m:begChr m:val="("/>
            <m:endChr m:val=")"/>
            <m:sepChr m:val=""/>
            <m:grow/>
          </m:dPr>
          <m:e>
            <m:r>
              <m:t>x</m:t>
            </m:r>
            <m:r>
              <m:rPr>
                <m:sty m:val="p"/>
              </m:rPr>
              <m:t>−</m:t>
            </m:r>
            <m:r>
              <m:t>s</m:t>
            </m:r>
          </m:e>
        </m:d>
        <m:r>
          <m:t> </m:t>
        </m:r>
        <m:r>
          <m:rPr>
            <m:sty m:val="p"/>
          </m:rPr>
          <m:t>d</m:t>
        </m:r>
        <m:r>
          <m:t>x</m:t>
        </m:r>
      </m:oMath>
      <w:r>
        <w:t xml:space="preserve">. If</w:t>
      </w:r>
      <w:r>
        <w:t xml:space="preserve"> </w:t>
      </w:r>
      <m:oMath>
        <m:r>
          <m:t>h</m:t>
        </m:r>
      </m:oMath>
      <w:r>
        <w:t xml:space="preserve"> </w:t>
      </w:r>
      <w:r>
        <w:t xml:space="preserve">must be constant in</w:t>
      </w:r>
      <w:r>
        <w:t xml:space="preserve"> </w:t>
      </w:r>
      <m:oMath>
        <m:r>
          <m:t>s</m:t>
        </m:r>
      </m:oMath>
      <w:r>
        <w:t xml:space="preserve"> </w:t>
      </w:r>
      <w:r>
        <w:t xml:space="preserve">for every set of influence lines supported on</w:t>
      </w:r>
      <w:r>
        <w:t xml:space="preserve"> </w:t>
      </w:r>
      <m:oMath>
        <m:d>
          <m:dPr>
            <m:begChr m:val="["/>
            <m:endChr m:val="]"/>
            <m:sepChr m:val=""/>
            <m:grow/>
          </m:dPr>
          <m:e>
            <m:r>
              <m:t>0</m:t>
            </m:r>
            <m:r>
              <m:rPr>
                <m:sty m:val="p"/>
              </m:rPr>
              <m:t>,</m:t>
            </m:r>
            <m:sSub>
              <m:e>
                <m:r>
                  <m:t>L</m:t>
                </m:r>
              </m:e>
              <m:sub>
                <m:r>
                  <m:t>p</m:t>
                </m:r>
              </m:sub>
            </m:sSub>
          </m:e>
        </m:d>
      </m:oMath>
      <w:r>
        <w:t xml:space="preserve">, then</w:t>
      </w:r>
      <w:r>
        <w:t xml:space="preserve"> </w:t>
      </w:r>
      <m:oMath>
        <m:nary>
          <m:naryPr>
            <m:chr m:val="∫"/>
            <m:limLoc m:val="subSup"/>
            <m:subHide m:val="off"/>
            <m:supHide m:val="off"/>
          </m:naryPr>
          <m:sub>
            <m:r>
              <m:t>0</m:t>
            </m:r>
          </m:sub>
          <m:sup>
            <m:sSub>
              <m:e>
                <m:r>
                  <m:t>L</m:t>
                </m:r>
              </m:e>
              <m:sub>
                <m:r>
                  <m:t>p</m:t>
                </m:r>
              </m:sub>
            </m:sSub>
          </m:sup>
          <m:e>
            <m:d>
              <m:dPr>
                <m:begChr m:val="["/>
                <m:endChr m:val="]"/>
                <m:sepChr m:val=""/>
                <m:grow/>
              </m:dPr>
              <m:e>
                <m:r>
                  <m:t>g</m:t>
                </m:r>
                <m:d>
                  <m:dPr>
                    <m:begChr m:val="("/>
                    <m:endChr m:val=")"/>
                    <m:sepChr m:val=""/>
                    <m:grow/>
                  </m:dPr>
                  <m:e>
                    <m:r>
                      <m:t>u</m:t>
                    </m:r>
                    <m:r>
                      <m:rPr>
                        <m:sty m:val="p"/>
                      </m:rPr>
                      <m:t>+</m:t>
                    </m:r>
                    <m:r>
                      <m:t>s</m:t>
                    </m:r>
                  </m:e>
                </m:d>
                <m:r>
                  <m:rPr>
                    <m:sty m:val="p"/>
                  </m:rPr>
                  <m:t>−</m:t>
                </m:r>
                <m:r>
                  <m:t>g</m:t>
                </m:r>
                <m:d>
                  <m:dPr>
                    <m:begChr m:val="("/>
                    <m:endChr m:val=")"/>
                    <m:sepChr m:val=""/>
                    <m:grow/>
                  </m:dPr>
                  <m:e>
                    <m:r>
                      <m:t>u</m:t>
                    </m:r>
                    <m:r>
                      <m:rPr>
                        <m:sty m:val="p"/>
                      </m:rPr>
                      <m:t>+</m:t>
                    </m:r>
                    <m:r>
                      <m:t>s</m:t>
                    </m:r>
                    <m:r>
                      <m:rPr>
                        <m:sty m:val="p"/>
                      </m:rPr>
                      <m:t>′</m:t>
                    </m:r>
                  </m:e>
                </m:d>
              </m:e>
            </m:d>
          </m:e>
        </m:nary>
        <m:r>
          <m:t>η</m:t>
        </m:r>
        <m:d>
          <m:dPr>
            <m:begChr m:val="("/>
            <m:endChr m:val=")"/>
            <m:sepChr m:val=""/>
            <m:grow/>
          </m:dPr>
          <m:e>
            <m:r>
              <m:t>u</m:t>
            </m:r>
          </m:e>
        </m:d>
        <m:r>
          <m:t> </m:t>
        </m:r>
        <m:r>
          <m:rPr>
            <m:sty m:val="p"/>
          </m:rPr>
          <m:t>d</m:t>
        </m:r>
        <m:r>
          <m:t>u</m:t>
        </m:r>
        <m:r>
          <m:rPr>
            <m:sty m:val="p"/>
          </m:rPr>
          <m:t>=</m:t>
        </m:r>
        <m:r>
          <m:t>0</m:t>
        </m:r>
      </m:oMath>
      <w:r>
        <w:t xml:space="preserve"> </w:t>
      </w:r>
      <w:r>
        <w:t xml:space="preserve">for every admissible</w:t>
      </w:r>
      <w:r>
        <w:t xml:space="preserve"> </w:t>
      </w:r>
      <m:oMath>
        <m:r>
          <m:t>η</m:t>
        </m:r>
      </m:oMath>
      <w:r>
        <w:t xml:space="preserve">, so</w:t>
      </w:r>
      <w:r>
        <w:t xml:space="preserve"> </w:t>
      </w:r>
      <m:oMath>
        <m:r>
          <m:t>g</m:t>
        </m:r>
        <m:d>
          <m:dPr>
            <m:begChr m:val="("/>
            <m:endChr m:val=")"/>
            <m:sepChr m:val=""/>
            <m:grow/>
          </m:dPr>
          <m:e>
            <m:r>
              <m:t>u</m:t>
            </m:r>
            <m:r>
              <m:rPr>
                <m:sty m:val="p"/>
              </m:rPr>
              <m:t>+</m:t>
            </m:r>
            <m:r>
              <m:t>s</m:t>
            </m:r>
          </m:e>
        </m:d>
        <m:r>
          <m:rPr>
            <m:sty m:val="p"/>
          </m:rPr>
          <m:t>=</m:t>
        </m:r>
        <m:r>
          <m:t>g</m:t>
        </m:r>
        <m:d>
          <m:dPr>
            <m:begChr m:val="("/>
            <m:endChr m:val=")"/>
            <m:sepChr m:val=""/>
            <m:grow/>
          </m:dPr>
          <m:e>
            <m:r>
              <m:t>u</m:t>
            </m:r>
            <m:r>
              <m:rPr>
                <m:sty m:val="p"/>
              </m:rPr>
              <m:t>+</m:t>
            </m:r>
            <m:r>
              <m:t>s</m:t>
            </m:r>
            <m:r>
              <m:rPr>
                <m:sty m:val="p"/>
              </m:rPr>
              <m:t>′</m:t>
            </m:r>
          </m:e>
        </m:d>
      </m:oMath>
      <w:r>
        <w:t xml:space="preserve"> </w:t>
      </w:r>
      <w:r>
        <w:t xml:space="preserve">almost everywhere. Each</w:t>
      </w:r>
      <w:r>
        <w:t xml:space="preserve"> </w:t>
      </w:r>
      <m:oMath>
        <m:sSub>
          <m:e>
            <m:r>
              <m:t>g</m:t>
            </m:r>
          </m:e>
          <m:sub>
            <m:r>
              <m:t>j</m:t>
            </m:r>
          </m:sub>
        </m:sSub>
      </m:oMath>
      <w:r>
        <w:t xml:space="preserve"> </w:t>
      </w:r>
      <w:r>
        <w:t xml:space="preserve">is therefore constant, and the only freedom lies across channels. An estimate built on the absolute value of the record [44] is not linear in the axle loads, so it loses this invariance whenever contributions of opposite sign overlap. When the influence line is known, other invariant weighting functions exist; for two equal spans their white-noise variance is 1.5–6.6 times smaller, but a 20 % stiffness error in the adjacent span then produces configuration-dependent errors of −1.1 % to +2.0 % (Supplementary Material).</w:t>
      </w:r>
    </w:p>
    <w:bookmarkEnd w:id="43"/>
    <w:bookmarkStart w:id="44" w:name="X9dd822d35e64776c84c0a7f16a469d327c3e534"/>
    <w:p>
      <w:pPr>
        <w:pStyle w:val="Heading2"/>
      </w:pPr>
      <w:r>
        <w:t xml:space="preserve">Appendix C. Identifiability: sensitivities and Möbius law</w:t>
      </w:r>
    </w:p>
    <w:p>
      <w:pPr>
        <w:pStyle w:val="FirstParagraph"/>
      </w:pPr>
      <w:r>
        <w:t xml:space="preserve">Let</w:t>
      </w:r>
      <w:r>
        <w:t xml:space="preserve"> </w:t>
      </w:r>
      <m:oMath>
        <m:r>
          <m:t>G</m:t>
        </m:r>
        <m:r>
          <m:rPr>
            <m:sty m:val="p"/>
          </m:rPr>
          <m:t>=</m:t>
        </m:r>
        <m:sSup>
          <m:e>
            <m:r>
              <m:t>K</m:t>
            </m:r>
          </m:e>
          <m:sup>
            <m:r>
              <m:rPr>
                <m:sty m:val="p"/>
              </m:rPr>
              <m:t>−</m:t>
            </m:r>
            <m:r>
              <m:t>1</m:t>
            </m:r>
          </m:sup>
        </m:sSup>
      </m:oMath>
      <w:r>
        <w:t xml:space="preserve"> </w:t>
      </w:r>
      <w:r>
        <w:t xml:space="preserve">with</w:t>
      </w:r>
      <w:r>
        <w:t xml:space="preserve"> </w:t>
      </w:r>
      <m:oMath>
        <m:r>
          <m:t>K</m:t>
        </m:r>
        <m:r>
          <m:rPr>
            <m:sty m:val="p"/>
          </m:rPr>
          <m:t>=</m:t>
        </m:r>
        <m:r>
          <m:t>α</m:t>
        </m:r>
        <m:sSub>
          <m:e>
            <m:r>
              <m:t>K</m:t>
            </m:r>
          </m:e>
          <m:sub>
            <m:r>
              <m:t>g</m:t>
            </m:r>
          </m:sub>
        </m:sSub>
        <m:r>
          <m:rPr>
            <m:sty m:val="p"/>
          </m:rPr>
          <m:t>+</m:t>
        </m:r>
        <m:r>
          <m:t>k</m:t>
        </m:r>
        <m:sSub>
          <m:e>
            <m:r>
              <m:t>K</m:t>
            </m:r>
          </m:e>
          <m:sub>
            <m:r>
              <m:t>p</m:t>
            </m:r>
          </m:sub>
        </m:sSub>
      </m:oMath>
      <w:r>
        <w:t xml:space="preserve">, where</w:t>
      </w:r>
      <w:r>
        <w:t xml:space="preserve"> </w:t>
      </w:r>
      <m:oMath>
        <m:sSub>
          <m:e>
            <m:r>
              <m:t>K</m:t>
            </m:r>
          </m:e>
          <m:sub>
            <m:r>
              <m:t>p</m:t>
            </m:r>
          </m:sub>
        </m:sSub>
      </m:oMath>
      <w:r>
        <w:t xml:space="preserve"> </w:t>
      </w:r>
      <w:r>
        <w:t xml:space="preserve">has a unit entry on each inner-pier rotational degree of freedom, and</w:t>
      </w:r>
      <w:r>
        <w:t xml:space="preserve"> </w:t>
      </w:r>
      <m:oMath>
        <m:sSub>
          <m:e>
            <m:r>
              <m:t>C</m:t>
            </m:r>
          </m:e>
          <m:sub>
            <m:r>
              <m:t>m</m:t>
            </m:r>
          </m:sub>
        </m:sSub>
        <m:r>
          <m:rPr>
            <m:sty m:val="p"/>
          </m:rPr>
          <m:t>=</m:t>
        </m:r>
        <m:sSubSup>
          <m:e>
            <m:r>
              <m:t>e</m:t>
            </m:r>
          </m:e>
          <m:sub>
            <m:r>
              <m:t>m</m:t>
            </m:r>
          </m:sub>
          <m:sup>
            <m:r>
              <m:rPr>
                <m:sty m:val="p"/>
              </m:rPr>
              <m:t>⊤</m:t>
            </m:r>
          </m:sup>
        </m:sSubSup>
        <m:r>
          <m:t>G</m:t>
        </m:r>
        <m:r>
          <m:t>q</m:t>
        </m:r>
      </m:oMath>
      <w:r>
        <w:t xml:space="preserve"> </w:t>
      </w:r>
      <w:r>
        <w:t xml:space="preserve">with</w:t>
      </w:r>
      <w:r>
        <w:t xml:space="preserve"> </w:t>
      </w:r>
      <m:oMath>
        <m:r>
          <m:t>q</m:t>
        </m:r>
      </m:oMath>
      <w:r>
        <w:t xml:space="preserve"> </w:t>
      </w:r>
      <w:r>
        <w:t xml:space="preserve">the consistent uniform load. Then</w:t>
      </w:r>
      <w:r>
        <w:t xml:space="preserve"> </w:t>
      </w:r>
      <m:oMath>
        <m:r>
          <m:rPr>
            <m:sty m:val="p"/>
          </m:rPr>
          <m:t>d</m:t>
        </m:r>
        <m:sSub>
          <m:e>
            <m:r>
              <m:t>C</m:t>
            </m:r>
          </m:e>
          <m:sub>
            <m:r>
              <m:t>m</m:t>
            </m:r>
          </m:sub>
        </m:sSub>
        <m:r>
          <m:rPr>
            <m:sty m:val="p"/>
          </m:rPr>
          <m:t>/</m:t>
        </m:r>
        <m:r>
          <m:rPr>
            <m:sty m:val="p"/>
          </m:rPr>
          <m:t>d</m:t>
        </m:r>
        <m:r>
          <m:t>k</m:t>
        </m:r>
        <m:r>
          <m:rPr>
            <m:sty m:val="p"/>
          </m:rPr>
          <m:t>=</m:t>
        </m:r>
        <m:r>
          <m:rPr>
            <m:sty m:val="p"/>
          </m:rPr>
          <m:t>−</m:t>
        </m:r>
        <m:nary>
          <m:naryPr>
            <m:chr m:val="∑"/>
            <m:limLoc m:val="undOvr"/>
            <m:subHide m:val="off"/>
            <m:supHide m:val="on"/>
          </m:naryPr>
          <m:sub>
            <m:r>
              <m:t>i</m:t>
            </m:r>
          </m:sub>
          <m:sup>
            <m:r>
              <m:t>​</m:t>
            </m:r>
          </m:sup>
          <m:e>
            <m:sSub>
              <m:e>
                <m:r>
                  <m:t>θ</m:t>
                </m:r>
              </m:e>
              <m:sub>
                <m:r>
                  <m:t>m</m:t>
                </m:r>
                <m:r>
                  <m:rPr>
                    <m:sty m:val="p"/>
                  </m:rPr>
                  <m:t>,</m:t>
                </m:r>
                <m:r>
                  <m:t>i</m:t>
                </m:r>
              </m:sub>
            </m:sSub>
          </m:e>
        </m:nary>
        <m:sSub>
          <m:e>
            <m:r>
              <m:t>θ</m:t>
            </m:r>
          </m:e>
          <m:sub>
            <m:r>
              <m:t>q</m:t>
            </m:r>
            <m:r>
              <m:rPr>
                <m:sty m:val="p"/>
              </m:rPr>
              <m:t>,</m:t>
            </m:r>
            <m:r>
              <m:t>i</m:t>
            </m:r>
          </m:sub>
        </m:sSub>
      </m:oMath>
      <w:r>
        <w:t xml:space="preserve">, where</w:t>
      </w:r>
      <w:r>
        <w:t xml:space="preserve"> </w:t>
      </w:r>
      <m:oMath>
        <m:sSub>
          <m:e>
            <m:r>
              <m:t>θ</m:t>
            </m:r>
          </m:e>
          <m:sub>
            <m:r>
              <m:t>m</m:t>
            </m:r>
            <m:r>
              <m:rPr>
                <m:sty m:val="p"/>
              </m:rPr>
              <m:t>,</m:t>
            </m:r>
            <m:r>
              <m:t>i</m:t>
            </m:r>
          </m:sub>
        </m:sSub>
      </m:oMath>
      <w:r>
        <w:t xml:space="preserve"> </w:t>
      </w:r>
      <w:r>
        <w:t xml:space="preserve">and</w:t>
      </w:r>
      <w:r>
        <w:t xml:space="preserve"> </w:t>
      </w:r>
      <m:oMath>
        <m:sSub>
          <m:e>
            <m:r>
              <m:t>θ</m:t>
            </m:r>
          </m:e>
          <m:sub>
            <m:r>
              <m:t>q</m:t>
            </m:r>
            <m:r>
              <m:rPr>
                <m:sty m:val="p"/>
              </m:rPr>
              <m:t>,</m:t>
            </m:r>
            <m:r>
              <m:t>i</m:t>
            </m:r>
          </m:sub>
        </m:sSub>
      </m:oMath>
      <w:r>
        <w:t xml:space="preserve"> </w:t>
      </w:r>
      <w:r>
        <w:t xml:space="preserve">are the pier rotations under a unit load at the gauge and under the uniform load. The logarithmic sensitivities</w:t>
      </w:r>
      <w:r>
        <w:t xml:space="preserve"> </w:t>
      </w:r>
      <m:oMath>
        <m:sSub>
          <m:e>
            <m:r>
              <m:t>S</m:t>
            </m:r>
          </m:e>
          <m:sub>
            <m:r>
              <m:t>α</m:t>
            </m:r>
          </m:sub>
        </m:sSub>
        <m:r>
          <m:rPr>
            <m:sty m:val="p"/>
          </m:rPr>
          <m:t>=</m:t>
        </m:r>
        <m:r>
          <m:rPr>
            <m:sty m:val="p"/>
          </m:rPr>
          <m:t>∂</m:t>
        </m:r>
        <m:r>
          <m:rPr>
            <m:sty m:val="p"/>
          </m:rPr>
          <m:t>ln</m:t>
        </m:r>
        <m:sSub>
          <m:e>
            <m:r>
              <m:t>C</m:t>
            </m:r>
          </m:e>
          <m:sub>
            <m:r>
              <m:t>m</m:t>
            </m:r>
          </m:sub>
        </m:sSub>
        <m:r>
          <m:rPr>
            <m:sty m:val="p"/>
          </m:rPr>
          <m:t>/</m:t>
        </m:r>
        <m:r>
          <m:rPr>
            <m:sty m:val="p"/>
          </m:rPr>
          <m:t>∂</m:t>
        </m:r>
        <m:r>
          <m:rPr>
            <m:sty m:val="p"/>
          </m:rPr>
          <m:t>ln</m:t>
        </m:r>
        <m:r>
          <m:t>α</m:t>
        </m:r>
      </m:oMath>
      <w:r>
        <w:t xml:space="preserve"> </w:t>
      </w:r>
      <w:r>
        <w:t xml:space="preserve">and</w:t>
      </w:r>
      <w:r>
        <w:t xml:space="preserve"> </w:t>
      </w:r>
      <m:oMath>
        <m:sSub>
          <m:e>
            <m:r>
              <m:t>S</m:t>
            </m:r>
          </m:e>
          <m:sub>
            <m:r>
              <m:t>k</m:t>
            </m:r>
          </m:sub>
        </m:sSub>
        <m:r>
          <m:rPr>
            <m:sty m:val="p"/>
          </m:rPr>
          <m:t>=</m:t>
        </m:r>
        <m:r>
          <m:rPr>
            <m:sty m:val="p"/>
          </m:rPr>
          <m:t>∂</m:t>
        </m:r>
        <m:r>
          <m:rPr>
            <m:sty m:val="p"/>
          </m:rPr>
          <m:t>ln</m:t>
        </m:r>
        <m:sSub>
          <m:e>
            <m:r>
              <m:t>C</m:t>
            </m:r>
          </m:e>
          <m:sub>
            <m:r>
              <m:t>m</m:t>
            </m:r>
          </m:sub>
        </m:sSub>
        <m:r>
          <m:rPr>
            <m:sty m:val="p"/>
          </m:rPr>
          <m:t>/</m:t>
        </m:r>
        <m:r>
          <m:rPr>
            <m:sty m:val="p"/>
          </m:rPr>
          <m:t>∂</m:t>
        </m:r>
        <m:r>
          <m:rPr>
            <m:sty m:val="p"/>
          </m:rPr>
          <m:t>ln</m:t>
        </m:r>
        <m:r>
          <m:t>k</m:t>
        </m:r>
      </m:oMath>
      <w:r>
        <w:t xml:space="preserve"> </w:t>
      </w:r>
      <w:r>
        <w:t xml:space="preserve">satisfy</w:t>
      </w:r>
      <w:r>
        <w:t xml:space="preserve"> </w:t>
      </w:r>
      <m:oMath>
        <m:sSub>
          <m:e>
            <m:r>
              <m:t>S</m:t>
            </m:r>
          </m:e>
          <m:sub>
            <m:r>
              <m:t>α</m:t>
            </m:r>
          </m:sub>
        </m:sSub>
        <m:r>
          <m:rPr>
            <m:sty m:val="p"/>
          </m:rPr>
          <m:t>+</m:t>
        </m:r>
        <m:sSub>
          <m:e>
            <m:r>
              <m:t>S</m:t>
            </m:r>
          </m:e>
          <m:sub>
            <m:r>
              <m:t>k</m:t>
            </m:r>
          </m:sub>
        </m:sSub>
        <m:r>
          <m:rPr>
            <m:sty m:val="p"/>
          </m:rPr>
          <m:t>=</m:t>
        </m:r>
        <m:r>
          <m:rPr>
            <m:sty m:val="p"/>
          </m:rPr>
          <m:t>−</m:t>
        </m:r>
        <m:r>
          <m:t>1</m:t>
        </m:r>
      </m:oMath>
      <w:r>
        <w:t xml:space="preserve"> </w:t>
      </w:r>
      <w:r>
        <w:t xml:space="preserve">by Euler’s theorem, because</w:t>
      </w:r>
      <w:r>
        <w:t xml:space="preserve"> </w:t>
      </w:r>
      <m:oMath>
        <m:sSub>
          <m:e>
            <m:r>
              <m:t>C</m:t>
            </m:r>
          </m:e>
          <m:sub>
            <m:r>
              <m:t>m</m:t>
            </m:r>
          </m:sub>
        </m:sSub>
      </m:oMath>
      <w:r>
        <w:t xml:space="preserve"> </w:t>
      </w:r>
      <w:r>
        <w:t xml:space="preserve">is homogeneous of degree −1 in</w:t>
      </w:r>
      <w:r>
        <w:t xml:space="preserve"> </w:t>
      </w:r>
      <m:oMath>
        <m:d>
          <m:dPr>
            <m:begChr m:val="("/>
            <m:endChr m:val=")"/>
            <m:sepChr m:val=""/>
            <m:grow/>
          </m:dPr>
          <m:e>
            <m:r>
              <m:t>α</m:t>
            </m:r>
            <m:r>
              <m:rPr>
                <m:sty m:val="p"/>
              </m:rPr>
              <m:t>,</m:t>
            </m:r>
            <m:r>
              <m:t>k</m:t>
            </m:r>
          </m:e>
        </m:d>
      </m:oMath>
      <w:r>
        <w:t xml:space="preserve">. Mirror symmetry decouples the symmetric and antisymmetric pier-rotation patterns, the uniform load excites only the antisymmetric one, and the Sherman–Morrison formula gives the linear-fractional (Möbius) law of Eq. (15) with</w:t>
      </w:r>
      <w:r>
        <w:t xml:space="preserve"> </w:t>
      </w:r>
      <m:oMath>
        <m:r>
          <m:t>1</m:t>
        </m:r>
        <m:r>
          <m:rPr>
            <m:sty m:val="p"/>
          </m:rPr>
          <m:t>/</m:t>
        </m:r>
        <m:sSub>
          <m:e>
            <m:r>
              <m:t>k</m:t>
            </m:r>
          </m:e>
          <m:sub>
            <m:r>
              <m:t>g</m:t>
            </m:r>
          </m:sub>
        </m:sSub>
      </m:oMath>
      <w:r>
        <w:t xml:space="preserve"> </w:t>
      </w:r>
      <w:r>
        <w:t xml:space="preserve">the antisymmetric pier flexibility of the girder at</w:t>
      </w:r>
      <w:r>
        <w:t xml:space="preserve"> </w:t>
      </w:r>
      <m:oMath>
        <m:r>
          <m:t>k</m:t>
        </m:r>
        <m:r>
          <m:rPr>
            <m:sty m:val="p"/>
          </m:rPr>
          <m:t>=</m:t>
        </m:r>
        <m:r>
          <m:t>0</m:t>
        </m:r>
      </m:oMath>
      <w:r>
        <w:t xml:space="preserve">. For the Cầu Mây model the law holds to a relative error of 5 × 10⁻⁶ over</w:t>
      </w:r>
      <w:r>
        <w:t xml:space="preserve"> </w:t>
      </w:r>
      <m:oMath>
        <m:r>
          <m:t>k</m:t>
        </m:r>
        <m:r>
          <m:rPr>
            <m:sty m:val="p"/>
          </m:rPr>
          <m:t>=</m:t>
        </m:r>
        <m:sSup>
          <m:e>
            <m:r>
              <m:t>10</m:t>
            </m:r>
          </m:e>
          <m:sup>
            <m:r>
              <m:t>5</m:t>
            </m:r>
          </m:sup>
        </m:sSup>
      </m:oMath>
      <w:r>
        <w:t xml:space="preserve">–</w:t>
      </w:r>
      <m:oMath>
        <m:sSup>
          <m:e>
            <m:r>
              <m:t>10</m:t>
            </m:r>
          </m:e>
          <m:sup>
            <m:r>
              <m:t>12</m:t>
            </m:r>
          </m:sup>
        </m:sSup>
      </m:oMath>
      <w:r>
        <w:t xml:space="preserve"> </w:t>
      </w:r>
      <w:r>
        <w:t xml:space="preserve">kN m/rad, and Eq. (16) agrees with FE to 4.4 × 10⁻⁷.</w:t>
      </w:r>
    </w:p>
    <w:p>
      <w:pPr>
        <w:pStyle w:val="BodyText"/>
      </w:pPr>
      <w:r>
        <w:t xml:space="preserve">With two static readings the Fisher matrix has a determinant proportional to</w:t>
      </w:r>
      <w:r>
        <w:t xml:space="preserve"> </w:t>
      </w:r>
      <m:oMath>
        <m:sSup>
          <m:e>
            <m:d>
              <m:dPr>
                <m:begChr m:val="("/>
                <m:endChr m:val=")"/>
                <m:sepChr m:val=""/>
                <m:grow/>
              </m:dPr>
              <m:e>
                <m:sSub>
                  <m:e>
                    <m:r>
                      <m:t>S</m:t>
                    </m:r>
                  </m:e>
                  <m:sub>
                    <m:r>
                      <m:t>y</m:t>
                    </m:r>
                    <m:r>
                      <m:t>8</m:t>
                    </m:r>
                  </m:sub>
                </m:sSub>
                <m:r>
                  <m:rPr>
                    <m:sty m:val="p"/>
                  </m:rPr>
                  <m:t>−</m:t>
                </m:r>
                <m:sSub>
                  <m:e>
                    <m:r>
                      <m:t>S</m:t>
                    </m:r>
                  </m:e>
                  <m:sub>
                    <m:r>
                      <m:t>y</m:t>
                    </m:r>
                    <m:r>
                      <m:t>7</m:t>
                    </m:r>
                  </m:sub>
                </m:sSub>
              </m:e>
            </m:d>
          </m:e>
          <m:sup>
            <m:r>
              <m:t>2</m:t>
            </m:r>
          </m:sup>
        </m:sSup>
      </m:oMath>
      <w:r>
        <w:t xml:space="preserve">, where</w:t>
      </w:r>
      <w:r>
        <w:t xml:space="preserve"> </w:t>
      </w:r>
      <m:oMath>
        <m:sSub>
          <m:e>
            <m:r>
              <m:t>S</m:t>
            </m:r>
          </m:e>
          <m:sub>
            <m:r>
              <m:t>y</m:t>
            </m:r>
            <m:r>
              <m:t>8</m:t>
            </m:r>
          </m:sub>
        </m:sSub>
      </m:oMath>
      <w:r>
        <w:t xml:space="preserve"> </w:t>
      </w:r>
      <w:r>
        <w:t xml:space="preserve">and</w:t>
      </w:r>
      <w:r>
        <w:t xml:space="preserve"> </w:t>
      </w:r>
      <m:oMath>
        <m:sSub>
          <m:e>
            <m:r>
              <m:t>S</m:t>
            </m:r>
          </m:e>
          <m:sub>
            <m:r>
              <m:t>y</m:t>
            </m:r>
            <m:r>
              <m:t>7</m:t>
            </m:r>
          </m:sub>
        </m:sSub>
      </m:oMath>
      <w:r>
        <w:t xml:space="preserve"> </w:t>
      </w:r>
      <w:r>
        <w:t xml:space="preserve">are the logarithmic sensitivities of the N8 and N7 readings to</w:t>
      </w:r>
      <w:r>
        <w:t xml:space="preserve"> </w:t>
      </w:r>
      <m:oMath>
        <m:r>
          <m:t>κ</m:t>
        </m:r>
      </m:oMath>
      <w:r>
        <w:t xml:space="preserve">; this determinant vanishes at the minimum of the ratio misfit, that is at calibration B. A frequency adds a row with the mass as nuisance parameter; a pier rotation adds a row without nuisance. Unequal pier stiffnesses would bring in the symmetric pattern, which Eq. (15) does not cover.</w:t>
      </w:r>
    </w:p>
    <w:bookmarkEnd w:id="44"/>
    <w:bookmarkStart w:id="45" w:name="computational-implementation"/>
    <w:p>
      <w:pPr>
        <w:pStyle w:val="Heading2"/>
      </w:pPr>
      <w:r>
        <w:t xml:space="preserve">Computational Implementation</w:t>
      </w:r>
    </w:p>
    <w:p>
      <w:pPr>
        <w:pStyle w:val="FirstParagraph"/>
      </w:pPr>
      <w:r>
        <w:t xml:space="preserve">All analyses were implemented by the authors in reproducible scripts: the closed forms and their FE verification, the multi-channel estimators, placement study and Monte Carlo simulation, the identifiability analysis of the in-service girder, the processing of the public field records and the laboratory evaluation. Generative artificial intelligence was used as an assistance tool during code development and debugging. Every equation and numerical output was checked independently against an analytical, finite element or convergence-based route, and the scripts and the console output of each run are provided as Supplementary Material.</w:t>
      </w:r>
    </w:p>
    <w:bookmarkEnd w:id="45"/>
    <w:bookmarkStart w:id="46" w:name="data-availability"/>
    <w:p>
      <w:pPr>
        <w:pStyle w:val="Heading2"/>
      </w:pPr>
      <w:r>
        <w:t xml:space="preserve">Data Availability</w:t>
      </w:r>
    </w:p>
    <w:p>
      <w:pPr>
        <w:pStyle w:val="FirstParagraph"/>
      </w:pPr>
      <w:r>
        <w:t xml:space="preserve">The field strain records analysed in Section 4 are publicly available in the NOR-BWIM dataset (figshare, https://doi.org/10.7294/26880898.v1, CC0) [49]. The laboratory deflection data are given in full in the Supplementary Material. The derived data behind every figure and table, the analysis scripts and the console output of each run are provided as Supplementary Material. The Cầu Mây load test was performed by an author of this paper, and the authors are permitted to publish the processed data (static deflection readings, truck positions, weighed truck masses and reported frequencies), which are available at [NEED VALUE: repository name and DOI].</w:t>
      </w:r>
    </w:p>
    <w:bookmarkEnd w:id="46"/>
    <w:bookmarkStart w:id="47" w:name="conflicts-of-interest"/>
    <w:p>
      <w:pPr>
        <w:pStyle w:val="Heading2"/>
      </w:pPr>
      <w:r>
        <w:t xml:space="preserve">Conflicts of Interest</w:t>
      </w:r>
    </w:p>
    <w:p>
      <w:pPr>
        <w:pStyle w:val="FirstParagraph"/>
      </w:pPr>
      <w:r>
        <w:t xml:space="preserve">The Cầu Mây load test analysed in Section 5 was performed by an author of this paper as part of inspection work carried out by Công ty TNHH Tư vấn Đại học Xây dựng (HUCE consultancy) [NEED VALUE: name(s) of authors involved and nature of relationship]. The authors declare that there is no other conflict of interest regarding the publication of this article.</w:t>
      </w:r>
    </w:p>
    <w:bookmarkEnd w:id="47"/>
    <w:bookmarkStart w:id="48" w:name="funding-statement"/>
    <w:p>
      <w:pPr>
        <w:pStyle w:val="Heading2"/>
      </w:pPr>
      <w:r>
        <w:t xml:space="preserve">Funding Statement</w:t>
      </w:r>
    </w:p>
    <w:p>
      <w:pPr>
        <w:pStyle w:val="FirstParagraph"/>
      </w:pPr>
      <w:r>
        <w:t xml:space="preserve">This research did not receive any specific grant from funding agencies in the public, commercial or not-for-profit sectors. [NEED VALUE: name the employer under whose employment the work was performed, and the source of the article processing charge, if any.]</w:t>
      </w:r>
    </w:p>
    <w:bookmarkEnd w:id="48"/>
    <w:bookmarkStart w:id="49" w:name="author-contributions"/>
    <w:p>
      <w:pPr>
        <w:pStyle w:val="Heading2"/>
      </w:pPr>
      <w:r>
        <w:t xml:space="preserve">Author Contributions</w:t>
      </w:r>
    </w:p>
    <w:p>
      <w:pPr>
        <w:pStyle w:val="FirstParagraph"/>
      </w:pPr>
      <w:r>
        <w:rPr>
          <w:bCs/>
          <w:b/>
        </w:rPr>
        <w:t xml:space="preserve">Quoc-Bao Nguyen:</w:t>
      </w:r>
      <w:r>
        <w:t xml:space="preserve"> </w:t>
      </w:r>
      <w:r>
        <w:t xml:space="preserve">Conceptualization, Methodology, Formal analysis, Software, Writing – original draft.</w:t>
      </w:r>
      <w:r>
        <w:t xml:space="preserve"> </w:t>
      </w:r>
      <w:r>
        <w:rPr>
          <w:bCs/>
          <w:b/>
        </w:rPr>
        <w:t xml:space="preserve">Thai-Son Vu:</w:t>
      </w:r>
      <w:r>
        <w:t xml:space="preserve"> </w:t>
      </w:r>
      <w:r>
        <w:t xml:space="preserve">Conceptualization, Investigation, Validation, Supervision, Project administration, Writing – review &amp; editing.</w:t>
      </w:r>
      <w:r>
        <w:t xml:space="preserve"> </w:t>
      </w:r>
      <w:r>
        <w:rPr>
          <w:bCs/>
          <w:b/>
        </w:rPr>
        <w:t xml:space="preserve">Hung-Son Nguyen:</w:t>
      </w:r>
      <w:r>
        <w:t xml:space="preserve"> </w:t>
      </w:r>
      <w:r>
        <w:t xml:space="preserve">Investigation, Data curation, Visualization, Writing – review &amp; editing.</w:t>
      </w:r>
    </w:p>
    <w:bookmarkEnd w:id="49"/>
    <w:bookmarkStart w:id="50" w:name="disclosure-of-generative-ai-use"/>
    <w:p>
      <w:pPr>
        <w:pStyle w:val="Heading2"/>
      </w:pPr>
      <w:r>
        <w:t xml:space="preserve">Disclosure of Generative AI Use</w:t>
      </w:r>
    </w:p>
    <w:p>
      <w:pPr>
        <w:pStyle w:val="FirstParagraph"/>
      </w:pPr>
      <w:r>
        <w:t xml:space="preserve">During the preparation of this work the authors used Claude (Anthropic) to assist with code development and debugging and with language editing. All scientific formulations, procedures, numerical results and interpretations were independently reviewed and verified by the authors, who take full responsibility for the content of the manuscript.</w:t>
      </w:r>
    </w:p>
    <w:bookmarkEnd w:id="50"/>
    <w:bookmarkStart w:id="51" w:name="acknowledgments"/>
    <w:p>
      <w:pPr>
        <w:pStyle w:val="Heading2"/>
      </w:pPr>
      <w:r>
        <w:t xml:space="preserve">Acknowledgments</w:t>
      </w:r>
    </w:p>
    <w:p>
      <w:pPr>
        <w:pStyle w:val="FirstParagraph"/>
      </w:pPr>
      <w:r>
        <w:t xml:space="preserve">The authors gratefully acknowledge the Laboratory of Transportation Technology and Systems, Faculty of Bridge and Road Engineering, Hanoi University of Civil Engineering, for providing the test facilities used in this study, and A. Moghadam and R. Sarlo for making the NOR-BWIM dataset publicly available. [NEED VALUE: whether to acknowledge Hai Duong PMU and the testing consultant for access to the acceptance-test report.]</w:t>
      </w:r>
    </w:p>
    <w:bookmarkEnd w:id="51"/>
    <w:bookmarkStart w:id="52" w:name="supplementary-material"/>
    <w:p>
      <w:pPr>
        <w:pStyle w:val="Heading2"/>
      </w:pPr>
      <w:r>
        <w:t xml:space="preserve">Supplementary Material</w:t>
      </w:r>
    </w:p>
    <w:p>
      <w:pPr>
        <w:pStyle w:val="FirstParagraph"/>
      </w:pPr>
      <w:r>
        <w:t xml:space="preserve">The Supplementary Material contains: (i) the analysis scripts and the console output of each run, with a README that maps every table and figure to a script and log; (ii) the derived data behind every figure and table; (iii) the laboratory specimen, influence line, quadrature study and full data; (iv) the field-record tables: per-channel constants and scatter with χ² tests (Table S1), truck-to-truck ratios with equivalence tests (Table S2), correlations of vehicle-free noise and crossing residuals (Table S3), the per-crossing standard deviations predicted by both covariance models (Table S4) and the full table of estimator errors (Table S5); the processing details and excluded runs, the speed regressions, lane-B and two-truck results, and all estimator results including leave-one-truck-out, in-sample and GLS with the covariance estimated from crossing residuals (Figs. S1–S2); (v) the beam model of the five-span girder, including the strain constant of the gauges relative to the largest on the girder, and the synthetic records of the dataset authors (Figs. S3–S4); (vi) strain blind-locus maps (Figs. S5–S6); (vii) the multi-channel placement study (brute-force search over all cases), Monte Carlo verification and structure-aware weighting functions (Figs. S7–S9); (viii) the asymmetric three-span closed forms; (ix) the Cầu Mây design section properties and concrete modulus, the model-form variants (depth lengths, exponents, rigid pier zone), the frequency interpretation, admissible sets against tolerance (3 %, 4 % and 5.3 %, with and without a prior on</w:t>
      </w:r>
      <w:r>
        <w:t xml:space="preserve"> </w:t>
      </w:r>
      <m:oMath>
        <m:r>
          <m:t>α</m:t>
        </m:r>
      </m:oMath>
      <w:r>
        <w:t xml:space="preserve">), the misfit ratio</w:t>
      </w:r>
      <w:r>
        <w:t xml:space="preserve"> </w:t>
      </w:r>
      <m:oMath>
        <m:sSub>
          <m:e>
            <m:r>
              <m:t>r</m:t>
            </m:r>
          </m:e>
          <m:sub>
            <m:r>
              <m:t>87</m:t>
            </m:r>
          </m:sub>
        </m:sSub>
      </m:oMath>
      <w:r>
        <w:t xml:space="preserve"> </w:t>
      </w:r>
      <w:r>
        <w:t xml:space="preserve">over</w:t>
      </w:r>
      <w:r>
        <w:t xml:space="preserve"> </w:t>
      </w:r>
      <m:oMath>
        <m:r>
          <m:t>κ</m:t>
        </m:r>
      </m:oMath>
      <w:r>
        <w:t xml:space="preserve"> </w:t>
      </w:r>
      <w:r>
        <w:t xml:space="preserve">and the closed-form Möbius law (Figs. S10–S12); (x) the moving-force analysis behind the dynamic bound; (xi) the deflection records of two simply supported bridges, which illustrate baseline handling and low-pass filtering (Figs. S13–S14).</w:t>
      </w:r>
    </w:p>
    <w:bookmarkEnd w:id="52"/>
    <w:bookmarkStart w:id="53" w:name="references"/>
    <w:p>
      <w:pPr>
        <w:pStyle w:val="Heading2"/>
      </w:pPr>
      <w:r>
        <w:t xml:space="preserve">References</w:t>
      </w:r>
    </w:p>
    <w:p>
      <w:pPr>
        <w:pStyle w:val="FirstParagraph"/>
      </w:pPr>
      <w:r>
        <w:t xml:space="preserve">[1] Y. Fan, J. Zhu, J. Pei, Z. Li, Analysis for Yangmingtan Bridge collapse, Eng. Fail. Anal. 56 (2015) 20–27. https://doi.org/10.1016/j.engfailanal.2015.05.003</w:t>
      </w:r>
    </w:p>
    <w:p>
      <w:pPr>
        <w:pStyle w:val="BodyText"/>
      </w:pPr>
      <w:r>
        <w:t xml:space="preserve">[2] H.M. Salem, H.M. Helmy, Numerical investigation of collapse of the Minnesota I-35W bridge, Eng. Struct. 59 (2014) 635–645. https://doi.org/10.1016/j.engstruct.2013.11.022</w:t>
      </w:r>
    </w:p>
    <w:p>
      <w:pPr>
        <w:pStyle w:val="BodyText"/>
      </w:pPr>
      <w:r>
        <w:t xml:space="preserve">[3] M. Morgese, F. Ansari, M. Domaneschi, G.P. Cimellaro, Post-collapse analysis of Morandi’s Polcevera viaduct in Genoa, Italy, J. Civ. Struct. Health Monit. 10 (2020) 69–85. https://doi.org/10.1007/s13349-019-00370-7</w:t>
      </w:r>
    </w:p>
    <w:p>
      <w:pPr>
        <w:pStyle w:val="BodyText"/>
      </w:pPr>
      <w:r>
        <w:t xml:space="preserve">[4] R. Ventura, B. Barabino, G. Maternini, Estimating the frequency of traffic overloading on road bridges, J. Traffic Transp. Eng. (Engl. Ed.) 11 (4) (2024) 776–796. https://doi.org/10.1016/j.jtte.2023.11.005</w:t>
      </w:r>
    </w:p>
    <w:p>
      <w:pPr>
        <w:pStyle w:val="BodyText"/>
      </w:pPr>
      <w:r>
        <w:t xml:space="preserve">[5] J. Gajda, R. Sroka, P. Burnos, M. Daniol, Long-term assessment of the properties of load sensors applied in weigh-in-motion systems, Sensors 25 (8) (2025) 2421. https://doi.org/10.3390/s25082421</w:t>
      </w:r>
    </w:p>
    <w:p>
      <w:pPr>
        <w:pStyle w:val="BodyText"/>
      </w:pPr>
      <w:r>
        <w:t xml:space="preserve">[6] I. Al-Qadi, H. Wang, Y. Ouyang, K. Grimmelsman, J.E. Purdy, LTBP Program’s Literature Review on Weigh-in-Motion Systems, Report FHWA-HRT-16-024, Federal Highway Administration, Washington, DC, 2016. https://rosap.ntl.bts.gov/view/dot/35735</w:t>
      </w:r>
    </w:p>
    <w:p>
      <w:pPr>
        <w:pStyle w:val="BodyText"/>
      </w:pPr>
      <w:r>
        <w:t xml:space="preserve">[7] B. Jacob, E.J. OBrien, S. Jehaes (Eds.), Weigh-in-Motion of Road Vehicles: Final Report of the COST 323 Action, LCPC, Paris, 2002.</w:t>
      </w:r>
    </w:p>
    <w:p>
      <w:pPr>
        <w:pStyle w:val="BodyText"/>
      </w:pPr>
      <w:r>
        <w:t xml:space="preserve">[8] F. Moses, Weigh-in-motion system using instrumented bridges, Transp. Eng. J. ASCE 105 (3) (1979) 233–249. https://doi.org/10.1061/TPEJAN.0000783</w:t>
      </w:r>
    </w:p>
    <w:p>
      <w:pPr>
        <w:pStyle w:val="BodyText"/>
      </w:pPr>
      <w:r>
        <w:t xml:space="preserve">[9] E.J. OBrien, M.J. Quilligan, R. Karoumi, Calculating an influence line from direct measurements, Proc. Inst. Civ. Eng. Bridge Eng. 159 (1) (2006) 31–34. https://doi.org/10.1680/bren.2006.159.1.31</w:t>
      </w:r>
    </w:p>
    <w:p>
      <w:pPr>
        <w:pStyle w:val="BodyText"/>
      </w:pPr>
      <w:r>
        <w:t xml:space="preserve">[10] E.J. OBrien, C.W. Rowley, A. González, M.F. Green, A regularised solution to the bridge weigh-in-motion equations, Int. J. Heavy Veh. Syst. 16 (3) (2009) 310–327. https://doi.org/10.1504/IJHVS.2009.027135</w:t>
      </w:r>
    </w:p>
    <w:p>
      <w:pPr>
        <w:pStyle w:val="BodyText"/>
      </w:pPr>
      <w:r>
        <w:t xml:space="preserve">[11] A. Žnidarič, J. Kalin, M. Kreslin, Improved accuracy and robustness of bridge weigh-in-motion systems, Struct. Infrastruct. Eng. 14 (4) (2018) 412–424. https://doi.org/10.1080/15732479.2017.1406958</w:t>
      </w:r>
    </w:p>
    <w:p>
      <w:pPr>
        <w:pStyle w:val="BodyText"/>
      </w:pPr>
      <w:r>
        <w:t xml:space="preserve">[12] Y. Yu, C.S. Cai, L. Deng, State-of-the-art review on bridge weigh-in-motion technology, Adv. Struct. Eng. 19 (9) (2016) 1514–1530. https://doi.org/10.1177/1369433216655922</w:t>
      </w:r>
    </w:p>
    <w:p>
      <w:pPr>
        <w:pStyle w:val="BodyText"/>
      </w:pPr>
      <w:r>
        <w:t xml:space="preserve">[13] T. Ojio, C. Carey, E.J. OBrien, C. Doherty, S.E. Taylor, Contactless bridge weigh-in-motion, J. Bridge Eng. 21 (7) (2016) 04016032. https://doi.org/10.1061/(ASCE)BE.1943-5592.0000776</w:t>
      </w:r>
    </w:p>
    <w:p>
      <w:pPr>
        <w:pStyle w:val="BodyText"/>
      </w:pPr>
      <w:r>
        <w:t xml:space="preserve">[14] W. He, T. Ling, E.J. OBrien, et al., Virtual axle method for bridge weigh-in-motion systems requiring no axle detector, J. Bridge Eng. 24 (9) (2019) 04019086. https://doi.org/10.1061/(ASCE)BE.1943-5592.0001474</w:t>
      </w:r>
    </w:p>
    <w:p>
      <w:pPr>
        <w:pStyle w:val="BodyText"/>
      </w:pPr>
      <w:r>
        <w:t xml:space="preserve">[15] Y. Yu, C.S. Cai, L. Deng, Nothing-on-road bridge weigh-in-motion considering the transverse position of the vehicle, Struct. Infrastruct. Eng. 14 (8) (2018) 1108–1122. https://doi.org/10.1080/15732479.2017.1401095</w:t>
      </w:r>
    </w:p>
    <w:p>
      <w:pPr>
        <w:pStyle w:val="BodyText"/>
      </w:pPr>
      <w:r>
        <w:t xml:space="preserve">[16] S.S. Law, T.H.T. Chan, Q.H. Zeng, Moving force identification: a time domain method, J. Sound Vib. 201 (1) (1997) 1–22. https://doi.org/10.1006/jsvi.1996.0774</w:t>
      </w:r>
    </w:p>
    <w:p>
      <w:pPr>
        <w:pStyle w:val="BodyText"/>
      </w:pPr>
      <w:r>
        <w:t xml:space="preserve">[17] T.H.T. Chan, S.S. Law, T.H. Yung, X.R. Yuan, An interpretive method for moving force identification, J. Sound Vib. 219 (3) (1999) 503–524. https://doi.org/10.1006/jsvi.1998.1904</w:t>
      </w:r>
    </w:p>
    <w:p>
      <w:pPr>
        <w:pStyle w:val="BodyText"/>
      </w:pPr>
      <w:r>
        <w:t xml:space="preserve">[18] S.S. Law, X.Q. Zhu, Study on different beam models in moving force identification, J. Sound Vib. 234 (4) (2000) 661–679. https://doi.org/10.1006/jsvi.2000.2867</w:t>
      </w:r>
    </w:p>
    <w:p>
      <w:pPr>
        <w:pStyle w:val="BodyText"/>
      </w:pPr>
      <w:r>
        <w:t xml:space="preserve">[19] X.Q. Zhu, S.S. Law, Moving load identification on multi-span continuous bridges with elastic bearings, Mech. Syst. Signal Process. 20 (7) (2006) 1759–1782. https://doi.org/10.1016/j.ymssp.2005.06.004</w:t>
      </w:r>
    </w:p>
    <w:p>
      <w:pPr>
        <w:pStyle w:val="BodyText"/>
      </w:pPr>
      <w:r>
        <w:t xml:space="preserve">[20] L. Deng, C.S. Cai, Identification of dynamic vehicular axle loads: theory and simulations, J. Vib. Control 16 (14) (2010) 2167–2194. https://doi.org/10.1177/1077546309351221</w:t>
      </w:r>
    </w:p>
    <w:p>
      <w:pPr>
        <w:pStyle w:val="BodyText"/>
      </w:pPr>
      <w:r>
        <w:t xml:space="preserve">[21] Z. Chen, Y. Fang, X. Kong, L. Deng, Identification of multi-axle vehicle loads on beam type bridge based on minimal residual norm steepest descent method, J. Sound Vib. 563 (2023) 117866. https://doi.org/10.1016/j.jsv.2023.117866</w:t>
      </w:r>
    </w:p>
    <w:p>
      <w:pPr>
        <w:pStyle w:val="BodyText"/>
      </w:pPr>
      <w:r>
        <w:t xml:space="preserve">[22] J. Jiang, S. Luo, M.S. Mohamed, Z. Liang, Real-time identification of dynamic loads using inverse solution and Kalman filter, Appl. Sci. 10 (19) (2020) 6767. https://doi.org/10.3390/app10196767</w:t>
      </w:r>
    </w:p>
    <w:p>
      <w:pPr>
        <w:pStyle w:val="BodyText"/>
      </w:pPr>
      <w:r>
        <w:t xml:space="preserve">[23] T. Ojio, K. Yamada, Bridge weigh-in-motion systems using stringers of plate girder bridges, in: Proceedings of the Third International Conference on Weigh-in-Motion (ICWIM3), Orlando, FL, 2002, pp. 209–218.</w:t>
      </w:r>
    </w:p>
    <w:p>
      <w:pPr>
        <w:pStyle w:val="BodyText"/>
      </w:pPr>
      <w:r>
        <w:t xml:space="preserve">[24] A.J. Cardini, J.T. DeWolf, Implementation of a long-term bridge weigh-in-motion system for a steel girder bridge in the interstate highway system, J. Bridge Eng. 14 (6) (2009) 418–423. https://doi.org/10.1061/(ASCE)1084-0702(2009)14:6(418)</w:t>
      </w:r>
    </w:p>
    <w:p>
      <w:pPr>
        <w:pStyle w:val="BodyText"/>
      </w:pPr>
      <w:r>
        <w:t xml:space="preserve">[25] K. Helmi, B. Bakht, A. Mufti, Accurate measurements of gross vehicle weight through bridge weigh-in-motion: a case study, J. Civ. Struct. Health Monit. 4 (3) (2014) 195–208. https://doi.org/10.1007/s13349-014-0076-5</w:t>
      </w:r>
    </w:p>
    <w:p>
      <w:pPr>
        <w:pStyle w:val="BodyText"/>
      </w:pPr>
      <w:r>
        <w:t xml:space="preserve">[26] M. Lydon, S.E. Taylor, D. Robinson, A. Mufti, E.J. OBrien, Recent developments in bridge weigh in motion (B-WIM), J. Civ. Struct. Health Monit. 6 (1) (2016) 69–81. https://doi.org/10.1007/s13349-015-0119-6</w:t>
      </w:r>
    </w:p>
    <w:p>
      <w:pPr>
        <w:pStyle w:val="BodyText"/>
      </w:pPr>
      <w:r>
        <w:t xml:space="preserve">[27] J. Yang, P. Hou, C. Yang, Study on the method of moving load identification based on strain influence line, Appl. Sci. 11 (2) (2021) 853. https://doi.org/10.3390/app11020853</w:t>
      </w:r>
    </w:p>
    <w:p>
      <w:pPr>
        <w:pStyle w:val="BodyText"/>
      </w:pPr>
      <w:r>
        <w:t xml:space="preserve">[28] J. Zhu, C. Wang, T. Qi, Y. Zhou, Vehicle load identification on orthotropic steel box beam bridge based on the strain response area, Appl. Sci. 12 (23) (2022) 12394. https://doi.org/10.3390/app122312394</w:t>
      </w:r>
    </w:p>
    <w:p>
      <w:pPr>
        <w:pStyle w:val="BodyText"/>
      </w:pPr>
      <w:r>
        <w:t xml:space="preserve">[29] P. Agüero-Barrantes, R.E. Christenson, S. Lobo-Aguilar, Utilizing Kriging metamodeling to provide practical and effective bridge weigh-in-motion, J. Bridge Eng. 28 (2) (2023) 04022138. https://doi.org/10.1061/JBENF2.BEENG-5760</w:t>
      </w:r>
    </w:p>
    <w:p>
      <w:pPr>
        <w:pStyle w:val="BodyText"/>
      </w:pPr>
      <w:r>
        <w:t xml:space="preserve">[30] S. Lobo Aguilar, R.E. Christenson, A simplified shear-strain based bridge weigh-in-motion method for in-service highway bridges, Métodos y Materiales 8 (2018) 11–22. https://doi.org/10.15517/mym.v8i1.34551</w:t>
      </w:r>
    </w:p>
    <w:p>
      <w:pPr>
        <w:pStyle w:val="BodyText"/>
      </w:pPr>
      <w:r>
        <w:t xml:space="preserve">[31] P. Agüero-Barrantes, S. Lobo-Aguilar, R.E. Christenson, Sparse sensing bridge weigh-in-motion for single-span bridges, Métodos y Materiales 11 (2021) 43–53. https://doi.org/10.15517/mym.v11i0.46400</w:t>
      </w:r>
    </w:p>
    <w:p>
      <w:pPr>
        <w:pStyle w:val="BodyText"/>
      </w:pPr>
      <w:r>
        <w:t xml:space="preserve">[32] N. Zolghadri, M.W. Halling, N.R. Johnson, P.J. Barr, Field verification of simplified bridge weigh-in-motion techniques, J. Bridge Eng. 21 (6) (2016) 04016063. https://doi.org/10.1061/(ASCE)BE.1943-5592.0000930</w:t>
      </w:r>
    </w:p>
    <w:p>
      <w:pPr>
        <w:pStyle w:val="BodyText"/>
      </w:pPr>
      <w:r>
        <w:t xml:space="preserve">[33] S. Shi, M. Yarnold, S. Hurlebaus, J. Mander, Evaluation of a load cell-based bridge weigh-in-motion system, Transp. Res. Rec. 2679 (2) (2025) 535–549. https://doi.org/10.1177/03611981241263336</w:t>
      </w:r>
    </w:p>
    <w:p>
      <w:pPr>
        <w:pStyle w:val="BodyText"/>
      </w:pPr>
      <w:r>
        <w:t xml:space="preserve">[34] W.-J. Yan, T.-T. Hao, K.-V. Yuen, C. Papadimitriou, Monitoring gross vehicle weight with a probabilistic and influence line-free bridge weight-in-motion scheme based on a transmissibility-like index, Mech. Syst. Signal Process. 177 (2022) 109133. https://doi.org/10.1016/j.ymssp.2022.109133</w:t>
      </w:r>
    </w:p>
    <w:p>
      <w:pPr>
        <w:pStyle w:val="BodyText"/>
      </w:pPr>
      <w:r>
        <w:t xml:space="preserve">[35] A. Döring, M. Vogelbacher, O. Schneider, Investigations of ratio-based integrated influence lines as features for bridge-damage detection, Infrastructures 8 (4) (2023) 72. https://doi.org/10.3390/infrastructures8040072</w:t>
      </w:r>
    </w:p>
    <w:p>
      <w:pPr>
        <w:pStyle w:val="BodyText"/>
      </w:pPr>
      <w:r>
        <w:t xml:space="preserve">[36] D. Huang, Y. Lu, Influence line theory supported single sensor-based strain feature for bridge defect diagnosis, Struct. Health Monit. (2025), online first. https://doi.org/10.1177/14759217251376931</w:t>
      </w:r>
    </w:p>
    <w:p>
      <w:pPr>
        <w:pStyle w:val="BodyText"/>
      </w:pPr>
      <w:r>
        <w:t xml:space="preserve">[37] Q.-B. Nguyen, T. Hoang, H.-S. Nguyen, [Determination of the load applied on a simply supported beam based on measured deflection data], J. Sci. Technol. Civ. Eng. (HUCE) 18 (2V) (2024) 61–71 (in Vietnamese). https://doi.org/10.31814/stce.huce2024-18(2V)-05</w:t>
      </w:r>
    </w:p>
    <w:p>
      <w:pPr>
        <w:pStyle w:val="BodyText"/>
      </w:pPr>
      <w:r>
        <w:t xml:space="preserve">[38] A. Ghali, A.M. Neville, T.G. Brown, Structural Analysis: A Unified Classical and Matrix Approach, CRC Press, Boca Raton, 2017. https://doi.org/10.1201/9781315273006</w:t>
      </w:r>
    </w:p>
    <w:p>
      <w:pPr>
        <w:pStyle w:val="BodyText"/>
      </w:pPr>
      <w:r>
        <w:t xml:space="preserve">[39] M.T.A. Chaudhary, M. Morgese, T.W. Taylor, F. Ansari, Method and application for influence-line-free distributed detection of gross vehicle weights in bridges, Structures 73 (2025) 108298. https://doi.org/10.1016/j.istruc.2025.108298</w:t>
      </w:r>
    </w:p>
    <w:p>
      <w:pPr>
        <w:pStyle w:val="BodyText"/>
      </w:pPr>
      <w:r>
        <w:t xml:space="preserve">[40] H. Wu, H. Zhao, J. Liu, Z. Hu, A filtering-based bridge weigh-in-motion system on a continuous multi-girder bridge considering the influence lines of different lanes, Front. Struct. Civ. Eng. 14 (5) (2020) 1232–1246. https://doi.org/10.1007/s11709-020-0653-0</w:t>
      </w:r>
    </w:p>
    <w:p>
      <w:pPr>
        <w:pStyle w:val="BodyText"/>
      </w:pPr>
      <w:r>
        <w:t xml:space="preserve">[41] A. Moghadam, M. AlHamaydeh, R. Sarlo, Bridge-weigh-in-motion approach for simultaneous multiple vehicles on concrete-box-girder bridges, Autom. Constr. 137 (2022) 104179. https://doi.org/10.1016/j.autcon.2022.104179</w:t>
      </w:r>
    </w:p>
    <w:p>
      <w:pPr>
        <w:pStyle w:val="BodyText"/>
      </w:pPr>
      <w:r>
        <w:t xml:space="preserve">[42] A. Moghadam, M. AlHamaydeh, R. Sarlo, Nothing-on-road bridge-weigh-in-motion used for long-span, concrete-box-girder bridges: an experimental case study, J. Struct. Integr. Maint. 8 (2) (2023) 79–90. https://doi.org/10.1080/24705314.2023.2165606</w:t>
      </w:r>
    </w:p>
    <w:p>
      <w:pPr>
        <w:pStyle w:val="BodyText"/>
      </w:pPr>
      <w:r>
        <w:t xml:space="preserve">[43] A. Moghadam, M. AlHamaydeh, R. Sarlo, Dual-purpose procedure for bridge health monitoring and weigh-in-motion used for multiple-vehicle events, Autom. Constr. 148 (2023) 104768. https://doi.org/10.1016/j.autcon.2023.104768</w:t>
      </w:r>
    </w:p>
    <w:p>
      <w:pPr>
        <w:pStyle w:val="BodyText"/>
      </w:pPr>
      <w:r>
        <w:t xml:space="preserve">[44] L. Deng, P. Liu, T. Huang, S. Kaewunruen, A novel moving load identification method for continuous rigid-frame bridges using a field-based displacement influence line, Appl. Sci. 15 (11) (2025) 6028. https://doi.org/10.3390/app15116028</w:t>
      </w:r>
    </w:p>
    <w:p>
      <w:pPr>
        <w:pStyle w:val="BodyText"/>
      </w:pPr>
      <w:r>
        <w:t xml:space="preserve">[45] C. Zhou, C. Demartino, Y. Narazaki, Y. Xu, E. Chatzi, B.F. Spencer, Optimal sensor placement for bridge weigh-in-motion using an augmented Kalman filter, Mech. Syst. Signal Process. 241 (2025) 113522. https://doi.org/10.1016/j.ymssp.2025.113522</w:t>
      </w:r>
    </w:p>
    <w:p>
      <w:pPr>
        <w:pStyle w:val="BodyText"/>
      </w:pPr>
      <w:r>
        <w:t xml:space="preserve">[46] J. Zhang, Y. Liu, X. Fan, An AR(1)-Tikhonov-SVD-GCV framework for stochastic moving load identification driven by bridge multi-point deflection data, Structures 88 (2026) 111844. https://doi.org/10.1016/j.istruc.2026.111844</w:t>
      </w:r>
    </w:p>
    <w:p>
      <w:pPr>
        <w:pStyle w:val="BodyText"/>
      </w:pPr>
      <w:r>
        <w:t xml:space="preserve">[47] Z. Shen, W. Peng, X. Zhang, et al., A lightweight weigh-in-motion system based on vehicle-induced bridge deflection and impact dynamic responses, Int. J. Struct. Stab. Dyn. (2026), online. https://doi.org/10.1142/s0219455427503664</w:t>
      </w:r>
    </w:p>
    <w:p>
      <w:pPr>
        <w:pStyle w:val="BodyText"/>
      </w:pPr>
      <w:r>
        <w:t xml:space="preserve">[48] Y. Zhou, Z. Feng, S.-K. Di, Z.-J. Jia, A novel approach for bending stiffness inversion and rapid evaluation of continuous beam bridges based on a deflection influence line, Struct. Control Health Monit. 2026 (2026) 1361157. https://doi.org/10.1155/stc/1361157</w:t>
      </w:r>
    </w:p>
    <w:p>
      <w:pPr>
        <w:pStyle w:val="BodyText"/>
      </w:pPr>
      <w:r>
        <w:t xml:space="preserve">[49] A. Moghadam, R. Sarlo, Nothing-on-Road Bridge-Weigh-In-Motion (NOR-BWIM) Dataset, version 1, University Libraries, Virginia Tech, figshare, 2024. https://doi.org/10.7294/26880898.v1</w:t>
      </w:r>
    </w:p>
    <w:p>
      <w:pPr>
        <w:pStyle w:val="BodyText"/>
      </w:pPr>
      <w:r>
        <w:t xml:space="preserve">[50] A. Moghadam, Integration of Traffic and Structural Health Monitoring Systems Using a Novel Nothing-On-Road (NOR) Bridge-Weigh-In-Motion (BWIM) System, PhD dissertation, Virginia Polytechnic Institute and State University, Blacksburg, VA, 2022. http://hdl.handle.net/10919/111390</w:t>
      </w:r>
    </w:p>
    <w:p>
      <w:pPr>
        <w:pStyle w:val="BodyText"/>
      </w:pPr>
      <w:r>
        <w:t xml:space="preserve">[51] L. Frýba, Vibration of Solids and Structures under Moving Loads, 3rd ed., Thomas Telford, London, 1999.</w:t>
      </w:r>
    </w:p>
    <w:p>
      <w:pPr>
        <w:pStyle w:val="BodyText"/>
      </w:pPr>
      <w:r>
        <w:t xml:space="preserve">[52] H. Sohn, Effects of environmental and operational variability on structural health monitoring, Philos. Trans. R. Soc. A 365 (1851) (2007) 539–560. https://doi.org/10.1098/rsta.2006.1935</w:t>
      </w:r>
    </w:p>
    <w:p>
      <w:pPr>
        <w:pStyle w:val="BodyText"/>
      </w:pPr>
      <w:r>
        <w:t xml:space="preserve">[53] E.J. Cross, K.Y. Koo, J.M.W. Brownjohn, K. Worden, Long-term monitoring and data analysis of the Tamar Bridge, Mech. Syst. Signal Process. 35 (1–2) (2013) 16–34. https://doi.org/10.1016/j.ymssp.2012.08.026</w:t>
      </w:r>
    </w:p>
    <w:p>
      <w:pPr>
        <w:pStyle w:val="BodyText"/>
      </w:pPr>
      <w:r>
        <w:t xml:space="preserve">[54] EN 1991-2:2003, Eurocode 1: Actions on Structures – Part 2: Traffic Loads on Bridges, CEN, Brussels, 2003.</w:t>
      </w:r>
    </w:p>
    <w:p>
      <w:pPr>
        <w:pStyle w:val="BodyText"/>
      </w:pPr>
      <w:r>
        <w:t xml:space="preserve">[55] AASHTO, LRFD Bridge Design Specifications, 10th ed., American Association of State Highway and Transportation Officials, Washington, DC, 2024.</w:t>
      </w:r>
    </w:p>
    <w:bookmarkEnd w:id="53"/>
    <w:bookmarkStart w:id="78" w:name="figures"/>
    <w:p>
      <w:pPr>
        <w:pStyle w:val="Heading2"/>
      </w:pPr>
      <w:r>
        <w:t xml:space="preserve">Figures</w:t>
      </w:r>
    </w:p>
    <w:p>
      <w:pPr>
        <w:pStyle w:val="Figureplaceholder"/>
      </w:pPr>
      <w:r>
        <w:t xml:space="preserve">[Figure 1 to be inserted: source file supplied by the authors]</w:t>
      </w:r>
    </w:p>
    <w:p>
      <w:pPr>
        <w:pStyle w:val="BodyText"/>
      </w:pPr>
      <w:r>
        <w:rPr>
          <w:bCs/>
          <w:b/>
        </w:rPr>
        <w:t xml:space="preserve">Fig. 1.</w:t>
      </w:r>
      <w:r>
        <w:t xml:space="preserve"> </w:t>
      </w:r>
      <w:r>
        <w:t xml:space="preserve">Continuous beams considered: (a) two-span beam with instrumented span</w:t>
      </w:r>
      <w:r>
        <w:t xml:space="preserve"> </w:t>
      </w:r>
      <m:oMath>
        <m:sSub>
          <m:e>
            <m:r>
              <m:t>L</m:t>
            </m:r>
          </m:e>
          <m:sub>
            <m:r>
              <m:t>1</m:t>
            </m:r>
          </m:sub>
        </m:sSub>
      </m:oMath>
      <w:r>
        <w:t xml:space="preserve">, adjacent span</w:t>
      </w:r>
      <w:r>
        <w:t xml:space="preserve"> </w:t>
      </w:r>
      <m:oMath>
        <m:sSub>
          <m:e>
            <m:r>
              <m:t>L</m:t>
            </m:r>
          </m:e>
          <m:sub>
            <m:r>
              <m:t>2</m:t>
            </m:r>
          </m:sub>
        </m:sSub>
        <m:r>
          <m:rPr>
            <m:sty m:val="p"/>
          </m:rPr>
          <m:t>=</m:t>
        </m:r>
        <m:r>
          <m:t>λ</m:t>
        </m:r>
        <m:sSub>
          <m:e>
            <m:r>
              <m:t>L</m:t>
            </m:r>
          </m:e>
          <m:sub>
            <m:r>
              <m:t>1</m:t>
            </m:r>
          </m:sub>
        </m:sSub>
      </m:oMath>
      <w:r>
        <w:t xml:space="preserve"> </w:t>
      </w:r>
      <w:r>
        <w:t xml:space="preserve">and sensor at</w:t>
      </w:r>
      <w:r>
        <w:t xml:space="preserve"> </w:t>
      </w:r>
      <m:oMath>
        <m:r>
          <m:t>ξ</m:t>
        </m:r>
        <m:sSub>
          <m:e>
            <m:r>
              <m:t>L</m:t>
            </m:r>
          </m:e>
          <m:sub>
            <m:r>
              <m:t>1</m:t>
            </m:r>
          </m:sub>
        </m:sSub>
      </m:oMath>
      <w:r>
        <w:t xml:space="preserve">; (b) symmetric three-span beam with side spans</w:t>
      </w:r>
      <w:r>
        <w:t xml:space="preserve"> </w:t>
      </w:r>
      <m:oMath>
        <m:sSub>
          <m:e>
            <m:r>
              <m:t>L</m:t>
            </m:r>
          </m:e>
          <m:sub>
            <m:r>
              <m:rPr>
                <m:sty m:val="p"/>
              </m:rPr>
              <m:t>s</m:t>
            </m:r>
            <m:r>
              <m:rPr>
                <m:sty m:val="p"/>
              </m:rPr>
              <m:t>i</m:t>
            </m:r>
            <m:r>
              <m:rPr>
                <m:sty m:val="p"/>
              </m:rPr>
              <m:t>d</m:t>
            </m:r>
            <m:r>
              <m:rPr>
                <m:sty m:val="p"/>
              </m:rPr>
              <m:t>e</m:t>
            </m:r>
          </m:sub>
        </m:sSub>
      </m:oMath>
      <w:r>
        <w:t xml:space="preserve">, main span</w:t>
      </w:r>
      <w:r>
        <w:t xml:space="preserve"> </w:t>
      </w:r>
      <m:oMath>
        <m:sSub>
          <m:e>
            <m:r>
              <m:t>L</m:t>
            </m:r>
          </m:e>
          <m:sub>
            <m:r>
              <m:rPr>
                <m:sty m:val="p"/>
              </m:rPr>
              <m:t>m</m:t>
            </m:r>
            <m:r>
              <m:rPr>
                <m:sty m:val="p"/>
              </m:rPr>
              <m:t>a</m:t>
            </m:r>
            <m:r>
              <m:rPr>
                <m:sty m:val="p"/>
              </m:rPr>
              <m:t>i</m:t>
            </m:r>
            <m:r>
              <m:rPr>
                <m:sty m:val="p"/>
              </m:rPr>
              <m:t>n</m:t>
            </m:r>
          </m:sub>
        </m:sSub>
        <m:r>
          <m:rPr>
            <m:sty m:val="p"/>
          </m:rPr>
          <m:t>=</m:t>
        </m:r>
        <m:r>
          <m:t>β</m:t>
        </m:r>
        <m:sSub>
          <m:e>
            <m:r>
              <m:t>L</m:t>
            </m:r>
          </m:e>
          <m:sub>
            <m:r>
              <m:rPr>
                <m:sty m:val="p"/>
              </m:rPr>
              <m:t>s</m:t>
            </m:r>
            <m:r>
              <m:rPr>
                <m:sty m:val="p"/>
              </m:rPr>
              <m:t>i</m:t>
            </m:r>
            <m:r>
              <m:rPr>
                <m:sty m:val="p"/>
              </m:rPr>
              <m:t>d</m:t>
            </m:r>
            <m:r>
              <m:rPr>
                <m:sty m:val="p"/>
              </m:rPr>
              <m:t>e</m:t>
            </m:r>
          </m:sub>
        </m:sSub>
      </m:oMath>
      <w:r>
        <w:t xml:space="preserve"> </w:t>
      </w:r>
      <w:r>
        <w:t xml:space="preserve">and side-span sensor at</w:t>
      </w:r>
      <w:r>
        <w:t xml:space="preserve"> </w:t>
      </w:r>
      <m:oMath>
        <m:r>
          <m:t>ξ</m:t>
        </m:r>
        <m:sSub>
          <m:e>
            <m:r>
              <m:t>L</m:t>
            </m:r>
          </m:e>
          <m:sub>
            <m:r>
              <m:rPr>
                <m:sty m:val="p"/>
              </m:rPr>
              <m:t>s</m:t>
            </m:r>
            <m:r>
              <m:rPr>
                <m:sty m:val="p"/>
              </m:rPr>
              <m:t>i</m:t>
            </m:r>
            <m:r>
              <m:rPr>
                <m:sty m:val="p"/>
              </m:rPr>
              <m:t>d</m:t>
            </m:r>
            <m:r>
              <m:rPr>
                <m:sty m:val="p"/>
              </m:rPr>
              <m:t>e</m:t>
            </m:r>
          </m:sub>
        </m:sSub>
      </m:oMath>
      <w:r>
        <w:t xml:space="preserve">.</w:t>
      </w:r>
    </w:p>
    <w:p>
      <w:pPr>
        <w:pStyle w:val="BodyText"/>
      </w:pPr>
      <w:r>
        <w:drawing>
          <wp:inline>
            <wp:extent cx="5753100" cy="2363323"/>
            <wp:effectExtent b="0" l="0" r="0" t="0"/>
            <wp:docPr descr="" title="" id="55" name="Picture"/>
            <a:graphic>
              <a:graphicData uri="http://schemas.openxmlformats.org/drawingml/2006/picture">
                <pic:pic>
                  <pic:nvPicPr>
                    <pic:cNvPr descr="/home/user/SHM-Paper1-1D/manuscript/v4/figures/Fig2_obs_map_3span.png" id="56" name="Picture"/>
                    <pic:cNvPicPr>
                      <a:picLocks noChangeArrowheads="1" noChangeAspect="1"/>
                    </pic:cNvPicPr>
                  </pic:nvPicPr>
                  <pic:blipFill>
                    <a:blip r:embed="rId54"/>
                    <a:stretch>
                      <a:fillRect/>
                    </a:stretch>
                  </pic:blipFill>
                  <pic:spPr bwMode="auto">
                    <a:xfrm>
                      <a:off x="0" y="0"/>
                      <a:ext cx="5753100" cy="2363323"/>
                    </a:xfrm>
                    <a:prstGeom prst="rect">
                      <a:avLst/>
                    </a:prstGeom>
                    <a:noFill/>
                    <a:ln w="9525">
                      <a:noFill/>
                      <a:headEnd/>
                      <a:tailEnd/>
                    </a:ln>
                  </pic:spPr>
                </pic:pic>
              </a:graphicData>
            </a:graphic>
          </wp:inline>
        </w:drawing>
      </w:r>
    </w:p>
    <w:p>
      <w:pPr>
        <w:pStyle w:val="BodyText"/>
      </w:pPr>
      <w:r>
        <w:rPr>
          <w:bCs/>
          <w:b/>
        </w:rPr>
        <w:t xml:space="preserve">Fig. 2.</w:t>
      </w:r>
      <w:r>
        <w:t xml:space="preserve"> </w:t>
      </w:r>
      <w:r>
        <w:t xml:space="preserve">Deflection observability of a three-span beam with uniform rigidity: (a) symmetric beam,</w:t>
      </w:r>
      <w:r>
        <w:t xml:space="preserve"> </w:t>
      </w:r>
      <m:oMath>
        <m:sSub>
          <m:e>
            <m:r>
              <m:t>N</m:t>
            </m:r>
          </m:e>
          <m:sub>
            <m:r>
              <m:t>w</m:t>
            </m:r>
          </m:sub>
        </m:sSub>
      </m:oMath>
      <w:r>
        <w:t xml:space="preserve"> </w:t>
      </w:r>
      <w:r>
        <w:t xml:space="preserve">over</w:t>
      </w:r>
      <w:r>
        <w:t xml:space="preserve"> </w:t>
      </w:r>
      <m:oMath>
        <m:r>
          <m:t>β</m:t>
        </m:r>
      </m:oMath>
      <w:r>
        <w:t xml:space="preserve"> </w:t>
      </w:r>
      <w:r>
        <w:t xml:space="preserve">and the side-span sensor position</w:t>
      </w:r>
      <w:r>
        <w:t xml:space="preserve"> </w:t>
      </w:r>
      <m:oMath>
        <m:r>
          <m:t>ξ</m:t>
        </m:r>
      </m:oMath>
      <w:r>
        <w:t xml:space="preserve">, with the blind locus (thick line), the near-blind band</w:t>
      </w:r>
      <w:r>
        <w:t xml:space="preserve"> </w:t>
      </w:r>
      <m:oMath>
        <m:d>
          <m:dPr>
            <m:begChr m:val="|"/>
            <m:endChr m:val="|"/>
            <m:sepChr m:val=""/>
            <m:grow/>
          </m:dPr>
          <m:e>
            <m:sSub>
              <m:e>
                <m:r>
                  <m:t>N</m:t>
                </m:r>
              </m:e>
              <m:sub>
                <m:r>
                  <m:t>w</m:t>
                </m:r>
              </m:sub>
            </m:sSub>
          </m:e>
        </m:d>
        <m:r>
          <m:rPr>
            <m:sty m:val="p"/>
          </m:rPr>
          <m:t>&lt;</m:t>
        </m:r>
        <m:r>
          <m:t>0.2</m:t>
        </m:r>
      </m:oMath>
      <w:r>
        <w:t xml:space="preserve"> </w:t>
      </w:r>
      <w:r>
        <w:t xml:space="preserve">(hatched), the optimum</w:t>
      </w:r>
      <w:r>
        <w:t xml:space="preserve"> </w:t>
      </w:r>
      <m:oMath>
        <m:sSup>
          <m:e>
            <m:r>
              <m:t>ξ</m:t>
            </m:r>
          </m:e>
          <m:sup>
            <m:r>
              <m:rPr>
                <m:sty m:val="p"/>
              </m:rPr>
              <m:t>*</m:t>
            </m:r>
          </m:sup>
        </m:sSup>
        <m:d>
          <m:dPr>
            <m:begChr m:val="("/>
            <m:endChr m:val=")"/>
            <m:sepChr m:val=""/>
            <m:grow/>
          </m:dPr>
          <m:e>
            <m:r>
              <m:t>β</m:t>
            </m:r>
          </m:e>
        </m:d>
      </m:oMath>
      <w:r>
        <w:t xml:space="preserve"> </w:t>
      </w:r>
      <w:r>
        <w:t xml:space="preserve">(dashed) and the Cầu Mây layout with a mid side-span sensor (open circle); (b) asymmetric beam, sensor at mid-span of span 1, over</w:t>
      </w:r>
      <w:r>
        <w:t xml:space="preserve"> </w:t>
      </w:r>
      <m:oMath>
        <m:sSub>
          <m:e>
            <m:r>
              <m:t>L</m:t>
            </m:r>
          </m:e>
          <m:sub>
            <m:r>
              <m:t>1</m:t>
            </m:r>
          </m:sub>
        </m:sSub>
        <m:r>
          <m:rPr>
            <m:sty m:val="p"/>
          </m:rPr>
          <m:t>/</m:t>
        </m:r>
        <m:sSub>
          <m:e>
            <m:r>
              <m:t>L</m:t>
            </m:r>
          </m:e>
          <m:sub>
            <m:r>
              <m:t>2</m:t>
            </m:r>
          </m:sub>
        </m:sSub>
      </m:oMath>
      <w:r>
        <w:t xml:space="preserve"> </w:t>
      </w:r>
      <w:r>
        <w:t xml:space="preserve">and</w:t>
      </w:r>
      <w:r>
        <w:t xml:space="preserve"> </w:t>
      </w:r>
      <m:oMath>
        <m:sSub>
          <m:e>
            <m:r>
              <m:t>L</m:t>
            </m:r>
          </m:e>
          <m:sub>
            <m:r>
              <m:t>3</m:t>
            </m:r>
          </m:sub>
        </m:sSub>
        <m:r>
          <m:rPr>
            <m:sty m:val="p"/>
          </m:rPr>
          <m:t>/</m:t>
        </m:r>
        <m:sSub>
          <m:e>
            <m:r>
              <m:t>L</m:t>
            </m:r>
          </m:e>
          <m:sub>
            <m:r>
              <m:t>2</m:t>
            </m:r>
          </m:sub>
        </m:sSub>
      </m:oMath>
      <w:r>
        <w:t xml:space="preserve">. Colours are clipped at ±1.5.</w:t>
      </w:r>
    </w:p>
    <w:p>
      <w:pPr>
        <w:pStyle w:val="BodyText"/>
      </w:pPr>
      <w:r>
        <w:drawing>
          <wp:inline>
            <wp:extent cx="5753100" cy="2121274"/>
            <wp:effectExtent b="0" l="0" r="0" t="0"/>
            <wp:docPr descr="" title="" id="58" name="Picture"/>
            <a:graphic>
              <a:graphicData uri="http://schemas.openxmlformats.org/drawingml/2006/picture">
                <pic:pic>
                  <pic:nvPicPr>
                    <pic:cNvPr descr="/home/user/SHM-Paper1-1D/manuscript/v4/figures/Fig3_channels_prismatic.png" id="59" name="Picture"/>
                    <pic:cNvPicPr>
                      <a:picLocks noChangeArrowheads="1" noChangeAspect="1"/>
                    </pic:cNvPicPr>
                  </pic:nvPicPr>
                  <pic:blipFill>
                    <a:blip r:embed="rId57"/>
                    <a:stretch>
                      <a:fillRect/>
                    </a:stretch>
                  </pic:blipFill>
                  <pic:spPr bwMode="auto">
                    <a:xfrm>
                      <a:off x="0" y="0"/>
                      <a:ext cx="5753100" cy="2121274"/>
                    </a:xfrm>
                    <a:prstGeom prst="rect">
                      <a:avLst/>
                    </a:prstGeom>
                    <a:noFill/>
                    <a:ln w="9525">
                      <a:noFill/>
                      <a:headEnd/>
                      <a:tailEnd/>
                    </a:ln>
                  </pic:spPr>
                </pic:pic>
              </a:graphicData>
            </a:graphic>
          </wp:inline>
        </w:drawing>
      </w:r>
    </w:p>
    <w:p>
      <w:pPr>
        <w:pStyle w:val="BodyText"/>
      </w:pPr>
      <w:r>
        <w:rPr>
          <w:bCs/>
          <w:b/>
        </w:rPr>
        <w:t xml:space="preserve">Fig. 3.</w:t>
      </w:r>
      <w:r>
        <w:t xml:space="preserve"> </w:t>
      </w:r>
      <w:r>
        <w:t xml:space="preserve">Indicators of four channels along prismatic girders: deflection</w:t>
      </w:r>
      <w:r>
        <w:t xml:space="preserve"> </w:t>
      </w:r>
      <m:oMath>
        <m:sSub>
          <m:e>
            <m:r>
              <m:t>N</m:t>
            </m:r>
          </m:e>
          <m:sub>
            <m:r>
              <m:t>w</m:t>
            </m:r>
          </m:sub>
        </m:sSub>
      </m:oMath>
      <w:r>
        <w:t xml:space="preserve"> </w:t>
      </w:r>
      <w:r>
        <w:t xml:space="preserve">(Eq. (10); 2.5 at a simply supported mid-span), rotation</w:t>
      </w:r>
      <w:r>
        <w:t xml:space="preserve"> </w:t>
      </w:r>
      <m:oMath>
        <m:sSub>
          <m:e>
            <m:r>
              <m:t>N</m:t>
            </m:r>
          </m:e>
          <m:sub>
            <m:r>
              <m:t>θ</m:t>
            </m:r>
          </m:sub>
        </m:sSub>
      </m:oMath>
      <w:r>
        <w:t xml:space="preserve">, strain or moment</w:t>
      </w:r>
      <w:r>
        <w:t xml:space="preserve"> </w:t>
      </w:r>
      <m:oMath>
        <m:sSub>
          <m:e>
            <m:r>
              <m:t>N</m:t>
            </m:r>
          </m:e>
          <m:sub>
            <m:r>
              <m:t>M</m:t>
            </m:r>
          </m:sub>
        </m:sSub>
      </m:oMath>
      <w:r>
        <w:t xml:space="preserve"> </w:t>
      </w:r>
      <w:r>
        <w:t xml:space="preserve">and shear</w:t>
      </w:r>
      <w:r>
        <w:t xml:space="preserve"> </w:t>
      </w:r>
      <m:oMath>
        <m:sSub>
          <m:e>
            <m:r>
              <m:t>N</m:t>
            </m:r>
          </m:e>
          <m:sub>
            <m:r>
              <m:t>V</m:t>
            </m:r>
          </m:sub>
        </m:sSub>
      </m:oMath>
      <w:r>
        <w:t xml:space="preserve"> </w:t>
      </w:r>
      <w:r>
        <w:t xml:space="preserve">(each 1 for the simply supported reference of its own span). (a) Equal two-span beam; (b) symmetric three-span beam with</w:t>
      </w:r>
      <w:r>
        <w:t xml:space="preserve"> </w:t>
      </w:r>
      <m:oMath>
        <m:r>
          <m:t>β</m:t>
        </m:r>
        <m:r>
          <m:rPr>
            <m:sty m:val="p"/>
          </m:rPr>
          <m:t>=</m:t>
        </m:r>
        <m:r>
          <m:t>1.636</m:t>
        </m:r>
      </m:oMath>
      <w:r>
        <w:t xml:space="preserve">, the Cầu Mây span ratio. The grey band marks</w:t>
      </w:r>
      <w:r>
        <w:t xml:space="preserve"> </w:t>
      </w:r>
      <m:oMath>
        <m:d>
          <m:dPr>
            <m:begChr m:val="|"/>
            <m:endChr m:val="|"/>
            <m:sepChr m:val=""/>
            <m:grow/>
          </m:dPr>
          <m:e>
            <m:r>
              <m:t>N</m:t>
            </m:r>
          </m:e>
        </m:d>
        <m:r>
          <m:rPr>
            <m:sty m:val="p"/>
          </m:rPr>
          <m:t>&lt;</m:t>
        </m:r>
        <m:r>
          <m:t>0.2</m:t>
        </m:r>
      </m:oMath>
      <w:r>
        <w:t xml:space="preserve">.</w:t>
      </w:r>
    </w:p>
    <w:p>
      <w:pPr>
        <w:pStyle w:val="BodyText"/>
      </w:pPr>
      <w:r>
        <w:drawing>
          <wp:inline>
            <wp:extent cx="5753100" cy="2635498"/>
            <wp:effectExtent b="0" l="0" r="0" t="0"/>
            <wp:docPr descr="" title="" id="61" name="Picture"/>
            <a:graphic>
              <a:graphicData uri="http://schemas.openxmlformats.org/drawingml/2006/picture">
                <pic:pic>
                  <pic:nvPicPr>
                    <pic:cNvPr descr="/home/user/SHM-Paper1-1D/manuscript/v4/figures/Fig4_multichannel_gain.png" id="62" name="Picture"/>
                    <pic:cNvPicPr>
                      <a:picLocks noChangeArrowheads="1" noChangeAspect="1"/>
                    </pic:cNvPicPr>
                  </pic:nvPicPr>
                  <pic:blipFill>
                    <a:blip r:embed="rId60"/>
                    <a:stretch>
                      <a:fillRect/>
                    </a:stretch>
                  </pic:blipFill>
                  <pic:spPr bwMode="auto">
                    <a:xfrm>
                      <a:off x="0" y="0"/>
                      <a:ext cx="5753100" cy="2635498"/>
                    </a:xfrm>
                    <a:prstGeom prst="rect">
                      <a:avLst/>
                    </a:prstGeom>
                    <a:noFill/>
                    <a:ln w="9525">
                      <a:noFill/>
                      <a:headEnd/>
                      <a:tailEnd/>
                    </a:ln>
                  </pic:spPr>
                </pic:pic>
              </a:graphicData>
            </a:graphic>
          </wp:inline>
        </w:drawing>
      </w:r>
    </w:p>
    <w:p>
      <w:pPr>
        <w:pStyle w:val="BodyText"/>
      </w:pPr>
      <w:r>
        <w:rPr>
          <w:bCs/>
          <w:b/>
        </w:rPr>
        <w:t xml:space="preserve">Fig. 4.</w:t>
      </w:r>
      <w:r>
        <w:t xml:space="preserve"> </w:t>
      </w:r>
      <w:r>
        <w:t xml:space="preserve">Multi-channel estimation under the assumed noise model: (a) variance with two or three optimally placed sensors relative to the best single sensor, against the common-mode fraction</w:t>
      </w:r>
      <w:r>
        <w:t xml:space="preserve"> </w:t>
      </w:r>
      <m:oMath>
        <m:r>
          <m:t>ρ</m:t>
        </m:r>
      </m:oMath>
      <w:r>
        <w:t xml:space="preserve"> </w:t>
      </w:r>
      <w:r>
        <w:t xml:space="preserve">of the offset; (b) standard deviation of the load against the offset level for single sensors and three-sensor designs; (c) zero-sum pair (labelled offset-immune in the panel) at</w:t>
      </w:r>
      <w:r>
        <w:t xml:space="preserve"> </w:t>
      </w:r>
      <m:oMath>
        <m:r>
          <m:t>ρ</m:t>
        </m:r>
        <m:r>
          <m:rPr>
            <m:sty m:val="p"/>
          </m:rPr>
          <m:t>=</m:t>
        </m:r>
        <m:r>
          <m:t>1</m:t>
        </m:r>
      </m:oMath>
      <w:r>
        <w:t xml:space="preserve"> </w:t>
      </w:r>
      <w:r>
        <w:t xml:space="preserve">against the white-noise level. 2S-eq: equal two-span beam; 3S-b2.0: three-span beam with</w:t>
      </w:r>
      <w:r>
        <w:t xml:space="preserve"> </w:t>
      </w:r>
      <m:oMath>
        <m:r>
          <m:t>β</m:t>
        </m:r>
        <m:r>
          <m:rPr>
            <m:sty m:val="p"/>
          </m:rPr>
          <m:t>=</m:t>
        </m:r>
        <m:r>
          <m:t>2</m:t>
        </m:r>
      </m:oMath>
      <w:r>
        <w:t xml:space="preserve">; CM-A, CM-B: Cầu Mây calibrations A and B.</w:t>
      </w:r>
    </w:p>
    <w:p>
      <w:pPr>
        <w:pStyle w:val="BodyText"/>
      </w:pPr>
      <w:r>
        <w:drawing>
          <wp:inline>
            <wp:extent cx="5753100" cy="5992812"/>
            <wp:effectExtent b="0" l="0" r="0" t="0"/>
            <wp:docPr descr="" title="" id="64" name="Picture"/>
            <a:graphic>
              <a:graphicData uri="http://schemas.openxmlformats.org/drawingml/2006/picture">
                <pic:pic>
                  <pic:nvPicPr>
                    <pic:cNvPr descr="/home/user/SHM-Paper1-1D/manuscript/v4/figures/Fig5_norbwim_crossings.png" id="65" name="Picture"/>
                    <pic:cNvPicPr>
                      <a:picLocks noChangeArrowheads="1" noChangeAspect="1"/>
                    </pic:cNvPicPr>
                  </pic:nvPicPr>
                  <pic:blipFill>
                    <a:blip r:embed="rId63"/>
                    <a:stretch>
                      <a:fillRect/>
                    </a:stretch>
                  </pic:blipFill>
                  <pic:spPr bwMode="auto">
                    <a:xfrm>
                      <a:off x="0" y="0"/>
                      <a:ext cx="5753100" cy="5992812"/>
                    </a:xfrm>
                    <a:prstGeom prst="rect">
                      <a:avLst/>
                    </a:prstGeom>
                    <a:noFill/>
                    <a:ln w="9525">
                      <a:noFill/>
                      <a:headEnd/>
                      <a:tailEnd/>
                    </a:ln>
                  </pic:spPr>
                </pic:pic>
              </a:graphicData>
            </a:graphic>
          </wp:inline>
        </w:drawing>
      </w:r>
    </w:p>
    <w:p>
      <w:pPr>
        <w:pStyle w:val="BodyText"/>
      </w:pPr>
      <w:r>
        <w:rPr>
          <w:bCs/>
          <w:b/>
        </w:rPr>
        <w:t xml:space="preserve">Fig. 5.</w:t>
      </w:r>
      <w:r>
        <w:t xml:space="preserve"> </w:t>
      </w:r>
      <w:r>
        <w:t xml:space="preserve">NOR-BWIM strain records of three single-truck crossings of the five-span girder: a 5-axle and a 3-axle truck on day 2 and a 3-axle truck on day 1. Shaded: integration window; dashed: beam-model shape scaled to the reference gauge. The legend gives each gauge’s integral</w:t>
      </w:r>
      <w:r>
        <w:t xml:space="preserve"> </w:t>
      </w:r>
      <m:oMath>
        <m:r>
          <m:rPr>
            <m:sty m:val="p"/>
          </m:rPr>
          <m:t>∫</m:t>
        </m:r>
        <m:r>
          <m:t>ε</m:t>
        </m:r>
        <m:r>
          <m:t> </m:t>
        </m:r>
        <m:r>
          <m:rPr>
            <m:sty m:val="p"/>
          </m:rPr>
          <m:t>d</m:t>
        </m:r>
        <m:r>
          <m:t>x</m:t>
        </m:r>
      </m:oMath>
      <w:r>
        <w:t xml:space="preserve"> </w:t>
      </w:r>
      <w:r>
        <w:t xml:space="preserve">(µε m).</w:t>
      </w:r>
    </w:p>
    <w:p>
      <w:pPr>
        <w:pStyle w:val="BodyText"/>
      </w:pPr>
      <w:r>
        <w:drawing>
          <wp:inline>
            <wp:extent cx="5753100" cy="2556933"/>
            <wp:effectExtent b="0" l="0" r="0" t="0"/>
            <wp:docPr descr="" title="" id="67" name="Picture"/>
            <a:graphic>
              <a:graphicData uri="http://schemas.openxmlformats.org/drawingml/2006/picture">
                <pic:pic>
                  <pic:nvPicPr>
                    <pic:cNvPr descr="/home/user/SHM-Paper1-1D/manuscript/v4/figures/Fig6_norbwim_invariance.png" id="68" name="Picture"/>
                    <pic:cNvPicPr>
                      <a:picLocks noChangeArrowheads="1" noChangeAspect="1"/>
                    </pic:cNvPicPr>
                  </pic:nvPicPr>
                  <pic:blipFill>
                    <a:blip r:embed="rId66"/>
                    <a:stretch>
                      <a:fillRect/>
                    </a:stretch>
                  </pic:blipFill>
                  <pic:spPr bwMode="auto">
                    <a:xfrm>
                      <a:off x="0" y="0"/>
                      <a:ext cx="5753100" cy="2556933"/>
                    </a:xfrm>
                    <a:prstGeom prst="rect">
                      <a:avLst/>
                    </a:prstGeom>
                    <a:noFill/>
                    <a:ln w="9525">
                      <a:noFill/>
                      <a:headEnd/>
                      <a:tailEnd/>
                    </a:ln>
                  </pic:spPr>
                </pic:pic>
              </a:graphicData>
            </a:graphic>
          </wp:inline>
        </w:drawing>
      </w:r>
    </w:p>
    <w:p>
      <w:pPr>
        <w:pStyle w:val="BodyText"/>
      </w:pPr>
      <w:r>
        <w:rPr>
          <w:bCs/>
          <w:b/>
        </w:rPr>
        <w:t xml:space="preserve">Fig. 6.</w:t>
      </w:r>
      <w:r>
        <w:t xml:space="preserve"> </w:t>
      </w:r>
      <w:r>
        <w:t xml:space="preserve">Ratio of the integral constants of two trucks, per gauge, with 95 % confidence intervals: (a) day 1, second to first 3-axle truck, 12 gauges and the gauge average of the four wheel-path gauges; (b) day 2, 5-axle to 3-axle truck, 4 gauges and their average. Grey bands: ±5 % and ±10 %. Red: invariance rejected; blue: equivalent within ±10 %; orange: inconclusive.</w:t>
      </w:r>
    </w:p>
    <w:p>
      <w:pPr>
        <w:pStyle w:val="BodyText"/>
      </w:pPr>
      <w:r>
        <w:drawing>
          <wp:inline>
            <wp:extent cx="5753100" cy="2556933"/>
            <wp:effectExtent b="0" l="0" r="0" t="0"/>
            <wp:docPr descr="" title="" id="70" name="Picture"/>
            <a:graphic>
              <a:graphicData uri="http://schemas.openxmlformats.org/drawingml/2006/picture">
                <pic:pic>
                  <pic:nvPicPr>
                    <pic:cNvPr descr="/home/user/SHM-Paper1-1D/manuscript/v4/figures/Fig7_norbwim_estimators.png" id="71" name="Picture"/>
                    <pic:cNvPicPr>
                      <a:picLocks noChangeArrowheads="1" noChangeAspect="1"/>
                    </pic:cNvPicPr>
                  </pic:nvPicPr>
                  <pic:blipFill>
                    <a:blip r:embed="rId69"/>
                    <a:stretch>
                      <a:fillRect/>
                    </a:stretch>
                  </pic:blipFill>
                  <pic:spPr bwMode="auto">
                    <a:xfrm>
                      <a:off x="0" y="0"/>
                      <a:ext cx="5753100" cy="2556933"/>
                    </a:xfrm>
                    <a:prstGeom prst="rect">
                      <a:avLst/>
                    </a:prstGeom>
                    <a:noFill/>
                    <a:ln w="9525">
                      <a:noFill/>
                      <a:headEnd/>
                      <a:tailEnd/>
                    </a:ln>
                  </pic:spPr>
                </pic:pic>
              </a:graphicData>
            </a:graphic>
          </wp:inline>
        </w:drawing>
      </w:r>
    </w:p>
    <w:p>
      <w:pPr>
        <w:pStyle w:val="BodyText"/>
      </w:pPr>
      <w:r>
        <w:rPr>
          <w:bCs/>
          <w:b/>
        </w:rPr>
        <w:t xml:space="preserve">Fig. 7.</w:t>
      </w:r>
      <w:r>
        <w:t xml:space="preserve"> </w:t>
      </w:r>
      <w:r>
        <w:t xml:space="preserve">Mean absolute error of the gross weight for single-gauge, gauge-average, GLS, zero-sum and mean-weight (mean-GVW) predictors, with 95 % bootstrap confidence intervals: in sample (IN), leave-one-run-out (LOO) and leave-one-truck-out (LOTO). (a) Day 2, 4 gauges; (b) day 1, 4 wheel-path gauges; (c) day 1, 12 gauges. GLS-diag: diagonal covariance; immune-eq: zero-sum estimator with equal noise (</w:t>
      </w:r>
      <m:oMath>
        <m:r>
          <m:t>Σ</m:t>
        </m:r>
      </m:oMath>
      <w:r>
        <w:t xml:space="preserve"> </w:t>
      </w:r>
      <w:r>
        <w:t xml:space="preserve">= identity matrix); GLS-resid: covariance from crossing residuals.</w:t>
      </w:r>
    </w:p>
    <w:p>
      <w:pPr>
        <w:pStyle w:val="BodyText"/>
      </w:pPr>
      <w:r>
        <w:drawing>
          <wp:inline>
            <wp:extent cx="5753100" cy="6036736"/>
            <wp:effectExtent b="0" l="0" r="0" t="0"/>
            <wp:docPr descr="" title="" id="73" name="Picture"/>
            <a:graphic>
              <a:graphicData uri="http://schemas.openxmlformats.org/drawingml/2006/picture">
                <pic:pic>
                  <pic:nvPicPr>
                    <pic:cNvPr descr="/home/user/SHM-Paper1-1D/manuscript/v4/figures/Fig8_caumay_channels.png" id="74" name="Picture"/>
                    <pic:cNvPicPr>
                      <a:picLocks noChangeArrowheads="1" noChangeAspect="1"/>
                    </pic:cNvPicPr>
                  </pic:nvPicPr>
                  <pic:blipFill>
                    <a:blip r:embed="rId72"/>
                    <a:stretch>
                      <a:fillRect/>
                    </a:stretch>
                  </pic:blipFill>
                  <pic:spPr bwMode="auto">
                    <a:xfrm>
                      <a:off x="0" y="0"/>
                      <a:ext cx="5753100" cy="6036736"/>
                    </a:xfrm>
                    <a:prstGeom prst="rect">
                      <a:avLst/>
                    </a:prstGeom>
                    <a:noFill/>
                    <a:ln w="9525">
                      <a:noFill/>
                      <a:headEnd/>
                      <a:tailEnd/>
                    </a:ln>
                  </pic:spPr>
                </pic:pic>
              </a:graphicData>
            </a:graphic>
          </wp:inline>
        </w:drawing>
      </w:r>
    </w:p>
    <w:p>
      <w:pPr>
        <w:pStyle w:val="BodyText"/>
      </w:pPr>
      <w:r>
        <w:rPr>
          <w:bCs/>
          <w:b/>
        </w:rPr>
        <w:t xml:space="preserve">Fig. 8.</w:t>
      </w:r>
      <w:r>
        <w:t xml:space="preserve"> </w:t>
      </w:r>
      <w:r>
        <w:t xml:space="preserve">Cầu Mây girder, indicators along the girder for a prismatic model with pinned piers and for the haunched model under calibrations A and B: (a) deflection</w:t>
      </w:r>
      <w:r>
        <w:t xml:space="preserve"> </w:t>
      </w:r>
      <m:oMath>
        <m:sSub>
          <m:e>
            <m:r>
              <m:t>N</m:t>
            </m:r>
          </m:e>
          <m:sub>
            <m:r>
              <m:t>w</m:t>
            </m:r>
          </m:sub>
        </m:sSub>
      </m:oMath>
      <w:r>
        <w:t xml:space="preserve">; (b) strain</w:t>
      </w:r>
      <w:r>
        <w:t xml:space="preserve"> </w:t>
      </w:r>
      <m:oMath>
        <m:sSub>
          <m:e>
            <m:r>
              <m:t>N</m:t>
            </m:r>
          </m:e>
          <m:sub>
            <m:r>
              <m:t>M</m:t>
            </m:r>
          </m:sub>
        </m:sSub>
      </m:oMath>
      <w:r>
        <w:t xml:space="preserve">, with strain blind points; (c) strain indicator including the section gain</w:t>
      </w:r>
      <w:r>
        <w:t xml:space="preserve"> </w:t>
      </w:r>
      <m:oMath>
        <m:r>
          <m:t>c</m:t>
        </m:r>
        <m:r>
          <m:rPr>
            <m:sty m:val="p"/>
          </m:rPr>
          <m:t>/</m:t>
        </m:r>
        <m:r>
          <m:t>E</m:t>
        </m:r>
        <m:r>
          <m:t>I</m:t>
        </m:r>
      </m:oMath>
      <w:r>
        <w:t xml:space="preserve">, assuming</w:t>
      </w:r>
      <w:r>
        <w:t xml:space="preserve"> </w:t>
      </w:r>
      <m:oMath>
        <m:r>
          <m:t>c</m:t>
        </m:r>
        <m:r>
          <m:rPr>
            <m:sty m:val="p"/>
          </m:rPr>
          <m:t>∝</m:t>
        </m:r>
        <m:r>
          <m:t>h</m:t>
        </m:r>
      </m:oMath>
      <w:r>
        <w:t xml:space="preserve">. Dotted lines: gauge positions N7, N8 at mid side span and N8 at 0.4L.</w:t>
      </w:r>
    </w:p>
    <w:p>
      <w:pPr>
        <w:pStyle w:val="BodyText"/>
      </w:pPr>
      <w:r>
        <w:drawing>
          <wp:inline>
            <wp:extent cx="5753100" cy="4881418"/>
            <wp:effectExtent b="0" l="0" r="0" t="0"/>
            <wp:docPr descr="" title="" id="76" name="Picture"/>
            <a:graphic>
              <a:graphicData uri="http://schemas.openxmlformats.org/drawingml/2006/picture">
                <pic:pic>
                  <pic:nvPicPr>
                    <pic:cNvPr descr="/home/user/SHM-Paper1-1D/manuscript/v4/figures/Fig9_caumay_identifiability.png" id="77" name="Picture"/>
                    <pic:cNvPicPr>
                      <a:picLocks noChangeArrowheads="1" noChangeAspect="1"/>
                    </pic:cNvPicPr>
                  </pic:nvPicPr>
                  <pic:blipFill>
                    <a:blip r:embed="rId75"/>
                    <a:stretch>
                      <a:fillRect/>
                    </a:stretch>
                  </pic:blipFill>
                  <pic:spPr bwMode="auto">
                    <a:xfrm>
                      <a:off x="0" y="0"/>
                      <a:ext cx="5753100" cy="4881418"/>
                    </a:xfrm>
                    <a:prstGeom prst="rect">
                      <a:avLst/>
                    </a:prstGeom>
                    <a:noFill/>
                    <a:ln w="9525">
                      <a:noFill/>
                      <a:headEnd/>
                      <a:tailEnd/>
                    </a:ln>
                  </pic:spPr>
                </pic:pic>
              </a:graphicData>
            </a:graphic>
          </wp:inline>
        </w:drawing>
      </w:r>
    </w:p>
    <w:p>
      <w:pPr>
        <w:pStyle w:val="BodyText"/>
      </w:pPr>
      <w:r>
        <w:rPr>
          <w:bCs/>
          <w:b/>
        </w:rPr>
        <w:t xml:space="preserve">Fig. 9.</w:t>
      </w:r>
      <w:r>
        <w:t xml:space="preserve"> </w:t>
      </w:r>
      <w:r>
        <w:t xml:space="preserve">Identifiability of the Cầu Mây pier stiffness from two static readings: (a) ratio</w:t>
      </w:r>
      <w:r>
        <w:t xml:space="preserve"> </w:t>
      </w:r>
      <m:oMath>
        <m:sSub>
          <m:e>
            <m:r>
              <m:t>r</m:t>
            </m:r>
          </m:e>
          <m:sub>
            <m:r>
              <m:t>87</m:t>
            </m:r>
          </m:sub>
        </m:sSub>
      </m:oMath>
      <w:r>
        <w:t xml:space="preserve"> </w:t>
      </w:r>
      <w:r>
        <w:t xml:space="preserve">of the measured-to-model ratio at gauge N8 to that at gauge N7 against</w:t>
      </w:r>
      <w:r>
        <w:t xml:space="preserve"> </w:t>
      </w:r>
      <m:oMath>
        <m:r>
          <m:t>κ</m:t>
        </m:r>
        <m:r>
          <m:rPr>
            <m:sty m:val="p"/>
          </m:rPr>
          <m:t>=</m:t>
        </m:r>
        <m:r>
          <m:t>k</m:t>
        </m:r>
        <m:r>
          <m:rPr>
            <m:sty m:val="p"/>
          </m:rPr>
          <m:t>/</m:t>
        </m:r>
        <m:r>
          <m:t>α</m:t>
        </m:r>
      </m:oMath>
      <w:r>
        <w:t xml:space="preserve">, with model-form variants (grey) and the admissible band</w:t>
      </w:r>
      <w:r>
        <w:t xml:space="preserve"> </w:t>
      </w:r>
      <m:oMath>
        <m:d>
          <m:dPr>
            <m:begChr m:val="|"/>
            <m:endChr m:val="|"/>
            <m:sepChr m:val=""/>
            <m:grow/>
          </m:dPr>
          <m:e>
            <m:r>
              <m:rPr>
                <m:sty m:val="p"/>
              </m:rPr>
              <m:t>ln</m:t>
            </m:r>
            <m:sSub>
              <m:e>
                <m:r>
                  <m:t>r</m:t>
                </m:r>
              </m:e>
              <m:sub>
                <m:r>
                  <m:t>87</m:t>
                </m:r>
              </m:sub>
            </m:sSub>
          </m:e>
        </m:d>
        <m:r>
          <m:rPr>
            <m:sty m:val="p"/>
          </m:rPr>
          <m:t>≤</m:t>
        </m:r>
        <m:r>
          <m:t>2</m:t>
        </m:r>
        <m:r>
          <m:t>τ</m:t>
        </m:r>
      </m:oMath>
      <w:r>
        <w:t xml:space="preserve">,</w:t>
      </w:r>
      <w:r>
        <w:t xml:space="preserve"> </w:t>
      </w:r>
      <m:oMath>
        <m:r>
          <m:t>τ</m:t>
        </m:r>
      </m:oMath>
      <w:r>
        <w:t xml:space="preserve"> </w:t>
      </w:r>
      <w:r>
        <w:t xml:space="preserve">= 5.3 %, which is equivalent to both misfits lying within</w:t>
      </w:r>
      <w:r>
        <w:t xml:space="preserve"> </w:t>
      </w:r>
      <m:oMath>
        <m:r>
          <m:t>τ</m:t>
        </m:r>
      </m:oMath>
      <w:r>
        <w:t xml:space="preserve"> </w:t>
      </w:r>
      <w:r>
        <w:t xml:space="preserve">at the best-fit</w:t>
      </w:r>
      <w:r>
        <w:t xml:space="preserve"> </w:t>
      </w:r>
      <m:oMath>
        <m:r>
          <m:t>α</m:t>
        </m:r>
      </m:oMath>
      <w:r>
        <w:t xml:space="preserve">; (b) N8 and N7 indicators and cancellation ratios along the valley of best static fit</w:t>
      </w:r>
      <w:r>
        <w:t xml:space="preserve"> </w:t>
      </w:r>
      <m:oMath>
        <m:sSup>
          <m:e>
            <m:r>
              <m:t>α</m:t>
            </m:r>
          </m:e>
          <m:sup>
            <m:r>
              <m:rPr>
                <m:sty m:val="p"/>
              </m:rPr>
              <m:t>*</m:t>
            </m:r>
          </m:sup>
        </m:sSup>
        <m:d>
          <m:dPr>
            <m:begChr m:val="("/>
            <m:endChr m:val=")"/>
            <m:sepChr m:val=""/>
            <m:grow/>
          </m:dPr>
          <m:e>
            <m:r>
              <m:t>κ</m:t>
            </m:r>
          </m:e>
        </m:d>
      </m:oMath>
      <w:r>
        <w:t xml:space="preserve">; shaded: admissible range of</w:t>
      </w:r>
      <w:r>
        <w:t xml:space="preserve"> </w:t>
      </w:r>
      <m:oMath>
        <m:r>
          <m:t>κ</m:t>
        </m:r>
      </m:oMath>
      <w:r>
        <w:t xml:space="preserve">.</w:t>
      </w:r>
    </w:p>
    <w:bookmarkEnd w:id="78"/>
    <w:bookmarkEnd w:id="79"/>
    <w:sectPr>
      <w:footerReference r:id="rId9" w:type="default"/>
      <w:pgSz w:h="16838" w:w="11906"/>
      <w:lnNumType w:countBy="1" w:restart="continuous" w:distance="283"/>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cs="Times New Roman" w:eastAsia="Times New Roman" w:hAnsi="Times New Roman"/>
      <w:sz w:val="24"/>
    </w:rPr>
  </w:style>
  <w:style w:styleId="BodyText" w:type="paragraph">
    <w:name w:val="Body Text"/>
    <w:basedOn w:val="Normal"/>
    <w:link w:val="BodyTextChar"/>
    <w:pPr>
      <w:spacing w:after="120" w:before="180" w:line="36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36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line="360" w:lineRule="auto"/>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spacing w:line="360" w:lineRule="auto"/>
      <w:jc w:val="center"/>
    </w:pPr>
    <w:rPr>
      <w:rFonts w:ascii="Times New Roman" w:cs="Times New Roman" w:eastAsia="Times New Roman" w:hAnsi="Times New Roman"/>
      <w:sz w:val="24"/>
    </w:rPr>
  </w:style>
  <w:style w:styleId="Date" w:type="paragraph">
    <w:name w:val="Date"/>
    <w:next w:val="BodyText"/>
    <w:qFormat/>
    <w:pPr>
      <w:keepNext/>
      <w:keepLines/>
      <w:spacing w:line="360" w:lineRule="auto"/>
      <w:jc w:val="center"/>
    </w:pPr>
    <w:rPr>
      <w:rFonts w:ascii="Times New Roman" w:cs="Times New Roman" w:eastAsia="Times New Roman" w:hAnsi="Times New Roman"/>
      <w:sz w:val="24"/>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line="360" w:lineRule="auto"/>
    </w:pPr>
    <w:rPr>
      <w:rFonts w:ascii="Times New Roman" w:cs="Times New Roman" w:eastAsia="Times New Roman" w:hAnsi="Times New Roman"/>
      <w:sz w:val="24"/>
      <w:szCs w:val="20"/>
    </w:rPr>
  </w:style>
  <w:style w:styleId="Bibliography" w:type="paragraph">
    <w:name w:val="Bibliography"/>
    <w:basedOn w:val="Normal"/>
    <w:next w:val="Bibliography"/>
    <w:qFormat/>
    <w:pPr>
      <w:spacing w:line="360" w:lineRule="auto"/>
    </w:pPr>
    <w:rPr>
      <w:rFonts w:ascii="Times New Roman" w:cs="Times New Roman" w:eastAsia="Times New Roman" w:hAnsi="Times New Roman"/>
      <w:sz w:val="24"/>
    </w:rPr>
  </w:style>
  <w:style w:styleId="Heading1" w:type="paragraph">
    <w:name w:val="Heading 1"/>
    <w:basedOn w:val="Normal"/>
    <w:next w:val="BodyText"/>
    <w:uiPriority w:val="9"/>
    <w:qFormat/>
    <w:pPr>
      <w:keepNext/>
      <w:keepLines/>
      <w:spacing w:after="0" w:before="480" w:line="360" w:lineRule="auto"/>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0" w:before="200" w:line="360" w:lineRule="auto"/>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0" w:before="200" w:line="360" w:lineRule="auto"/>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customStyle="1" w:styleId="Figureplaceholder" w:type="paragraph">
    <w:name w:val="Figure placeholder"/>
    <w:basedOn w:val="Normal"/>
    <w:pPr>
      <w:jc w:val="center"/>
    </w:pPr>
    <w:rPr>
      <w:i/>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54" Type="http://schemas.openxmlformats.org/officeDocument/2006/relationships/image" Target="media/rId54.png"/><Relationship Id="rId57" Type="http://schemas.openxmlformats.org/officeDocument/2006/relationships/image" Target="media/rId57.png"/><Relationship Id="rId60" Type="http://schemas.openxmlformats.org/officeDocument/2006/relationships/image" Target="media/rId60.png"/><Relationship Id="rId63" Type="http://schemas.openxmlformats.org/officeDocument/2006/relationships/image" Target="media/rId63.png"/><Relationship Id="rId66" Type="http://schemas.openxmlformats.org/officeDocument/2006/relationships/image" Target="media/rId66.png"/><Relationship Id="rId69" Type="http://schemas.openxmlformats.org/officeDocument/2006/relationships/image" Target="media/rId69.png"/><Relationship Id="rId72" Type="http://schemas.openxmlformats.org/officeDocument/2006/relationships/image" Target="media/rId72.png"/><Relationship Id="rId75" Type="http://schemas.openxmlformats.org/officeDocument/2006/relationships/image" Target="media/rId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2026-10-18T15:52:07Z</dcterms:created>
  <dcterms:modified xsi:type="dcterms:W3CDTF">2026-10-18T15:52:07Z</dcterms:modified>
</cp:coreProperties>
</file>

<file path=docProps/custom.xml><?xml version="1.0" encoding="utf-8"?>
<Properties xmlns="http://schemas.openxmlformats.org/officeDocument/2006/custom-properties" xmlns:vt="http://schemas.openxmlformats.org/officeDocument/2006/docPropsVTypes"/>
</file>