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5CA1" w:rsidRPr="00A01B62" w:rsidRDefault="00A01B62">
      <w:pPr>
        <w:rPr>
          <w:b/>
          <w:bCs/>
          <w:sz w:val="48"/>
          <w:szCs w:val="48"/>
        </w:rPr>
      </w:pPr>
      <w:r w:rsidRPr="00A01B62">
        <w:rPr>
          <w:b/>
          <w:bCs/>
          <w:sz w:val="48"/>
          <w:szCs w:val="48"/>
        </w:rPr>
        <w:t>CSI Bridge Instruction:</w:t>
      </w:r>
    </w:p>
    <w:p w:rsidR="00A01B62" w:rsidRDefault="00A01B62"/>
    <w:p w:rsidR="00A01B62" w:rsidRDefault="00A01B62">
      <w:r>
        <w:t xml:space="preserve">The purpose of this document is to teach how to use some available tools in the CSI Bridge software that can be helpful for doing this project. These tools are not clearly explained in the tutorials </w:t>
      </w:r>
      <w:r w:rsidR="001C6729">
        <w:t xml:space="preserve">available </w:t>
      </w:r>
      <w:r>
        <w:t xml:space="preserve">on the website. These are learned after lots of trial and error and it is aimed to help future model users to learn quickly how to </w:t>
      </w:r>
      <w:r w:rsidR="001C6729">
        <w:t>perform</w:t>
      </w:r>
      <w:r>
        <w:t xml:space="preserve">. </w:t>
      </w:r>
      <w:r w:rsidR="001C6729">
        <w:t>For beginners, it is recommended to watch the general tutorials on the website before reading this document. See the link below:</w:t>
      </w:r>
    </w:p>
    <w:p w:rsidR="001C6729" w:rsidRDefault="001C6729"/>
    <w:p w:rsidR="001C6729" w:rsidRDefault="001C6729">
      <w:hyperlink r:id="rId4" w:history="1">
        <w:r w:rsidRPr="00F00841">
          <w:rPr>
            <w:rStyle w:val="Hyperlink"/>
          </w:rPr>
          <w:t>https://www.csiamerica.com/products/csibridge/videos/csi-spotlight</w:t>
        </w:r>
      </w:hyperlink>
    </w:p>
    <w:p w:rsidR="001C6729" w:rsidRDefault="001C6729"/>
    <w:p w:rsidR="005D5CA1" w:rsidRDefault="001C6729" w:rsidP="001C6729">
      <w:r>
        <w:t>As explained in the dissertation authored by Amin Moghadam, two spans of the Varina-</w:t>
      </w:r>
      <w:proofErr w:type="spellStart"/>
      <w:r>
        <w:t>Enon</w:t>
      </w:r>
      <w:proofErr w:type="spellEnd"/>
      <w:r>
        <w:t xml:space="preserve"> bridge Is modeled here in the CSI Bridge</w:t>
      </w:r>
      <w:r w:rsidR="00BD3687">
        <w:t xml:space="preserve"> software</w:t>
      </w:r>
      <w:r>
        <w:t>. See Figure 1. It is assumed that this model has already been analyzed using a time history analysis and now, we are going to see where and how to manipulate some parameters per our need.</w:t>
      </w:r>
      <w:r w:rsidR="006B6F14">
        <w:t xml:space="preserve"> This is an intact bridge model. To simulate a damaged bridge, one can select an element and press delete </w:t>
      </w:r>
      <w:r w:rsidR="00F27453">
        <w:t>button</w:t>
      </w:r>
      <w:r w:rsidR="006B6F14">
        <w:t xml:space="preserve"> on the keyboard.</w:t>
      </w:r>
    </w:p>
    <w:p w:rsidR="001C6729" w:rsidRDefault="001C6729" w:rsidP="001C6729">
      <w:pPr>
        <w:jc w:val="center"/>
      </w:pPr>
    </w:p>
    <w:p w:rsidR="001C6729" w:rsidRDefault="001C6729" w:rsidP="001C6729"/>
    <w:p w:rsidR="001C6729" w:rsidRDefault="001C6729" w:rsidP="001C6729">
      <w:pPr>
        <w:jc w:val="center"/>
      </w:pPr>
      <w:r>
        <w:rPr>
          <w:noProof/>
        </w:rPr>
        <w:drawing>
          <wp:inline distT="0" distB="0" distL="0" distR="0" wp14:anchorId="1A057268" wp14:editId="5E02AD43">
            <wp:extent cx="4838700" cy="32670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t="6394" b="5883"/>
                    <a:stretch/>
                  </pic:blipFill>
                  <pic:spPr bwMode="auto">
                    <a:xfrm>
                      <a:off x="0" y="0"/>
                      <a:ext cx="4838700" cy="3267075"/>
                    </a:xfrm>
                    <a:prstGeom prst="rect">
                      <a:avLst/>
                    </a:prstGeom>
                    <a:ln>
                      <a:noFill/>
                    </a:ln>
                    <a:extLst>
                      <a:ext uri="{53640926-AAD7-44D8-BBD7-CCE9431645EC}">
                        <a14:shadowObscured xmlns:a14="http://schemas.microsoft.com/office/drawing/2010/main"/>
                      </a:ext>
                    </a:extLst>
                  </pic:spPr>
                </pic:pic>
              </a:graphicData>
            </a:graphic>
          </wp:inline>
        </w:drawing>
      </w:r>
    </w:p>
    <w:p w:rsidR="001C6729" w:rsidRDefault="001C6729" w:rsidP="001C6729">
      <w:pPr>
        <w:jc w:val="center"/>
      </w:pPr>
      <w:r>
        <w:t>Fig. 1. The model simulated in the CSI Bridge</w:t>
      </w:r>
    </w:p>
    <w:p w:rsidR="001C6729" w:rsidRDefault="001C6729" w:rsidP="001C6729"/>
    <w:p w:rsidR="001C6729" w:rsidRDefault="001C6729" w:rsidP="001C6729"/>
    <w:p w:rsidR="001C6729" w:rsidRDefault="001C6729" w:rsidP="001C6729"/>
    <w:p w:rsidR="001C6729" w:rsidRDefault="001C6729" w:rsidP="001C6729"/>
    <w:p w:rsidR="001C6729" w:rsidRDefault="001C6729" w:rsidP="001C6729"/>
    <w:p w:rsidR="001C6729" w:rsidRDefault="001C6729" w:rsidP="001C6729"/>
    <w:p w:rsidR="001C6729" w:rsidRDefault="001C6729" w:rsidP="001C6729"/>
    <w:p w:rsidR="005D5CA1" w:rsidRDefault="005D5CA1"/>
    <w:p w:rsidR="002F6D1E" w:rsidRDefault="00BD3687" w:rsidP="00BD3687">
      <w:r>
        <w:t>Figure 2 shows where to display force diagrams, stresses/strains and deformed and undeformed bridge.</w:t>
      </w:r>
    </w:p>
    <w:p w:rsidR="002F6D1E" w:rsidRDefault="002F6D1E"/>
    <w:p w:rsidR="005D5CA1" w:rsidRDefault="002F6D1E" w:rsidP="00BD3687">
      <w:pPr>
        <w:jc w:val="center"/>
      </w:pPr>
      <w:r>
        <w:rPr>
          <w:noProof/>
        </w:rPr>
        <w:drawing>
          <wp:inline distT="0" distB="0" distL="0" distR="0" wp14:anchorId="38A4C271">
            <wp:extent cx="6975126" cy="3314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05440" cy="3329106"/>
                    </a:xfrm>
                    <a:prstGeom prst="rect">
                      <a:avLst/>
                    </a:prstGeom>
                    <a:noFill/>
                  </pic:spPr>
                </pic:pic>
              </a:graphicData>
            </a:graphic>
          </wp:inline>
        </w:drawing>
      </w:r>
    </w:p>
    <w:p w:rsidR="002F6D1E" w:rsidRDefault="00BD3687" w:rsidP="00BD3687">
      <w:pPr>
        <w:jc w:val="center"/>
      </w:pPr>
      <w:r>
        <w:t xml:space="preserve">Fig. </w:t>
      </w:r>
      <w:r>
        <w:t>2</w:t>
      </w:r>
      <w:r>
        <w:t>.</w:t>
      </w:r>
      <w:r>
        <w:t xml:space="preserve"> Display the forces, stresses, strains, and deflected/undeflected shapes</w:t>
      </w:r>
    </w:p>
    <w:p w:rsidR="00892393" w:rsidRDefault="00BD3687" w:rsidP="00892393">
      <w:r>
        <w:t xml:space="preserve">Figure 3 shows how to obtain the data such as strains, forces, etc., in a table format. These tables can later be exported to excel or etc. </w:t>
      </w:r>
      <w:r w:rsidR="00892393">
        <w:t>It should be noted that a desired element on the bridge should be first selected</w:t>
      </w:r>
      <w:r w:rsidR="00892393">
        <w:t xml:space="preserve"> before using this window</w:t>
      </w:r>
      <w:r w:rsidR="00892393">
        <w:t>.</w:t>
      </w:r>
      <w:r w:rsidR="00892393">
        <w:t xml:space="preserve"> Figure 3 </w:t>
      </w:r>
      <w:r>
        <w:t>also shows how to change its setting to obtain the data vs. time when a proper time-history analysis is performed.</w:t>
      </w:r>
      <w:r w:rsidR="00892393">
        <w:t xml:space="preserve"> </w:t>
      </w:r>
    </w:p>
    <w:p w:rsidR="002F6D1E" w:rsidRDefault="002F6D1E" w:rsidP="00892393">
      <w:r>
        <w:rPr>
          <w:noProof/>
        </w:rPr>
        <w:drawing>
          <wp:inline distT="0" distB="0" distL="0" distR="0" wp14:anchorId="2C4C48C9">
            <wp:extent cx="6316214" cy="3802380"/>
            <wp:effectExtent l="0" t="0" r="889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24525" cy="3807383"/>
                    </a:xfrm>
                    <a:prstGeom prst="rect">
                      <a:avLst/>
                    </a:prstGeom>
                    <a:noFill/>
                  </pic:spPr>
                </pic:pic>
              </a:graphicData>
            </a:graphic>
          </wp:inline>
        </w:drawing>
      </w:r>
    </w:p>
    <w:p w:rsidR="00CF581B" w:rsidRDefault="00BD3687" w:rsidP="00892393">
      <w:pPr>
        <w:jc w:val="center"/>
      </w:pPr>
      <w:r>
        <w:lastRenderedPageBreak/>
        <w:t xml:space="preserve">Fig. </w:t>
      </w:r>
      <w:r>
        <w:t>3</w:t>
      </w:r>
      <w:r>
        <w:t xml:space="preserve">. </w:t>
      </w:r>
      <w:r>
        <w:t>How to obtain the data table</w:t>
      </w:r>
    </w:p>
    <w:p w:rsidR="00CF581B" w:rsidRDefault="00892393" w:rsidP="00892393">
      <w:r>
        <w:t>When click on OK in Figure 3, the window in Figure 4 pops up. This is where the data table for the recorded response vss. Time can be obtained. To sort the data per each joint, some additional manipulation shown in Figure 4 is needed.</w:t>
      </w:r>
    </w:p>
    <w:p w:rsidR="00CF581B" w:rsidRDefault="00CF581B">
      <w:r>
        <w:rPr>
          <w:noProof/>
        </w:rPr>
        <w:drawing>
          <wp:inline distT="0" distB="0" distL="0" distR="0" wp14:anchorId="344ED595">
            <wp:extent cx="6283092" cy="3137535"/>
            <wp:effectExtent l="0" t="0" r="381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97091" cy="3144526"/>
                    </a:xfrm>
                    <a:prstGeom prst="rect">
                      <a:avLst/>
                    </a:prstGeom>
                    <a:noFill/>
                  </pic:spPr>
                </pic:pic>
              </a:graphicData>
            </a:graphic>
          </wp:inline>
        </w:drawing>
      </w:r>
    </w:p>
    <w:p w:rsidR="00892393" w:rsidRDefault="00892393" w:rsidP="00892393">
      <w:pPr>
        <w:jc w:val="center"/>
      </w:pPr>
      <w:r>
        <w:t xml:space="preserve">Fig. </w:t>
      </w:r>
      <w:r>
        <w:t>4</w:t>
      </w:r>
      <w:r>
        <w:t xml:space="preserve">. </w:t>
      </w:r>
      <w:r>
        <w:t>How to sort the data per each joint number</w:t>
      </w:r>
    </w:p>
    <w:p w:rsidR="00892393" w:rsidRDefault="00892393">
      <w:r>
        <w:t xml:space="preserve">Figure 5 shows how to change the lanes characteristics such as start/end points, width, etc. </w:t>
      </w:r>
      <w:r w:rsidR="002E6651">
        <w:t>This is also shown where one can actually change the transverse position of each lane and accordingly the transverse position of each truck. Figure 6 illustrate how to visually evaluate the position of the lanes.</w:t>
      </w:r>
      <w:r w:rsidR="003F6751">
        <w:t xml:space="preserve"> </w:t>
      </w:r>
    </w:p>
    <w:p w:rsidR="00892393" w:rsidRDefault="00892393" w:rsidP="00892393">
      <w:pPr>
        <w:jc w:val="center"/>
      </w:pPr>
      <w:r>
        <w:rPr>
          <w:noProof/>
        </w:rPr>
        <w:drawing>
          <wp:inline distT="0" distB="0" distL="0" distR="0" wp14:anchorId="5A7C118F" wp14:editId="64BA8F16">
            <wp:extent cx="5472430" cy="4359797"/>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3780" cy="4368839"/>
                    </a:xfrm>
                    <a:prstGeom prst="rect">
                      <a:avLst/>
                    </a:prstGeom>
                    <a:noFill/>
                  </pic:spPr>
                </pic:pic>
              </a:graphicData>
            </a:graphic>
          </wp:inline>
        </w:drawing>
      </w:r>
    </w:p>
    <w:p w:rsidR="00892393" w:rsidRDefault="00892393" w:rsidP="00892393">
      <w:pPr>
        <w:jc w:val="center"/>
      </w:pPr>
      <w:r>
        <w:lastRenderedPageBreak/>
        <w:t xml:space="preserve">Fig. </w:t>
      </w:r>
      <w:r>
        <w:t>5</w:t>
      </w:r>
      <w:r>
        <w:t xml:space="preserve">. </w:t>
      </w:r>
      <w:r w:rsidR="002E6651">
        <w:t>Lane characteristics and transverse position</w:t>
      </w:r>
    </w:p>
    <w:p w:rsidR="00892393" w:rsidRDefault="00892393" w:rsidP="00892393">
      <w:pPr>
        <w:jc w:val="center"/>
      </w:pPr>
    </w:p>
    <w:p w:rsidR="00892393" w:rsidRDefault="00892393"/>
    <w:p w:rsidR="0014313D" w:rsidRDefault="0014313D" w:rsidP="003F6751">
      <w:r>
        <w:rPr>
          <w:noProof/>
        </w:rPr>
        <w:drawing>
          <wp:inline distT="0" distB="0" distL="0" distR="0" wp14:anchorId="27A7D765">
            <wp:extent cx="6432914" cy="3314065"/>
            <wp:effectExtent l="0" t="0" r="635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45814" cy="3320711"/>
                    </a:xfrm>
                    <a:prstGeom prst="rect">
                      <a:avLst/>
                    </a:prstGeom>
                    <a:noFill/>
                  </pic:spPr>
                </pic:pic>
              </a:graphicData>
            </a:graphic>
          </wp:inline>
        </w:drawing>
      </w:r>
    </w:p>
    <w:p w:rsidR="00892393" w:rsidRDefault="00892393" w:rsidP="00892393">
      <w:pPr>
        <w:jc w:val="center"/>
      </w:pPr>
      <w:r>
        <w:t xml:space="preserve">Fig. </w:t>
      </w:r>
      <w:r>
        <w:t>6</w:t>
      </w:r>
      <w:r>
        <w:t xml:space="preserve">. </w:t>
      </w:r>
      <w:r w:rsidR="003F6751">
        <w:t>Lanes visualization</w:t>
      </w:r>
    </w:p>
    <w:p w:rsidR="006B622F" w:rsidRDefault="006B622F"/>
    <w:p w:rsidR="00783F72" w:rsidRDefault="00C31171" w:rsidP="00C31171">
      <w:r>
        <w:t>Figure 7 shows how and where to set the materials properties and bearing stiffness in all directions</w:t>
      </w:r>
    </w:p>
    <w:p w:rsidR="00783F72" w:rsidRDefault="00783F72" w:rsidP="00C31171">
      <w:pPr>
        <w:jc w:val="center"/>
      </w:pPr>
      <w:r>
        <w:rPr>
          <w:noProof/>
        </w:rPr>
        <w:drawing>
          <wp:inline distT="0" distB="0" distL="0" distR="0" wp14:anchorId="37FA2E29">
            <wp:extent cx="5803981" cy="381000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27289" cy="3825301"/>
                    </a:xfrm>
                    <a:prstGeom prst="rect">
                      <a:avLst/>
                    </a:prstGeom>
                    <a:noFill/>
                  </pic:spPr>
                </pic:pic>
              </a:graphicData>
            </a:graphic>
          </wp:inline>
        </w:drawing>
      </w:r>
    </w:p>
    <w:p w:rsidR="00C31171" w:rsidRDefault="00C31171" w:rsidP="00C31171">
      <w:pPr>
        <w:jc w:val="center"/>
      </w:pPr>
      <w:r>
        <w:t xml:space="preserve">Fig. </w:t>
      </w:r>
      <w:r>
        <w:t>7</w:t>
      </w:r>
      <w:r>
        <w:t xml:space="preserve">. </w:t>
      </w:r>
      <w:r>
        <w:t xml:space="preserve">Bearing stiffness and material properties </w:t>
      </w:r>
    </w:p>
    <w:p w:rsidR="00783F72" w:rsidRDefault="00783F72"/>
    <w:p w:rsidR="00694FB1" w:rsidRDefault="00C31171">
      <w:r>
        <w:t xml:space="preserve">The left side of Figure 8 shows where to change the deck coordinates to adjust its geometry per our need. This can be manually done in the box shown. However, sometimes, the geometry should be changed more significantly and this should be done </w:t>
      </w:r>
      <w:r w:rsidR="000920CE">
        <w:t>in the “section designer” shown in Figure 8. A key point here is that all the layouts shown on the right side (Spine, Area, and Solid) should necessarily be adjusted</w:t>
      </w:r>
      <w:r w:rsidR="003071F6">
        <w:t xml:space="preserve"> on top of each other</w:t>
      </w:r>
      <w:r w:rsidR="000920CE">
        <w:t>, otherwise an error occurs.</w:t>
      </w:r>
      <w:r w:rsidR="003071F6">
        <w:t xml:space="preserve"> This should be done manually.</w:t>
      </w:r>
    </w:p>
    <w:p w:rsidR="00783F72" w:rsidRDefault="004159D8">
      <w:r>
        <w:rPr>
          <w:noProof/>
        </w:rPr>
        <w:drawing>
          <wp:inline distT="0" distB="0" distL="0" distR="0" wp14:anchorId="780F2B64">
            <wp:extent cx="7093737" cy="3997732"/>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4" r="-2"/>
                    <a:stretch/>
                  </pic:blipFill>
                  <pic:spPr bwMode="auto">
                    <a:xfrm>
                      <a:off x="0" y="0"/>
                      <a:ext cx="7171650" cy="4041640"/>
                    </a:xfrm>
                    <a:prstGeom prst="rect">
                      <a:avLst/>
                    </a:prstGeom>
                    <a:noFill/>
                    <a:ln>
                      <a:noFill/>
                    </a:ln>
                    <a:extLst>
                      <a:ext uri="{53640926-AAD7-44D8-BBD7-CCE9431645EC}">
                        <a14:shadowObscured xmlns:a14="http://schemas.microsoft.com/office/drawing/2010/main"/>
                      </a:ext>
                    </a:extLst>
                  </pic:spPr>
                </pic:pic>
              </a:graphicData>
            </a:graphic>
          </wp:inline>
        </w:drawing>
      </w:r>
    </w:p>
    <w:p w:rsidR="00C31171" w:rsidRDefault="00C31171" w:rsidP="00C31171">
      <w:pPr>
        <w:jc w:val="center"/>
      </w:pPr>
      <w:r>
        <w:t xml:space="preserve">Fig. </w:t>
      </w:r>
      <w:r>
        <w:t>8</w:t>
      </w:r>
      <w:r>
        <w:t xml:space="preserve">. </w:t>
      </w:r>
      <w:r>
        <w:t>How to create a proper section for the concrete box</w:t>
      </w:r>
      <w:r>
        <w:t xml:space="preserve"> </w:t>
      </w:r>
    </w:p>
    <w:p w:rsidR="00F37AB5" w:rsidRDefault="006418EB">
      <w:r>
        <w:t>Figure 9 shows how to define a custom truck with specific axle weights, axle spacings, axle width, etc.</w:t>
      </w:r>
    </w:p>
    <w:p w:rsidR="00F37AB5" w:rsidRDefault="00F37AB5" w:rsidP="006418EB">
      <w:pPr>
        <w:jc w:val="center"/>
      </w:pPr>
      <w:r>
        <w:rPr>
          <w:noProof/>
        </w:rPr>
        <w:drawing>
          <wp:inline distT="0" distB="0" distL="0" distR="0" wp14:anchorId="205B71B1">
            <wp:extent cx="6216285" cy="289611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58231" cy="2915658"/>
                    </a:xfrm>
                    <a:prstGeom prst="rect">
                      <a:avLst/>
                    </a:prstGeom>
                    <a:noFill/>
                  </pic:spPr>
                </pic:pic>
              </a:graphicData>
            </a:graphic>
          </wp:inline>
        </w:drawing>
      </w:r>
    </w:p>
    <w:p w:rsidR="006418EB" w:rsidRDefault="006418EB" w:rsidP="006418EB">
      <w:pPr>
        <w:jc w:val="center"/>
      </w:pPr>
      <w:r>
        <w:t xml:space="preserve">Fig. </w:t>
      </w:r>
      <w:r>
        <w:t>9</w:t>
      </w:r>
      <w:r>
        <w:t xml:space="preserve">. How to </w:t>
      </w:r>
      <w:r>
        <w:t>define a custom vehicle</w:t>
      </w:r>
    </w:p>
    <w:p w:rsidR="00F37AB5" w:rsidRDefault="00F37AB5"/>
    <w:p w:rsidR="00F37AB5" w:rsidRDefault="00F37AB5"/>
    <w:p w:rsidR="00F37AB5" w:rsidRDefault="00F37AB5"/>
    <w:p w:rsidR="00F37AB5" w:rsidRDefault="006418EB">
      <w:r>
        <w:t xml:space="preserve">Figure 10 demonstrates how make a custom </w:t>
      </w:r>
      <w:r w:rsidR="00B378C7">
        <w:t xml:space="preserve">multiple/single-truck </w:t>
      </w:r>
      <w:r>
        <w:t xml:space="preserve">event using the defined vehicles. The number of vehicles, their distance, speed, </w:t>
      </w:r>
      <w:r w:rsidR="00B378C7">
        <w:t xml:space="preserve">lanes, etc. can be selected here </w:t>
      </w:r>
      <w:r w:rsidR="006C6FD2">
        <w:t>for</w:t>
      </w:r>
      <w:r w:rsidR="00B378C7">
        <w:t xml:space="preserve"> instance, Figure 10 shows an in-one-row events consisting of two truck on the same lane (lane 2). But other events such as side-by-side and even more complex can also be defined here.</w:t>
      </w:r>
    </w:p>
    <w:p w:rsidR="00F37AB5" w:rsidRDefault="00F37AB5">
      <w:r>
        <w:rPr>
          <w:noProof/>
        </w:rPr>
        <w:drawing>
          <wp:inline distT="0" distB="0" distL="0" distR="0" wp14:anchorId="3EDB39DF">
            <wp:extent cx="7117948" cy="2381250"/>
            <wp:effectExtent l="0" t="0" r="69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173507" cy="2399837"/>
                    </a:xfrm>
                    <a:prstGeom prst="rect">
                      <a:avLst/>
                    </a:prstGeom>
                    <a:noFill/>
                  </pic:spPr>
                </pic:pic>
              </a:graphicData>
            </a:graphic>
          </wp:inline>
        </w:drawing>
      </w:r>
    </w:p>
    <w:p w:rsidR="003154BA" w:rsidRDefault="006418EB" w:rsidP="007C021C">
      <w:pPr>
        <w:jc w:val="center"/>
      </w:pPr>
      <w:r>
        <w:t xml:space="preserve">Fig. </w:t>
      </w:r>
      <w:r>
        <w:t>10</w:t>
      </w:r>
      <w:r>
        <w:t xml:space="preserve">. How to define a custom </w:t>
      </w:r>
      <w:r w:rsidR="00A02748">
        <w:t>multiple-vehicle event</w:t>
      </w:r>
    </w:p>
    <w:p w:rsidR="003154BA" w:rsidRDefault="003154BA">
      <w:pPr>
        <w:rPr>
          <w:lang w:bidi="fa-IR"/>
        </w:rPr>
      </w:pPr>
    </w:p>
    <w:p w:rsidR="003154BA" w:rsidRDefault="009479D7" w:rsidP="009479D7">
      <w:pPr>
        <w:rPr>
          <w:rtl/>
          <w:lang w:bidi="fa-IR"/>
        </w:rPr>
      </w:pPr>
      <w:r>
        <w:rPr>
          <w:lang w:bidi="fa-IR"/>
        </w:rPr>
        <w:t>Figure 11 shows where the deck properties should be assigned.</w:t>
      </w:r>
    </w:p>
    <w:p w:rsidR="00AA4AFA" w:rsidRDefault="00AA4AFA" w:rsidP="003154BA">
      <w:pPr>
        <w:jc w:val="center"/>
        <w:rPr>
          <w:rtl/>
          <w:lang w:bidi="fa-IR"/>
        </w:rPr>
      </w:pPr>
    </w:p>
    <w:p w:rsidR="00AA4AFA" w:rsidRDefault="00AA4AFA" w:rsidP="003154BA">
      <w:pPr>
        <w:jc w:val="center"/>
        <w:rPr>
          <w:lang w:bidi="fa-IR"/>
        </w:rPr>
      </w:pPr>
      <w:r>
        <w:rPr>
          <w:noProof/>
          <w:rtl/>
          <w:lang w:val="fa-IR" w:bidi="fa-IR"/>
        </w:rPr>
        <w:drawing>
          <wp:inline distT="0" distB="0" distL="0" distR="0" wp14:anchorId="23597732">
            <wp:extent cx="7004050" cy="3207399"/>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030814" cy="3219655"/>
                    </a:xfrm>
                    <a:prstGeom prst="rect">
                      <a:avLst/>
                    </a:prstGeom>
                    <a:noFill/>
                  </pic:spPr>
                </pic:pic>
              </a:graphicData>
            </a:graphic>
          </wp:inline>
        </w:drawing>
      </w:r>
    </w:p>
    <w:p w:rsidR="009479D7" w:rsidRDefault="009479D7" w:rsidP="009479D7">
      <w:pPr>
        <w:jc w:val="center"/>
      </w:pPr>
      <w:r>
        <w:t>Fig. 1</w:t>
      </w:r>
      <w:r>
        <w:t>1</w:t>
      </w:r>
      <w:r>
        <w:t xml:space="preserve">. </w:t>
      </w:r>
      <w:r>
        <w:t>Where the deck characteristics should be assigned</w:t>
      </w:r>
    </w:p>
    <w:p w:rsidR="009479D7" w:rsidRDefault="009479D7" w:rsidP="003154BA">
      <w:pPr>
        <w:jc w:val="center"/>
        <w:rPr>
          <w:lang w:bidi="fa-IR"/>
        </w:rPr>
      </w:pPr>
    </w:p>
    <w:p w:rsidR="009479D7" w:rsidRDefault="009479D7" w:rsidP="003154BA">
      <w:pPr>
        <w:jc w:val="center"/>
        <w:rPr>
          <w:lang w:bidi="fa-IR"/>
        </w:rPr>
      </w:pPr>
    </w:p>
    <w:p w:rsidR="009479D7" w:rsidRDefault="009479D7" w:rsidP="003154BA">
      <w:pPr>
        <w:jc w:val="center"/>
        <w:rPr>
          <w:lang w:bidi="fa-IR"/>
        </w:rPr>
      </w:pPr>
    </w:p>
    <w:p w:rsidR="009479D7" w:rsidRDefault="009479D7" w:rsidP="003154BA">
      <w:pPr>
        <w:jc w:val="center"/>
        <w:rPr>
          <w:lang w:bidi="fa-IR"/>
        </w:rPr>
      </w:pPr>
    </w:p>
    <w:p w:rsidR="009479D7" w:rsidRDefault="009479D7" w:rsidP="003154BA">
      <w:pPr>
        <w:jc w:val="center"/>
        <w:rPr>
          <w:lang w:bidi="fa-IR"/>
        </w:rPr>
      </w:pPr>
    </w:p>
    <w:p w:rsidR="009479D7" w:rsidRDefault="009479D7" w:rsidP="009479D7">
      <w:pPr>
        <w:rPr>
          <w:rtl/>
          <w:lang w:bidi="fa-IR"/>
        </w:rPr>
      </w:pPr>
      <w:r>
        <w:rPr>
          <w:lang w:bidi="fa-IR"/>
        </w:rPr>
        <w:t>Figure 12 shows the tendon properties. In this project all tendons were modeled as a one equivalent tendon with equivalent section area.</w:t>
      </w:r>
    </w:p>
    <w:p w:rsidR="00AA4AFA" w:rsidRDefault="00AA4AFA" w:rsidP="003154BA">
      <w:pPr>
        <w:jc w:val="center"/>
        <w:rPr>
          <w:lang w:bidi="fa-IR"/>
        </w:rPr>
      </w:pPr>
      <w:r>
        <w:rPr>
          <w:noProof/>
        </w:rPr>
        <w:drawing>
          <wp:inline distT="0" distB="0" distL="0" distR="0" wp14:anchorId="108125DB">
            <wp:extent cx="7200900" cy="53016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7200900" cy="5301615"/>
                    </a:xfrm>
                    <a:prstGeom prst="rect">
                      <a:avLst/>
                    </a:prstGeom>
                  </pic:spPr>
                </pic:pic>
              </a:graphicData>
            </a:graphic>
          </wp:inline>
        </w:drawing>
      </w:r>
    </w:p>
    <w:p w:rsidR="009479D7" w:rsidRDefault="009479D7" w:rsidP="009479D7">
      <w:pPr>
        <w:jc w:val="center"/>
      </w:pPr>
      <w:r>
        <w:t>Fig. 1</w:t>
      </w:r>
      <w:r>
        <w:t>2</w:t>
      </w:r>
      <w:r>
        <w:t xml:space="preserve">. </w:t>
      </w:r>
      <w:r>
        <w:t>Prestress tendons properties</w:t>
      </w:r>
    </w:p>
    <w:p w:rsidR="00AA4AFA" w:rsidRDefault="00AA4AFA" w:rsidP="003154BA">
      <w:pPr>
        <w:jc w:val="center"/>
        <w:rPr>
          <w:lang w:bidi="fa-IR"/>
        </w:rPr>
      </w:pPr>
    </w:p>
    <w:p w:rsidR="009479D7" w:rsidRDefault="009479D7" w:rsidP="003154BA">
      <w:pPr>
        <w:jc w:val="center"/>
        <w:rPr>
          <w:lang w:bidi="fa-IR"/>
        </w:rPr>
      </w:pPr>
    </w:p>
    <w:p w:rsidR="009479D7" w:rsidRDefault="009479D7" w:rsidP="003154BA">
      <w:pPr>
        <w:jc w:val="center"/>
        <w:rPr>
          <w:lang w:bidi="fa-IR"/>
        </w:rPr>
      </w:pPr>
    </w:p>
    <w:p w:rsidR="009479D7" w:rsidRDefault="009479D7" w:rsidP="003154BA">
      <w:pPr>
        <w:jc w:val="center"/>
        <w:rPr>
          <w:lang w:bidi="fa-IR"/>
        </w:rPr>
      </w:pPr>
    </w:p>
    <w:p w:rsidR="009479D7" w:rsidRDefault="009479D7" w:rsidP="003154BA">
      <w:pPr>
        <w:jc w:val="center"/>
        <w:rPr>
          <w:lang w:bidi="fa-IR"/>
        </w:rPr>
      </w:pPr>
    </w:p>
    <w:p w:rsidR="009479D7" w:rsidRDefault="009479D7" w:rsidP="003154BA">
      <w:pPr>
        <w:jc w:val="center"/>
        <w:rPr>
          <w:lang w:bidi="fa-IR"/>
        </w:rPr>
      </w:pPr>
    </w:p>
    <w:p w:rsidR="009479D7" w:rsidRDefault="009479D7" w:rsidP="003154BA">
      <w:pPr>
        <w:jc w:val="center"/>
        <w:rPr>
          <w:lang w:bidi="fa-IR"/>
        </w:rPr>
      </w:pPr>
    </w:p>
    <w:p w:rsidR="009479D7" w:rsidRDefault="009479D7" w:rsidP="003154BA">
      <w:pPr>
        <w:jc w:val="center"/>
        <w:rPr>
          <w:lang w:bidi="fa-IR"/>
        </w:rPr>
      </w:pPr>
    </w:p>
    <w:p w:rsidR="009479D7" w:rsidRDefault="009479D7" w:rsidP="003154BA">
      <w:pPr>
        <w:jc w:val="center"/>
        <w:rPr>
          <w:lang w:bidi="fa-IR"/>
        </w:rPr>
      </w:pPr>
    </w:p>
    <w:p w:rsidR="009479D7" w:rsidRDefault="009479D7" w:rsidP="003154BA">
      <w:pPr>
        <w:jc w:val="center"/>
        <w:rPr>
          <w:lang w:bidi="fa-IR"/>
        </w:rPr>
      </w:pPr>
    </w:p>
    <w:p w:rsidR="009479D7" w:rsidRDefault="009479D7" w:rsidP="009479D7">
      <w:r>
        <w:t>Figure 13 shows where to define a time-history analysis and how to set the type of analysis and sampling rate. It was observed in this study that linear and nonlinear analyses provide the same results. The analysis time length should be determined based on the speed of the truck and how long it takes to entirely pass over the bridge.</w:t>
      </w:r>
      <w:r w:rsidR="00C0358F">
        <w:t xml:space="preserve"> Then, as shown in Figure 14, the time history analysis should be enabled where the model should be run for analysis.</w:t>
      </w:r>
    </w:p>
    <w:p w:rsidR="009479D7" w:rsidRDefault="009479D7" w:rsidP="003154BA">
      <w:pPr>
        <w:jc w:val="center"/>
        <w:rPr>
          <w:lang w:bidi="fa-IR"/>
        </w:rPr>
      </w:pPr>
    </w:p>
    <w:p w:rsidR="00AA4AFA" w:rsidRDefault="00AA4AFA" w:rsidP="003154BA">
      <w:pPr>
        <w:jc w:val="center"/>
        <w:rPr>
          <w:lang w:bidi="fa-IR"/>
        </w:rPr>
      </w:pPr>
      <w:r>
        <w:rPr>
          <w:noProof/>
          <w:lang w:bidi="fa-IR"/>
        </w:rPr>
        <w:drawing>
          <wp:inline distT="0" distB="0" distL="0" distR="0" wp14:anchorId="27F9072F">
            <wp:extent cx="6983095" cy="4054863"/>
            <wp:effectExtent l="0" t="0" r="8255"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991732" cy="4059878"/>
                    </a:xfrm>
                    <a:prstGeom prst="rect">
                      <a:avLst/>
                    </a:prstGeom>
                    <a:noFill/>
                  </pic:spPr>
                </pic:pic>
              </a:graphicData>
            </a:graphic>
          </wp:inline>
        </w:drawing>
      </w:r>
    </w:p>
    <w:p w:rsidR="008B0D12" w:rsidRDefault="009479D7" w:rsidP="00C0358F">
      <w:pPr>
        <w:jc w:val="center"/>
      </w:pPr>
      <w:r>
        <w:t>Fig. 1</w:t>
      </w:r>
      <w:r>
        <w:t>3</w:t>
      </w:r>
      <w:r>
        <w:t xml:space="preserve">. </w:t>
      </w:r>
      <w:r>
        <w:t>Time history analysis settings</w:t>
      </w:r>
    </w:p>
    <w:p w:rsidR="008B0D12" w:rsidRDefault="008B0D12" w:rsidP="003154BA">
      <w:pPr>
        <w:jc w:val="center"/>
        <w:rPr>
          <w:lang w:bidi="fa-IR"/>
        </w:rPr>
      </w:pPr>
      <w:r>
        <w:rPr>
          <w:noProof/>
          <w:lang w:bidi="fa-IR"/>
        </w:rPr>
        <w:drawing>
          <wp:inline distT="0" distB="0" distL="0" distR="0" wp14:anchorId="2DC41807">
            <wp:extent cx="5902325" cy="2832107"/>
            <wp:effectExtent l="0" t="0" r="3175"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24306" cy="2842654"/>
                    </a:xfrm>
                    <a:prstGeom prst="rect">
                      <a:avLst/>
                    </a:prstGeom>
                    <a:noFill/>
                  </pic:spPr>
                </pic:pic>
              </a:graphicData>
            </a:graphic>
          </wp:inline>
        </w:drawing>
      </w:r>
    </w:p>
    <w:p w:rsidR="00C0358F" w:rsidRDefault="00C0358F" w:rsidP="00C0358F">
      <w:pPr>
        <w:jc w:val="center"/>
      </w:pPr>
      <w:r>
        <w:t>Fig. 1</w:t>
      </w:r>
      <w:r>
        <w:t>4</w:t>
      </w:r>
      <w:r>
        <w:t xml:space="preserve">. </w:t>
      </w:r>
      <w:r>
        <w:t>Where the t</w:t>
      </w:r>
      <w:r>
        <w:t xml:space="preserve">ime history analysis </w:t>
      </w:r>
      <w:r>
        <w:t>should be enabled</w:t>
      </w:r>
    </w:p>
    <w:p w:rsidR="00A01B62" w:rsidRDefault="00A01B62" w:rsidP="003154BA">
      <w:pPr>
        <w:jc w:val="center"/>
        <w:rPr>
          <w:lang w:bidi="fa-IR"/>
        </w:rPr>
      </w:pPr>
    </w:p>
    <w:p w:rsidR="00A01B62" w:rsidRDefault="00A01B62" w:rsidP="003154BA">
      <w:pPr>
        <w:jc w:val="center"/>
        <w:rPr>
          <w:lang w:bidi="fa-IR"/>
        </w:rPr>
      </w:pPr>
    </w:p>
    <w:p w:rsidR="000916D3" w:rsidRDefault="000916D3" w:rsidP="000916D3">
      <w:pPr>
        <w:rPr>
          <w:lang w:bidi="fa-IR"/>
        </w:rPr>
      </w:pPr>
      <w:r>
        <w:rPr>
          <w:lang w:bidi="fa-IR"/>
        </w:rPr>
        <w:t>Figure 15 shows where and how the meshes should be refined. In this window, the number of meshes in each direction (horizontal, vertical and thickness) should be selected. The default directions are shown below in this figure.</w:t>
      </w:r>
    </w:p>
    <w:p w:rsidR="00A01B62" w:rsidRDefault="00A01B62" w:rsidP="003154BA">
      <w:pPr>
        <w:jc w:val="center"/>
        <w:rPr>
          <w:lang w:bidi="fa-IR"/>
        </w:rPr>
      </w:pPr>
      <w:r>
        <w:rPr>
          <w:noProof/>
          <w:lang w:bidi="fa-IR"/>
        </w:rPr>
        <w:drawing>
          <wp:inline distT="0" distB="0" distL="0" distR="0" wp14:anchorId="482044C7">
            <wp:extent cx="6488300" cy="3119120"/>
            <wp:effectExtent l="0" t="0" r="8255"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94776" cy="3122233"/>
                    </a:xfrm>
                    <a:prstGeom prst="rect">
                      <a:avLst/>
                    </a:prstGeom>
                    <a:noFill/>
                  </pic:spPr>
                </pic:pic>
              </a:graphicData>
            </a:graphic>
          </wp:inline>
        </w:drawing>
      </w:r>
    </w:p>
    <w:p w:rsidR="00DC12E9" w:rsidRDefault="00DC12E9" w:rsidP="00DC12E9">
      <w:pPr>
        <w:jc w:val="center"/>
      </w:pPr>
      <w:r>
        <w:t>Fig. 1</w:t>
      </w:r>
      <w:r>
        <w:t>5</w:t>
      </w:r>
      <w:r>
        <w:t xml:space="preserve">. </w:t>
      </w:r>
      <w:r>
        <w:t xml:space="preserve">Mesh </w:t>
      </w:r>
      <w:r w:rsidR="000916D3">
        <w:t>refi</w:t>
      </w:r>
      <w:bookmarkStart w:id="0" w:name="_GoBack"/>
      <w:bookmarkEnd w:id="0"/>
      <w:r w:rsidR="000916D3">
        <w:t>nement</w:t>
      </w:r>
    </w:p>
    <w:p w:rsidR="00DC12E9" w:rsidRDefault="00DC12E9" w:rsidP="003154BA">
      <w:pPr>
        <w:jc w:val="center"/>
        <w:rPr>
          <w:lang w:bidi="fa-IR"/>
        </w:rPr>
      </w:pPr>
    </w:p>
    <w:sectPr w:rsidR="00DC12E9" w:rsidSect="001C6729">
      <w:pgSz w:w="12240" w:h="15840"/>
      <w:pgMar w:top="540" w:right="360" w:bottom="54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CA1"/>
    <w:rsid w:val="000916D3"/>
    <w:rsid w:val="000920CE"/>
    <w:rsid w:val="0014313D"/>
    <w:rsid w:val="001653F2"/>
    <w:rsid w:val="001C6729"/>
    <w:rsid w:val="002D3DEE"/>
    <w:rsid w:val="002E6651"/>
    <w:rsid w:val="002F6D1E"/>
    <w:rsid w:val="003071F6"/>
    <w:rsid w:val="003154BA"/>
    <w:rsid w:val="00382F29"/>
    <w:rsid w:val="003F6751"/>
    <w:rsid w:val="004159D8"/>
    <w:rsid w:val="00431CE3"/>
    <w:rsid w:val="005D5CA1"/>
    <w:rsid w:val="006418EB"/>
    <w:rsid w:val="00694FB1"/>
    <w:rsid w:val="006B622F"/>
    <w:rsid w:val="006B6F14"/>
    <w:rsid w:val="006C6FD2"/>
    <w:rsid w:val="00783F72"/>
    <w:rsid w:val="007C021C"/>
    <w:rsid w:val="00834328"/>
    <w:rsid w:val="00892393"/>
    <w:rsid w:val="008B0D12"/>
    <w:rsid w:val="008C7659"/>
    <w:rsid w:val="009479D7"/>
    <w:rsid w:val="00A01B62"/>
    <w:rsid w:val="00A02748"/>
    <w:rsid w:val="00AA4AFA"/>
    <w:rsid w:val="00B378C7"/>
    <w:rsid w:val="00B778E0"/>
    <w:rsid w:val="00BD3687"/>
    <w:rsid w:val="00C0358F"/>
    <w:rsid w:val="00C31171"/>
    <w:rsid w:val="00CF581B"/>
    <w:rsid w:val="00DC12E9"/>
    <w:rsid w:val="00F04C0E"/>
    <w:rsid w:val="00F27453"/>
    <w:rsid w:val="00F37A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FCB9E"/>
  <w15:chartTrackingRefBased/>
  <w15:docId w15:val="{D3475274-EC17-40E6-9354-D1CB6FBB0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1B62"/>
    <w:rPr>
      <w:color w:val="0563C1" w:themeColor="hyperlink"/>
      <w:u w:val="single"/>
    </w:rPr>
  </w:style>
  <w:style w:type="character" w:styleId="UnresolvedMention">
    <w:name w:val="Unresolved Mention"/>
    <w:basedOn w:val="DefaultParagraphFont"/>
    <w:uiPriority w:val="99"/>
    <w:semiHidden/>
    <w:unhideWhenUsed/>
    <w:rsid w:val="00A01B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www.csiamerica.com/products/csibridge/videos/csi-spotlight"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724</Words>
  <Characters>4131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Moghadam, Amin</dc:creator>
  <cp:keywords/>
  <dc:description/>
  <cp:lastModifiedBy>Moghadam, Amin</cp:lastModifiedBy>
  <cp:revision>2</cp:revision>
  <dcterms:created xsi:type="dcterms:W3CDTF">2022-05-30T19:04:00Z</dcterms:created>
  <dcterms:modified xsi:type="dcterms:W3CDTF">2022-05-30T19:04:00Z</dcterms:modified>
</cp:coreProperties>
</file>